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Developing a Risk Literacy Diagnostic for QUIN 102: Instrument Design, Platform Implementation, and SDM-10 Diagnostic Findings</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ectPr>
          <w:pgSz w:w="12240" w:h="15840" w:orient="portrait"/>
          <w:pgMar w:top="1440" w:right="1440" w:bottom="1440" w:left="1440" w:header="708" w:footer="708" w:gutter="0"/>
          <w:pgNumType/>
          <w:docGrid w:linePitch="360"/>
        </w:sectPr>
      </w:pPr>
    </w:p>
    <w:p>
      <w:pPr>
        <w:pStyle w:val="Heading1"/>
        <w:spacing w:before="480" w:after="240"/>
      </w:pPr>
      <w:r>
        <w:rPr>
          <w:rFonts w:ascii="Times New Roman" w:cs="Times New Roman" w:eastAsia="Times New Roman" w:hAnsi="Times New Roman"/>
          <w:sz w:val="24"/>
          <w:szCs w:val="24"/>
        </w:rPr>
        <w:t xml:space="preserve">Table of Contents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Introduction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Related Work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2.1 </w:t>
      </w:r>
      <w:r>
        <w:rPr>
          <w:rFonts w:ascii="Times New Roman" w:cs="Times New Roman" w:eastAsia="Times New Roman" w:hAnsi="Times New Roman"/>
          <w:color w:val="0563C1"/>
          <w:sz w:val="24"/>
          <w:szCs w:val="24"/>
          <w:u w:val="single"/>
        </w:rPr>
        <w:t xml:space="preserve">Financial Literacy: Definitions and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2.2 </w:t>
      </w:r>
      <w:r>
        <w:rPr>
          <w:rFonts w:ascii="Times New Roman" w:cs="Times New Roman" w:eastAsia="Times New Roman" w:hAnsi="Times New Roman"/>
          <w:color w:val="0563C1"/>
          <w:sz w:val="24"/>
          <w:szCs w:val="24"/>
          <w:u w:val="single"/>
        </w:rPr>
        <w:t xml:space="preserve">Domain-Specific Knowledge Gaps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2.3 </w:t>
      </w:r>
      <w:r>
        <w:rPr>
          <w:rFonts w:ascii="Times New Roman" w:cs="Times New Roman" w:eastAsia="Times New Roman" w:hAnsi="Times New Roman"/>
          <w:color w:val="0563C1"/>
          <w:sz w:val="24"/>
          <w:szCs w:val="24"/>
          <w:u w:val="single"/>
        </w:rPr>
        <w:t xml:space="preserve">Confidence Calibration and Overconfidence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2.4 </w:t>
      </w:r>
      <w:r>
        <w:rPr>
          <w:rFonts w:ascii="Times New Roman" w:cs="Times New Roman" w:eastAsia="Times New Roman" w:hAnsi="Times New Roman"/>
          <w:color w:val="0563C1"/>
          <w:sz w:val="24"/>
          <w:szCs w:val="24"/>
          <w:u w:val="single"/>
        </w:rPr>
        <w:t xml:space="preserve">Gaps in the Literature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Instrument and Measurement Model</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3.1 </w:t>
      </w:r>
      <w:r>
        <w:rPr>
          <w:rFonts w:ascii="Times New Roman" w:cs="Times New Roman" w:eastAsia="Times New Roman" w:hAnsi="Times New Roman"/>
          <w:color w:val="0563C1"/>
          <w:sz w:val="24"/>
          <w:szCs w:val="24"/>
          <w:u w:val="single"/>
        </w:rPr>
        <w:t xml:space="preserve">Assessment Structure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3.2 </w:t>
      </w:r>
      <w:r>
        <w:rPr>
          <w:rFonts w:ascii="Times New Roman" w:cs="Times New Roman" w:eastAsia="Times New Roman" w:hAnsi="Times New Roman"/>
          <w:color w:val="0563C1"/>
          <w:sz w:val="24"/>
          <w:szCs w:val="24"/>
          <w:u w:val="single"/>
        </w:rPr>
        <w:t xml:space="preserve">Scoring Methodology</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3.3 </w:t>
      </w:r>
      <w:r>
        <w:rPr>
          <w:rFonts w:ascii="Times New Roman" w:cs="Times New Roman" w:eastAsia="Times New Roman" w:hAnsi="Times New Roman"/>
          <w:color w:val="0563C1"/>
          <w:sz w:val="24"/>
          <w:szCs w:val="24"/>
          <w:u w:val="single"/>
        </w:rPr>
        <w:t xml:space="preserve">Risk Literacy Emphasis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SDM-10 Diagnostic Module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4.1 </w:t>
      </w:r>
      <w:r>
        <w:rPr>
          <w:rFonts w:ascii="Times New Roman" w:cs="Times New Roman" w:eastAsia="Times New Roman" w:hAnsi="Times New Roman"/>
          <w:color w:val="0563C1"/>
          <w:sz w:val="24"/>
          <w:szCs w:val="24"/>
          <w:u w:val="single"/>
        </w:rPr>
        <w:t xml:space="preserve">Selection Algorithm and Need Score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4.2 </w:t>
      </w:r>
      <w:r>
        <w:rPr>
          <w:rFonts w:ascii="Times New Roman" w:cs="Times New Roman" w:eastAsia="Times New Roman" w:hAnsi="Times New Roman"/>
          <w:color w:val="0563C1"/>
          <w:sz w:val="24"/>
          <w:szCs w:val="24"/>
          <w:u w:val="single"/>
        </w:rPr>
        <w:t xml:space="preserve">Variant Types and Three-Way Classification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4.3 </w:t>
      </w:r>
      <w:r>
        <w:rPr>
          <w:rFonts w:ascii="Times New Roman" w:cs="Times New Roman" w:eastAsia="Times New Roman" w:hAnsi="Times New Roman"/>
          <w:color w:val="0563C1"/>
          <w:sz w:val="24"/>
          <w:szCs w:val="24"/>
          <w:u w:val="single"/>
        </w:rPr>
        <w:t xml:space="preserve">AI-Assisted Scoring Pipeline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 </w:t>
      </w:r>
      <w:r>
        <w:rPr>
          <w:rFonts w:ascii="Times New Roman" w:cs="Times New Roman" w:eastAsia="Times New Roman" w:hAnsi="Times New Roman"/>
          <w:color w:val="0563C1"/>
          <w:sz w:val="24"/>
          <w:szCs w:val="24"/>
          <w:u w:val="single"/>
        </w:rPr>
        <w:t xml:space="preserve">Diagnostic Findings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4.4.1 </w:t>
      </w:r>
      <w:r>
        <w:rPr>
          <w:rFonts w:ascii="Times New Roman" w:cs="Times New Roman" w:eastAsia="Times New Roman" w:hAnsi="Times New Roman"/>
          <w:color w:val="0563C1"/>
          <w:sz w:val="24"/>
          <w:szCs w:val="24"/>
          <w:u w:val="single"/>
        </w:rPr>
        <w:t xml:space="preserve">Open-Ended Response Overview</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4.4.2 </w:t>
      </w:r>
      <w:r>
        <w:rPr>
          <w:rFonts w:ascii="Times New Roman" w:cs="Times New Roman" w:eastAsia="Times New Roman" w:hAnsi="Times New Roman"/>
          <w:color w:val="0563C1"/>
          <w:sz w:val="24"/>
          <w:szCs w:val="24"/>
          <w:u w:val="single"/>
        </w:rPr>
        <w:t xml:space="preserve">Diagnose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4.4.3 </w:t>
      </w:r>
      <w:r>
        <w:rPr>
          <w:rFonts w:ascii="Times New Roman" w:cs="Times New Roman" w:eastAsia="Times New Roman" w:hAnsi="Times New Roman"/>
          <w:color w:val="0563C1"/>
          <w:sz w:val="24"/>
          <w:szCs w:val="24"/>
          <w:u w:val="single"/>
        </w:rPr>
        <w:t xml:space="preserve">Confirm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4.4.4 </w:t>
      </w:r>
      <w:r>
        <w:rPr>
          <w:rFonts w:ascii="Times New Roman" w:cs="Times New Roman" w:eastAsia="Times New Roman" w:hAnsi="Times New Roman"/>
          <w:color w:val="0563C1"/>
          <w:sz w:val="24"/>
          <w:szCs w:val="24"/>
          <w:u w:val="single"/>
        </w:rPr>
        <w:t xml:space="preserve">Misconception Analysis by Domain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4.4.5 </w:t>
      </w:r>
      <w:r>
        <w:rPr>
          <w:rFonts w:ascii="Times New Roman" w:cs="Times New Roman" w:eastAsia="Times New Roman" w:hAnsi="Times New Roman"/>
          <w:color w:val="0563C1"/>
          <w:sz w:val="24"/>
          <w:szCs w:val="24"/>
          <w:u w:val="single"/>
        </w:rPr>
        <w:t xml:space="preserve">Selection Error Patterns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4.4.6 </w:t>
      </w:r>
      <w:r>
        <w:rPr>
          <w:rFonts w:ascii="Times New Roman" w:cs="Times New Roman" w:eastAsia="Times New Roman" w:hAnsi="Times New Roman"/>
          <w:color w:val="0563C1"/>
          <w:sz w:val="24"/>
          <w:szCs w:val="24"/>
          <w:u w:val="single"/>
        </w:rPr>
        <w:t xml:space="preserve">Validation Against Manual Analysis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4.4.7 </w:t>
      </w:r>
      <w:r>
        <w:rPr>
          <w:rFonts w:ascii="Times New Roman" w:cs="Times New Roman" w:eastAsia="Times New Roman" w:hAnsi="Times New Roman"/>
          <w:color w:val="0563C1"/>
          <w:sz w:val="24"/>
          <w:szCs w:val="24"/>
          <w:u w:val="single"/>
        </w:rPr>
        <w:t xml:space="preserve">Cross-Item Patterns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Platform and Governance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5.1 </w:t>
      </w:r>
      <w:r>
        <w:rPr>
          <w:rFonts w:ascii="Times New Roman" w:cs="Times New Roman" w:eastAsia="Times New Roman" w:hAnsi="Times New Roman"/>
          <w:color w:val="0563C1"/>
          <w:sz w:val="24"/>
          <w:szCs w:val="24"/>
          <w:u w:val="single"/>
        </w:rPr>
        <w:t xml:space="preserve">Technology Stack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5.2 </w:t>
      </w:r>
      <w:r>
        <w:rPr>
          <w:rFonts w:ascii="Times New Roman" w:cs="Times New Roman" w:eastAsia="Times New Roman" w:hAnsi="Times New Roman"/>
          <w:color w:val="0563C1"/>
          <w:sz w:val="24"/>
          <w:szCs w:val="24"/>
          <w:u w:val="single"/>
        </w:rPr>
        <w:t xml:space="preserve">Student Authentication and Data Minimization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5.3 </w:t>
      </w:r>
      <w:r>
        <w:rPr>
          <w:rFonts w:ascii="Times New Roman" w:cs="Times New Roman" w:eastAsia="Times New Roman" w:hAnsi="Times New Roman"/>
          <w:color w:val="0563C1"/>
          <w:sz w:val="24"/>
          <w:szCs w:val="24"/>
          <w:u w:val="single"/>
        </w:rPr>
        <w:t xml:space="preserve">Consent Mechanics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Pilot Operations and Descriptive Statistics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6.1 </w:t>
      </w:r>
      <w:r>
        <w:rPr>
          <w:rFonts w:ascii="Times New Roman" w:cs="Times New Roman" w:eastAsia="Times New Roman" w:hAnsi="Times New Roman"/>
          <w:color w:val="0563C1"/>
          <w:sz w:val="24"/>
          <w:szCs w:val="24"/>
          <w:u w:val="single"/>
        </w:rPr>
        <w:t xml:space="preserve">Participation and Completion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6.2 </w:t>
      </w:r>
      <w:r>
        <w:rPr>
          <w:rFonts w:ascii="Times New Roman" w:cs="Times New Roman" w:eastAsia="Times New Roman" w:hAnsi="Times New Roman"/>
          <w:color w:val="0563C1"/>
          <w:sz w:val="24"/>
          <w:szCs w:val="24"/>
          <w:u w:val="single"/>
        </w:rPr>
        <w:t xml:space="preserve">Anchor Score Context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6.3 </w:t>
      </w:r>
      <w:r>
        <w:rPr>
          <w:rFonts w:ascii="Times New Roman" w:cs="Times New Roman" w:eastAsia="Times New Roman" w:hAnsi="Times New Roman"/>
          <w:color w:val="0563C1"/>
          <w:sz w:val="24"/>
          <w:szCs w:val="24"/>
          <w:u w:val="single"/>
        </w:rPr>
        <w:t xml:space="preserve">Assessment Duration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Discussion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Limitations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Planned Validation Study (Paper 2 Protocol Preview)</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References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Declaration of AI and AI-Assisted Technologies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A: SDM-10 Selection Algorithm and Burden Controls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B: Assessment Items (Full Question Bank)</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C: Financial Literacy Misconception Taxonomy (Layer 1)</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D: AI Scorer Model Selection Protocol</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E: Supplementary Materials</w:t>
      </w:r>
    </w:p>
    <w:p>
      <w:r>
        <w:br w:type="page"/>
      </w:r>
    </w:p>
    <w:p>
      <w:pPr>
        <w:pStyle w:val="Heading1"/>
        <w:spacing w:before="480" w:after="240"/>
      </w:pPr>
      <w:r>
        <w:rPr>
          <w:rFonts w:ascii="Times New Roman" w:cs="Times New Roman" w:eastAsia="Times New Roman" w:hAnsi="Times New Roman"/>
          <w:sz w:val="24"/>
          <w:szCs w:val="24"/>
        </w:rPr>
        <w:t xml:space="preserve">1. Introduction</w:t>
      </w:r>
    </w:p>
    <w:p>
      <w:pPr>
        <w:spacing w:line="360" w:after="200"/>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pPr>
      <w:r>
        <w:rPr>
          <w:rFonts w:ascii="Times New Roman" w:cs="Times New Roman" w:eastAsia="Times New Roman" w:hAnsi="Times New Roman"/>
          <w:sz w:val="24"/>
          <w:szCs w:val="24"/>
        </w:rPr>
        <w:t xml:space="preserve">Recent policy debate on consumer credit highlights why financial literacy matters for borrowing outcomes. Research suggests that creditworthiness may be influenced by financial literacy education (Lusardi &amp; Mitchell, 2014), and that improving consumers' understanding of borrowing mechanics may help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pPr>
      <w:r>
        <w:rPr>
          <w:rFonts w:ascii="Times New Roman" w:cs="Times New Roman" w:eastAsia="Times New Roman" w:hAnsi="Times New Roman"/>
          <w:sz w:val="24"/>
          <w:szCs w:val="24"/>
        </w:rPr>
        <w:t xml:space="preserve">This independent study develops and pilots a diagnostic instrument for evaluating financial and risk literacy in QUIN 102 (Financial Literacy) during the Spring 2026 offering. The instrument comprises a 40-item anchor assessment covering financial knowledge and attitudes, paired with a 10-item Supplemental Diagnostic Module (SDM-10) that adaptively probes areas of weakness identified in the anchor responses. The assessment is administered through a purpose-built web platform with coded student identifiers and structured consent mechanics.</w:t>
      </w:r>
    </w:p>
    <w:p>
      <w:pPr>
        <w:spacing w:line="360" w:after="200"/>
      </w:pPr>
      <w:r>
        <w:rPr>
          <w:rFonts w:ascii="Times New Roman" w:cs="Times New Roman" w:eastAsia="Times New Roman" w:hAnsi="Times New Roman"/>
          <w:sz w:val="24"/>
          <w:szCs w:val="24"/>
        </w:rPr>
        <w:t xml:space="preserve">More specifically, the independent study is organized around two research questions that frame the overall project:</w:t>
      </w:r>
    </w:p>
    <w:p>
      <w:pPr>
        <w:pStyle w:val="ListParagraph"/>
        <w:numPr>
          <w:ilvl w:val="0"/>
          <w:numId w:val="3"/>
        </w:numPr>
        <w:spacing w:line="360" w:after="100"/>
      </w:pPr>
      <w:r>
        <w:rPr>
          <w:rFonts w:ascii="Times New Roman" w:cs="Times New Roman" w:eastAsia="Times New Roman" w:hAnsi="Times New Roman"/>
          <w:b/>
          <w:bCs/>
          <w:sz w:val="24"/>
          <w:szCs w:val="24"/>
        </w:rPr>
        <w:t xml:space="preserve">RQ1 (Learning gains):</w:t>
      </w:r>
      <w:r>
        <w:rPr>
          <w:rFonts w:ascii="Times New Roman" w:cs="Times New Roman" w:eastAsia="Times New Roman" w:hAnsi="Times New Roman"/>
          <w:sz w:val="24"/>
          <w:szCs w:val="24"/>
        </w:rPr>
        <w:t xml:space="preserve"> What is the magnitude of student learning in QUIN 102, overall and within the domains of borrowing and credit, investment, and risk management, as measured by pre- to post-course changes in knowledge?</w:t>
      </w:r>
    </w:p>
    <w:p>
      <w:pPr>
        <w:pStyle w:val="ListParagraph"/>
        <w:numPr>
          <w:ilvl w:val="0"/>
          <w:numId w:val="3"/>
        </w:numPr>
        <w:spacing w:line="360" w:after="100"/>
      </w:pPr>
      <w:r>
        <w:rPr>
          <w:rFonts w:ascii="Times New Roman" w:cs="Times New Roman" w:eastAsia="Times New Roman" w:hAnsi="Times New Roman"/>
          <w:b/>
          <w:bCs/>
          <w:sz w:val="24"/>
          <w:szCs w:val="24"/>
        </w:rPr>
        <w:t xml:space="preserve">RQ2 (Heterogeneity):</w:t>
      </w:r>
      <w:r>
        <w:rPr>
          <w:rFonts w:ascii="Times New Roman" w:cs="Times New Roman" w:eastAsia="Times New Roman" w:hAnsi="Times New Roman"/>
          <w:sz w:val="24"/>
          <w:szCs w:val="24"/>
        </w:rPr>
        <w:t xml:space="preserve"> Which baseline behavioral and contextual variables predict heterogeneity in learning gains across students, and do these predictors differ by domain?</w:t>
      </w:r>
    </w:p>
    <w:p>
      <w:pPr>
        <w:spacing w:line="360" w:after="200"/>
      </w:pPr>
      <w:r>
        <w:rPr>
          <w:rFonts w:ascii="Times New Roman" w:cs="Times New Roman" w:eastAsia="Times New Roman" w:hAnsi="Times New Roman"/>
          <w:sz w:val="24"/>
          <w:szCs w:val="24"/>
        </w:rPr>
        <w:t xml:space="preserve">RQ1 and RQ2 require paired pre-post data and will be addressed in a subsequent study contingent on institutional review board approval (see Section 9). This paper (Paper 1) is an independent study deliverable that documents instrument design, platform implementation, and descriptive diagnostic findings from the pre-course assessment (February 2--9, 2026). It reports no learning gains, no inferential statistics, and no subgroup comparisons. All pre-course results are presented as operational baseline context for the planned validation study, not as standalone research findings. The SDM-10's three-way classification of open-ended responses (misconception, knowledge gap, selection error) provides diagnostic information that standard multiple-choice instruments cannot capture -- in particular, the finding that a substantial fraction of incorrect answers reflect selection errors rather than genuine misconceptions, and that a meaningful fraction of correct answers reflect lucky guesses rather than genuine understanding. These findings demonstrate that raw MCQ scores both overstate and understate student knowledge in systematic ways, with implications for instrument design and instructional targeting.</w:t>
      </w:r>
    </w:p>
    <w:p>
      <w:r>
        <w:br w:type="page"/>
      </w:r>
    </w:p>
    <w:p>
      <w:pPr>
        <w:pStyle w:val="Heading1"/>
        <w:spacing w:before="480" w:after="240"/>
      </w:pPr>
      <w:r>
        <w:rPr>
          <w:rFonts w:ascii="Times New Roman" w:cs="Times New Roman" w:eastAsia="Times New Roman" w:hAnsi="Times New Roman"/>
          <w:sz w:val="24"/>
          <w:szCs w:val="24"/>
        </w:rPr>
        <w:t xml:space="preserve">2. Related Work</w:t>
      </w:r>
    </w:p>
    <w:p>
      <w:pPr>
        <w:pStyle w:val="Heading2"/>
        <w:spacing w:before="360" w:after="180"/>
      </w:pPr>
      <w:r>
        <w:rPr>
          <w:rFonts w:ascii="Times New Roman" w:cs="Times New Roman" w:eastAsia="Times New Roman" w:hAnsi="Times New Roman"/>
          <w:sz w:val="24"/>
          <w:szCs w:val="24"/>
        </w:rPr>
        <w:t xml:space="preserve">2.1 Financial Literacy: Definitions and Measurement</w:t>
      </w:r>
    </w:p>
    <w:p>
      <w:pPr>
        <w:spacing w:line="360" w:after="200"/>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 -- knowledge, behavior, and attitudes -- deployed across dozens of countries to enable cross-national comparisons.</w:t>
      </w:r>
    </w:p>
    <w:p>
      <w:pPr>
        <w:spacing w:line="360" w:after="200"/>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 -- covering interest rates, inflation, diversification, compound interest, and bond pricing -- 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w:t>
      </w:r>
    </w:p>
    <w:p>
      <w:pPr>
        <w:pStyle w:val="Heading2"/>
        <w:spacing w:before="360" w:after="180"/>
      </w:pPr>
      <w:r>
        <w:rPr>
          <w:rFonts w:ascii="Times New Roman" w:cs="Times New Roman" w:eastAsia="Times New Roman" w:hAnsi="Times New Roman"/>
          <w:sz w:val="24"/>
          <w:szCs w:val="24"/>
        </w:rPr>
        <w:t xml:space="preserve">2.2 Domain-Specific Knowledge Gaps</w:t>
      </w:r>
    </w:p>
    <w:p>
      <w:pPr>
        <w:spacing w:line="360" w:after="200"/>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 -- exponential growth bias, the pervasive tendency to linearize exponential functions -- which leads consumers to underestimate interest rates on loans and underestimate future values of investments.</w:t>
      </w:r>
    </w:p>
    <w:p>
      <w:pPr>
        <w:spacing w:line="360" w:after="200"/>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w:t>
      </w:r>
    </w:p>
    <w:p>
      <w:pPr>
        <w:pStyle w:val="Heading2"/>
        <w:spacing w:before="360" w:after="180"/>
      </w:pPr>
      <w:r>
        <w:rPr>
          <w:rFonts w:ascii="Times New Roman" w:cs="Times New Roman" w:eastAsia="Times New Roman" w:hAnsi="Times New Roman"/>
          <w:sz w:val="24"/>
          <w:szCs w:val="24"/>
        </w:rPr>
        <w:t xml:space="preserve">2.3 Confidence Calibration and Overconfidence</w:t>
      </w:r>
    </w:p>
    <w:p>
      <w:pPr>
        <w:spacing w:line="360" w:after="200"/>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 102 assessment's design that generates an overconfidence index from both measures.</w:t>
      </w:r>
    </w:p>
    <w:p>
      <w:pPr>
        <w:spacing w:line="360" w:after="200"/>
      </w:pPr>
      <w:r>
        <w:rPr>
          <w:rFonts w:ascii="Times New Roman" w:cs="Times New Roman" w:eastAsia="Times New Roman" w:hAnsi="Times New Roman"/>
          <w:sz w:val="24"/>
          <w:szCs w:val="24"/>
        </w:rPr>
        <w:t xml:space="preserve">Robb and Woodyard (2011)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 -- scoring above average on perceived knowledge but failing basic literacy questions -- and that these overconfident consumers were less likely to seek professional financial advice in domains where they most needed it.</w:t>
      </w:r>
    </w:p>
    <w:p>
      <w:pPr>
        <w:spacing w:line="360" w:after="200"/>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Kramer (2016) provided additional evidence that confidence operates independently of knowledge in shaping financial behavior, finding that higher confidence reduces advice-seeking while no relationship exists between objective literacy and advice-seeking.</w:t>
      </w:r>
    </w:p>
    <w:p>
      <w:pPr>
        <w:pStyle w:val="Heading2"/>
        <w:spacing w:before="360" w:after="180"/>
      </w:pPr>
      <w:r>
        <w:rPr>
          <w:rFonts w:ascii="Times New Roman" w:cs="Times New Roman" w:eastAsia="Times New Roman" w:hAnsi="Times New Roman"/>
          <w:sz w:val="24"/>
          <w:szCs w:val="24"/>
        </w:rPr>
        <w:t xml:space="preserve">2.4 Gaps in the Literature</w:t>
      </w:r>
    </w:p>
    <w:p>
      <w:pPr>
        <w:spacing w:line="360" w:after="200"/>
      </w:pPr>
      <w:r>
        <w:rPr>
          <w:rFonts w:ascii="Times New Roman" w:cs="Times New Roman" w:eastAsia="Times New Roman" w:hAnsi="Times New Roman"/>
          <w:sz w:val="24"/>
          <w:szCs w:val="24"/>
        </w:rPr>
        <w:t xml:space="preserve">The literature review reveals several gaps that the present instrument addresses. First, most financial literacy measurement studies rely on fixed multiple-choice instruments that cannot distinguish between genuine misconceptions, knowledge gaps, and selection errors -- a limitation that affects both diagnostic accuracy and instructional targeting. Second, the use of adaptive diagnostic instruments that probe areas of weakness identified in an anchor assessment is novel in the financial literacy evaluation literature. Third, the simultaneous measurement of knowledge, confidence, and behavioral covariates enables analysis of confidence calibration, directly addressing Willis's (2011) concern about "confident incompetence." The present study contributes to filling these gaps by developing a diagnostic instrument that combines a fixed anchor assessment with an adaptive diagnostic module, enabling finer-grained classification of student responses than traditional MCQ-only approaches.</w:t>
      </w:r>
    </w:p>
    <w:p>
      <w:r>
        <w:br w:type="page"/>
      </w:r>
    </w:p>
    <w:p>
      <w:pPr>
        <w:pStyle w:val="Heading1"/>
        <w:spacing w:before="480" w:after="240"/>
      </w:pPr>
      <w:r>
        <w:rPr>
          <w:rFonts w:ascii="Times New Roman" w:cs="Times New Roman" w:eastAsia="Times New Roman" w:hAnsi="Times New Roman"/>
          <w:sz w:val="24"/>
          <w:szCs w:val="24"/>
        </w:rPr>
        <w:t xml:space="preserve">3. Instrument and Measurement Model</w:t>
      </w:r>
    </w:p>
    <w:p>
      <w:pPr>
        <w:pStyle w:val="Heading2"/>
        <w:spacing w:before="360" w:after="180"/>
      </w:pPr>
      <w:r>
        <w:rPr>
          <w:rFonts w:ascii="Times New Roman" w:cs="Times New Roman" w:eastAsia="Times New Roman" w:hAnsi="Times New Roman"/>
          <w:sz w:val="24"/>
          <w:szCs w:val="24"/>
        </w:rPr>
        <w:t xml:space="preserve">3.1 Assessment Structure</w:t>
      </w:r>
    </w:p>
    <w:p>
      <w:pPr>
        <w:spacing w:line="360" w:after="200"/>
      </w:pPr>
      <w:r>
        <w:rPr>
          <w:rFonts w:ascii="Times New Roman" w:cs="Times New Roman" w:eastAsia="Times New Roman" w:hAnsi="Times New Roman"/>
          <w:sz w:val="24"/>
          <w:szCs w:val="24"/>
        </w:rPr>
        <w:t xml:space="preserve">The instrument comprises three components:</w:t>
      </w:r>
    </w:p>
    <w:p>
      <w:pPr>
        <w:pStyle w:val="ListParagraph"/>
        <w:numPr>
          <w:ilvl w:val="0"/>
          <w:numId w:val="2"/>
        </w:numPr>
        <w:spacing w:line="360" w:after="100"/>
      </w:pPr>
      <w:r>
        <w:rPr>
          <w:rFonts w:ascii="Times New Roman" w:cs="Times New Roman" w:eastAsia="Times New Roman" w:hAnsi="Times New Roman"/>
          <w:sz w:val="24"/>
          <w:szCs w:val="24"/>
        </w:rPr>
        <w:t xml:space="preserve">A demographic and socioeconomic baseline questionnaire (13 items) administered during onboarding</w:t>
      </w:r>
    </w:p>
    <w:p>
      <w:pPr>
        <w:pStyle w:val="ListParagraph"/>
        <w:numPr>
          <w:ilvl w:val="0"/>
          <w:numId w:val="2"/>
        </w:numPr>
        <w:spacing w:line="360" w:after="100"/>
      </w:pPr>
      <w:r>
        <w:rPr>
          <w:rFonts w:ascii="Times New Roman" w:cs="Times New Roman" w:eastAsia="Times New Roman" w:hAnsi="Times New Roman"/>
          <w:sz w:val="24"/>
          <w:szCs w:val="24"/>
        </w:rPr>
        <w:t xml:space="preserve">A fixed 40-item core (anchor) assessment covering financial knowledge and attitudes</w:t>
      </w:r>
    </w:p>
    <w:p>
      <w:pPr>
        <w:pStyle w:val="ListParagraph"/>
        <w:numPr>
          <w:ilvl w:val="0"/>
          <w:numId w:val="2"/>
        </w:numPr>
        <w:spacing w:line="360" w:after="100"/>
      </w:pPr>
      <w:r>
        <w:rPr>
          <w:rFonts w:ascii="Times New Roman" w:cs="Times New Roman" w:eastAsia="Times New Roman" w:hAnsi="Times New Roman"/>
          <w:sz w:val="24"/>
          <w:szCs w:val="24"/>
        </w:rPr>
        <w:t xml:space="preserve">A 10-item Supplemental Diagnostic Module (SDM-10) selected from a pre-written item bank based on students' anchor responses</w:t>
      </w:r>
    </w:p>
    <w:p>
      <w:pPr>
        <w:spacing w:line="360" w:after="200"/>
      </w:pPr>
      <w:r>
        <w:rPr>
          <w:rFonts w:ascii="Times New Roman" w:cs="Times New Roman" w:eastAsia="Times New Roman" w:hAnsi="Times New Roman"/>
          <w:b/>
          <w:bCs/>
          <w:sz w:val="24"/>
          <w:szCs w:val="24"/>
        </w:rPr>
        <w:t xml:space="preserve">Table 3.1: Item Distribution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Component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Content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2340"/>
            <w:vAlign w:val="center"/>
          </w:tcPr>
          <w:p>
            <w:pPr>
              <w:jc w:val="center"/>
            </w:pPr>
            <w:r>
              <w:rPr>
                <w:rFonts w:ascii="Times New Roman" w:cs="Times New Roman" w:eastAsia="Times New Roman" w:hAnsi="Times New Roman"/>
                <w:sz w:val="22"/>
                <w:szCs w:val="22"/>
              </w:rPr>
              <w:t xml:space="preserve">Baseline covariates</w:t>
            </w:r>
          </w:p>
        </w:tc>
        <w:tc>
          <w:tcPr>
            <w:tcW w:type="dxa" w:w="2340"/>
            <w:vAlign w:val="center"/>
          </w:tcPr>
          <w:p>
            <w:pPr>
              <w:jc w:val="center"/>
            </w:pPr>
            <w:r>
              <w:rPr>
                <w:rFonts w:ascii="Times New Roman" w:cs="Times New Roman" w:eastAsia="Times New Roman" w:hAnsi="Times New Roman"/>
                <w:sz w:val="22"/>
                <w:szCs w:val="22"/>
              </w:rPr>
              <w:t xml:space="preserve">13</w:t>
            </w:r>
          </w:p>
        </w:tc>
        <w:tc>
          <w:tcPr>
            <w:tcW w:type="dxa" w:w="2340"/>
            <w:vAlign w:val="center"/>
          </w:tcPr>
          <w:p>
            <w:pPr>
              <w:jc w:val="center"/>
            </w:pPr>
            <w:r>
              <w:rPr>
                <w:rFonts w:ascii="Times New Roman" w:cs="Times New Roman" w:eastAsia="Times New Roman" w:hAnsi="Times New Roman"/>
                <w:sz w:val="22"/>
                <w:szCs w:val="22"/>
              </w:rPr>
              <w:t xml:space="preserve">Demographics, financial background, debt status</w:t>
            </w:r>
          </w:p>
        </w:tc>
        <w:tc>
          <w:tcPr>
            <w:tcW w:type="dxa" w:w="2340"/>
            <w:vAlign w:val="center"/>
          </w:tcPr>
          <w:p>
            <w:pPr>
              <w:jc w:val="center"/>
            </w:pPr>
            <w:r>
              <w:rPr>
                <w:rFonts w:ascii="Times New Roman" w:cs="Times New Roman" w:eastAsia="Times New Roman" w:hAnsi="Times New Roman"/>
                <w:sz w:val="22"/>
                <w:szCs w:val="22"/>
              </w:rPr>
              <w:t xml:space="preserve">No</w:t>
            </w:r>
          </w:p>
        </w:tc>
      </w:tr>
      <w:tr>
        <w:tc>
          <w:tcPr>
            <w:tcW w:type="dxa" w:w="2340"/>
            <w:vAlign w:val="center"/>
          </w:tcPr>
          <w:p>
            <w:pPr>
              <w:jc w:val="center"/>
            </w:pPr>
            <w:r>
              <w:rPr>
                <w:rFonts w:ascii="Times New Roman" w:cs="Times New Roman" w:eastAsia="Times New Roman" w:hAnsi="Times New Roman"/>
                <w:sz w:val="22"/>
                <w:szCs w:val="22"/>
              </w:rPr>
              <w:t xml:space="preserve">Anchor knowledge items</w:t>
            </w:r>
          </w:p>
        </w:tc>
        <w:tc>
          <w:tcPr>
            <w:tcW w:type="dxa" w:w="2340"/>
            <w:vAlign w:val="center"/>
          </w:tcPr>
          <w:p>
            <w:pPr>
              <w:jc w:val="center"/>
            </w:pPr>
            <w:r>
              <w:rPr>
                <w:rFonts w:ascii="Times New Roman" w:cs="Times New Roman" w:eastAsia="Times New Roman" w:hAnsi="Times New Roman"/>
                <w:sz w:val="22"/>
                <w:szCs w:val="22"/>
              </w:rPr>
              <w:t xml:space="preserve">26</w:t>
            </w:r>
          </w:p>
        </w:tc>
        <w:tc>
          <w:tcPr>
            <w:tcW w:type="dxa" w:w="2340"/>
            <w:vAlign w:val="center"/>
          </w:tcPr>
          <w:p>
            <w:pPr>
              <w:jc w:val="center"/>
            </w:pPr>
            <w:r>
              <w:rPr>
                <w:rFonts w:ascii="Times New Roman" w:cs="Times New Roman" w:eastAsia="Times New Roman" w:hAnsi="Times New Roman"/>
                <w:sz w:val="22"/>
                <w:szCs w:val="22"/>
              </w:rPr>
              <w:t xml:space="preserve">Q1--Q14, Q29--Q40 (borrowing, investment, risk)</w:t>
            </w:r>
          </w:p>
        </w:tc>
        <w:tc>
          <w:tcPr>
            <w:tcW w:type="dxa" w:w="2340"/>
            <w:vAlign w:val="center"/>
          </w:tcPr>
          <w:p>
            <w:pPr>
              <w:jc w:val="center"/>
            </w:pPr>
            <w:r>
              <w:rPr>
                <w:rFonts w:ascii="Times New Roman" w:cs="Times New Roman" w:eastAsia="Times New Roman" w:hAnsi="Times New Roman"/>
                <w:sz w:val="22"/>
                <w:szCs w:val="22"/>
              </w:rPr>
              <w:t xml:space="preserve">Yes</w:t>
            </w:r>
          </w:p>
        </w:tc>
      </w:tr>
      <w:tr>
        <w:tc>
          <w:tcPr>
            <w:tcW w:type="dxa" w:w="2340"/>
            <w:vAlign w:val="center"/>
          </w:tcPr>
          <w:p>
            <w:pPr>
              <w:jc w:val="center"/>
            </w:pPr>
            <w:r>
              <w:rPr>
                <w:rFonts w:ascii="Times New Roman" w:cs="Times New Roman" w:eastAsia="Times New Roman" w:hAnsi="Times New Roman"/>
                <w:sz w:val="22"/>
                <w:szCs w:val="22"/>
              </w:rPr>
              <w:t xml:space="preserve">Anchor preference items</w:t>
            </w:r>
          </w:p>
        </w:tc>
        <w:tc>
          <w:tcPr>
            <w:tcW w:type="dxa" w:w="2340"/>
            <w:vAlign w:val="center"/>
          </w:tcPr>
          <w:p>
            <w:pPr>
              <w:jc w:val="center"/>
            </w:pPr>
            <w:r>
              <w:rPr>
                <w:rFonts w:ascii="Times New Roman" w:cs="Times New Roman" w:eastAsia="Times New Roman" w:hAnsi="Times New Roman"/>
                <w:sz w:val="22"/>
                <w:szCs w:val="22"/>
              </w:rPr>
              <w:t xml:space="preserve">14</w:t>
            </w:r>
          </w:p>
        </w:tc>
        <w:tc>
          <w:tcPr>
            <w:tcW w:type="dxa" w:w="2340"/>
            <w:vAlign w:val="center"/>
          </w:tcPr>
          <w:p>
            <w:pPr>
              <w:jc w:val="center"/>
            </w:pPr>
            <w:r>
              <w:rPr>
                <w:rFonts w:ascii="Times New Roman" w:cs="Times New Roman" w:eastAsia="Times New Roman" w:hAnsi="Times New Roman"/>
                <w:sz w:val="22"/>
                <w:szCs w:val="22"/>
              </w:rPr>
              <w:t xml:space="preserve">Q15--Q28 (attitudes, risk tolerance, behavior)</w:t>
            </w:r>
          </w:p>
        </w:tc>
        <w:tc>
          <w:tcPr>
            <w:tcW w:type="dxa" w:w="2340"/>
            <w:vAlign w:val="center"/>
          </w:tcPr>
          <w:p>
            <w:pPr>
              <w:jc w:val="center"/>
            </w:pPr>
            <w:r>
              <w:rPr>
                <w:rFonts w:ascii="Times New Roman" w:cs="Times New Roman" w:eastAsia="Times New Roman" w:hAnsi="Times New Roman"/>
                <w:sz w:val="22"/>
                <w:szCs w:val="22"/>
              </w:rPr>
              <w:t xml:space="preserve">No</w:t>
            </w:r>
          </w:p>
        </w:tc>
      </w:tr>
      <w:tr>
        <w:tc>
          <w:tcPr>
            <w:tcW w:type="dxa" w:w="2340"/>
            <w:vAlign w:val="center"/>
          </w:tcPr>
          <w:p>
            <w:pPr>
              <w:jc w:val="center"/>
            </w:pPr>
            <w:r>
              <w:rPr>
                <w:rFonts w:ascii="Times New Roman" w:cs="Times New Roman" w:eastAsia="Times New Roman" w:hAnsi="Times New Roman"/>
                <w:sz w:val="22"/>
                <w:szCs w:val="22"/>
              </w:rPr>
              <w:t xml:space="preserve">SDM-10 adaptive items</w:t>
            </w:r>
          </w:p>
        </w:tc>
        <w:tc>
          <w:tcPr>
            <w:tcW w:type="dxa" w:w="2340"/>
            <w:vAlign w:val="center"/>
          </w:tcPr>
          <w:p>
            <w:pPr>
              <w:jc w:val="center"/>
            </w:pPr>
            <w:r>
              <w:rPr>
                <w:rFonts w:ascii="Times New Roman" w:cs="Times New Roman" w:eastAsia="Times New Roman" w:hAnsi="Times New Roman"/>
                <w:sz w:val="22"/>
                <w:szCs w:val="22"/>
              </w:rPr>
              <w:t xml:space="preserve">10</w:t>
            </w:r>
          </w:p>
        </w:tc>
        <w:tc>
          <w:tcPr>
            <w:tcW w:type="dxa" w:w="2340"/>
            <w:vAlign w:val="center"/>
          </w:tcPr>
          <w:p>
            <w:pPr>
              <w:jc w:val="center"/>
            </w:pPr>
            <w:r>
              <w:rPr>
                <w:rFonts w:ascii="Times New Roman" w:cs="Times New Roman" w:eastAsia="Times New Roman" w:hAnsi="Times New Roman"/>
                <w:sz w:val="22"/>
                <w:szCs w:val="22"/>
              </w:rPr>
              <w:t xml:space="preserve">Selected from 156-variant item bank</w:t>
            </w:r>
          </w:p>
        </w:tc>
        <w:tc>
          <w:tcPr>
            <w:tcW w:type="dxa" w:w="2340"/>
            <w:vAlign w:val="center"/>
          </w:tcPr>
          <w:p>
            <w:pPr>
              <w:jc w:val="center"/>
            </w:pPr>
            <w:r>
              <w:rPr>
                <w:rFonts w:ascii="Times New Roman" w:cs="Times New Roman" w:eastAsia="Times New Roman" w:hAnsi="Times New Roman"/>
                <w:sz w:val="22"/>
                <w:szCs w:val="22"/>
              </w:rPr>
              <w:t xml:space="preserve">Diagnostic only</w:t>
            </w:r>
          </w:p>
        </w:tc>
      </w:tr>
    </w:tbl>
    <w:p>
      <w:pPr>
        <w:spacing w:after="200"/>
      </w:pPr>
    </w:p>
    <w:p>
      <w:pPr>
        <w:spacing w:line="360" w:after="200"/>
      </w:pPr>
      <w:r>
        <w:rPr>
          <w:rFonts w:ascii="Times New Roman" w:cs="Times New Roman" w:eastAsia="Times New Roman" w:hAnsi="Times New Roman"/>
          <w:sz w:val="24"/>
          <w:szCs w:val="24"/>
        </w:rPr>
        <w:t xml:space="preserve">Out of the 40 anchor items, 26 are knowledge items scored as correct/incorrect and used to compute learning gains. The remaining 14 are preference items (Q15--Q28) that assess behavioral tendencies and serve as unscored covariates for heterogeneity analysis. Each anchor item is paired with a confidence rating on a 1--3 scale (low, medium, high). The combination of correctness and confidence determines whether additional diagnostic measurement is warranted in the SDM-10.</w:t>
      </w:r>
    </w:p>
    <w:p>
      <w:pPr>
        <w:spacing w:line="360" w:after="200"/>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including the Berlin Numeracy Test, Lipkus Numeracy Scale, the "Big Three" (Lusardi and Mitchell), the FINRA National Financial Capability Study item sets, the OECD/INFE Toolkit (2022), the P-Fin Index, and related decision science instruments. An initial pool of approximately 80 candidate items was curated and refined to a 40-item anchor assessment.</w:t>
      </w:r>
    </w:p>
    <w:p>
      <w:pPr>
        <w:pStyle w:val="Heading2"/>
        <w:spacing w:before="360" w:after="180"/>
      </w:pPr>
      <w:r>
        <w:rPr>
          <w:rFonts w:ascii="Times New Roman" w:cs="Times New Roman" w:eastAsia="Times New Roman" w:hAnsi="Times New Roman"/>
          <w:sz w:val="24"/>
          <w:szCs w:val="24"/>
        </w:rPr>
        <w:t xml:space="preserve">3.2 Scoring Methodology</w:t>
      </w:r>
    </w:p>
    <w:p>
      <w:pPr>
        <w:spacing w:line="360" w:after="200"/>
      </w:pPr>
      <w:r>
        <w:rPr>
          <w:rFonts w:ascii="Times New Roman" w:cs="Times New Roman" w:eastAsia="Times New Roman" w:hAnsi="Times New Roman"/>
          <w:sz w:val="24"/>
          <w:szCs w:val="24"/>
        </w:rPr>
        <w:t xml:space="preserve">Knowledge items (Q1--Q14, Q29--Q40) are scored as correct/incorrect (binary). Overall percent-correct scores and domain-level percent-correct scores are computed for three instructional domains:</w:t>
      </w:r>
    </w:p>
    <w:p>
      <w:pPr>
        <w:pStyle w:val="ListParagraph"/>
        <w:numPr>
          <w:ilvl w:val="0"/>
          <w:numId w:val="3"/>
        </w:numPr>
        <w:spacing w:line="360" w:after="100"/>
      </w:pPr>
      <w:r>
        <w:rPr>
          <w:rFonts w:ascii="Times New Roman" w:cs="Times New Roman" w:eastAsia="Times New Roman" w:hAnsi="Times New Roman"/>
          <w:b/>
          <w:bCs/>
          <w:sz w:val="24"/>
          <w:szCs w:val="24"/>
        </w:rPr>
        <w:t xml:space="preserve">Borrowing, Interest Rates, and Financial Numeracy Knowledge</w:t>
      </w:r>
      <w:r>
        <w:rPr>
          <w:rFonts w:ascii="Times New Roman" w:cs="Times New Roman" w:eastAsia="Times New Roman" w:hAnsi="Times New Roman"/>
          <w:sz w:val="24"/>
          <w:szCs w:val="24"/>
        </w:rPr>
        <w:t xml:space="preserve"> (10 items: Q1--Q10)</w:t>
      </w:r>
    </w:p>
    <w:p>
      <w:pPr>
        <w:pStyle w:val="ListParagraph"/>
        <w:numPr>
          <w:ilvl w:val="0"/>
          <w:numId w:val="3"/>
        </w:numPr>
        <w:spacing w:line="360" w:after="100"/>
      </w:pPr>
      <w:r>
        <w:rPr>
          <w:rFonts w:ascii="Times New Roman" w:cs="Times New Roman" w:eastAsia="Times New Roman" w:hAnsi="Times New Roman"/>
          <w:b/>
          <w:bCs/>
          <w:sz w:val="24"/>
          <w:szCs w:val="24"/>
        </w:rPr>
        <w:t xml:space="preserve">Behavioral and Risk Management Knowledge</w:t>
      </w:r>
      <w:r>
        <w:rPr>
          <w:rFonts w:ascii="Times New Roman" w:cs="Times New Roman" w:eastAsia="Times New Roman" w:hAnsi="Times New Roman"/>
          <w:sz w:val="24"/>
          <w:szCs w:val="24"/>
        </w:rPr>
        <w:t xml:space="preserve"> (4 scored items: Q11--Q14)</w:t>
      </w:r>
    </w:p>
    <w:p>
      <w:pPr>
        <w:pStyle w:val="ListParagraph"/>
        <w:numPr>
          <w:ilvl w:val="0"/>
          <w:numId w:val="3"/>
        </w:numPr>
        <w:spacing w:line="360" w:after="100"/>
      </w:pPr>
      <w:r>
        <w:rPr>
          <w:rFonts w:ascii="Times New Roman" w:cs="Times New Roman" w:eastAsia="Times New Roman" w:hAnsi="Times New Roman"/>
          <w:b/>
          <w:bCs/>
          <w:sz w:val="24"/>
          <w:szCs w:val="24"/>
        </w:rPr>
        <w:t xml:space="preserve">Risk and Return Knowledge</w:t>
      </w:r>
      <w:r>
        <w:rPr>
          <w:rFonts w:ascii="Times New Roman" w:cs="Times New Roman" w:eastAsia="Times New Roman" w:hAnsi="Times New Roman"/>
          <w:sz w:val="24"/>
          <w:szCs w:val="24"/>
        </w:rPr>
        <w:t xml:space="preserve"> (12 items: Q29--Q40)</w:t>
      </w:r>
    </w:p>
    <w:p>
      <w:pPr>
        <w:spacing w:line="360" w:after="200"/>
      </w:pPr>
      <w:r>
        <w:rPr>
          <w:rFonts w:ascii="Times New Roman" w:cs="Times New Roman" w:eastAsia="Times New Roman" w:hAnsi="Times New Roman"/>
          <w:sz w:val="24"/>
          <w:szCs w:val="24"/>
        </w:rPr>
        <w:t xml:space="preserve">Confidence ratings are recorded for each anchor item and used for secondary analyses (calibration and diagnostic interpretation) but do not change the primary scoring. The SDM-10 is diagnostic only and does not contribute to the student's course grade.</w:t>
      </w:r>
    </w:p>
    <w:p>
      <w:pPr>
        <w:pStyle w:val="Heading2"/>
        <w:spacing w:before="360" w:after="180"/>
      </w:pPr>
      <w:r>
        <w:rPr>
          <w:rFonts w:ascii="Times New Roman" w:cs="Times New Roman" w:eastAsia="Times New Roman" w:hAnsi="Times New Roman"/>
          <w:sz w:val="24"/>
          <w:szCs w:val="24"/>
        </w:rPr>
        <w:t xml:space="preserve">3.3 Risk Literacy Emphasis</w:t>
      </w:r>
    </w:p>
    <w:p>
      <w:pPr>
        <w:spacing w:line="360" w:after="200"/>
      </w:pPr>
      <w:r>
        <w:rPr>
          <w:rFonts w:ascii="Times New Roman" w:cs="Times New Roman" w:eastAsia="Times New Roman" w:hAnsi="Times New Roman"/>
          <w:sz w:val="24"/>
          <w:szCs w:val="24"/>
        </w:rPr>
        <w:t xml:space="preserve">The instrument emphasizes risk literacy as a core construct, consistent with the independent study's objectives. Risk literacy encompasses not only factual knowledge of diversification, insurance, and risk-return tradeoffs (assessed through scored knowledge items) but also students' self-assessed confidence in recognizing and managing risk (assessed through confidence ratings and preference items). The SDM-10 module provides a deeper diagnostic layer by probing whether incorrect answers on risk-related items reflect misconceptions (specific wrong mental models), knowledge gaps (absence of knowledge), or selection errors (correct understanding with wrong answer choice). This three-level diagnostic architecture -- knowledge score, confidence calibration, and open-ended classification -- enables measurement of both quantitative and qualitative dimensions of risk literacy.</w:t>
      </w:r>
    </w:p>
    <w:p>
      <w:pPr>
        <w:spacing w:line="360" w:after="200"/>
      </w:pPr>
      <w:r>
        <w:rPr>
          <w:rFonts w:ascii="Times New Roman" w:cs="Times New Roman" w:eastAsia="Times New Roman" w:hAnsi="Times New Roman"/>
          <w:sz w:val="24"/>
          <w:szCs w:val="24"/>
        </w:rPr>
        <w:t xml:space="preserve">The instrument is designed to be internally consistent and transferable: piloted first with Loyola University Chicago students in QUIN 102, the item bank, scoring framework, and diagnostic module are intended for adaptation to broader student populations in future work.</w:t>
      </w:r>
    </w:p>
    <w:p>
      <w:r>
        <w:br w:type="page"/>
      </w:r>
    </w:p>
    <w:p>
      <w:pPr>
        <w:pStyle w:val="Heading1"/>
        <w:spacing w:before="480" w:after="240"/>
      </w:pPr>
      <w:r>
        <w:rPr>
          <w:rFonts w:ascii="Times New Roman" w:cs="Times New Roman" w:eastAsia="Times New Roman" w:hAnsi="Times New Roman"/>
          <w:sz w:val="24"/>
          <w:szCs w:val="24"/>
        </w:rPr>
        <w:t xml:space="preserve">4. SDM-10 Diagnostic Module</w:t>
      </w:r>
    </w:p>
    <w:p>
      <w:pPr>
        <w:pStyle w:val="Heading2"/>
        <w:spacing w:before="360" w:after="180"/>
      </w:pPr>
      <w:r>
        <w:rPr>
          <w:rFonts w:ascii="Times New Roman" w:cs="Times New Roman" w:eastAsia="Times New Roman" w:hAnsi="Times New Roman"/>
          <w:sz w:val="24"/>
          <w:szCs w:val="24"/>
        </w:rPr>
        <w:t xml:space="preserve">4.1 Selection Algorithm and Need Score</w:t>
      </w:r>
    </w:p>
    <w:p>
      <w:pPr>
        <w:spacing w:line="360" w:after="200"/>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draws only from knowledge items (Q1--Q14, Q29--Q40). Preference items (Q15--Q28) do not trigger adaptive follow-up because they assess attitudes rather than factual knowledge.</w:t>
      </w:r>
    </w:p>
    <w:p>
      <w:pPr>
        <w:spacing w:line="360" w:after="200"/>
      </w:pP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line="360" w:after="200"/>
      </w:pPr>
      <w:r>
        <w:rPr>
          <w:rFonts w:ascii="Times New Roman" w:cs="Times New Roman" w:eastAsia="Times New Roman" w:hAnsi="Times New Roman"/>
          <w:b/>
          <w:bCs/>
          <w:sz w:val="24"/>
          <w:szCs w:val="24"/>
        </w:rPr>
        <w:t xml:space="preserve">Table 4.1: Need Score Mapping (Correctness x Confidence x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after="200"/>
      </w:pPr>
    </w:p>
    <w:p>
      <w:pPr>
        <w:spacing w:line="360" w:after="200"/>
      </w:pP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Open-ended items are capped at 3 per student to limit response burden. The complete algorithm specification is presented in Appendix A.</w:t>
      </w:r>
    </w:p>
    <w:p>
      <w:pPr>
        <w:pStyle w:val="Heading2"/>
        <w:spacing w:before="360" w:after="180"/>
      </w:pPr>
      <w:r>
        <w:rPr>
          <w:rFonts w:ascii="Times New Roman" w:cs="Times New Roman" w:eastAsia="Times New Roman" w:hAnsi="Times New Roman"/>
          <w:sz w:val="24"/>
          <w:szCs w:val="24"/>
        </w:rPr>
        <w:t xml:space="preserve">4.2 Variant Types and Three-Way Classification</w:t>
      </w:r>
    </w:p>
    <w:p>
      <w:pPr>
        <w:spacing w:line="360" w:after="200"/>
      </w:pPr>
      <w:r>
        <w:rPr>
          <w:rFonts w:ascii="Times New Roman" w:cs="Times New Roman" w:eastAsia="Times New Roman" w:hAnsi="Times New Roman"/>
          <w:b/>
          <w:bCs/>
          <w:sz w:val="24"/>
          <w:szCs w:val="24"/>
        </w:rPr>
        <w:t xml:space="preserve">Table 4.2: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Response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Assigned 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confidence</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confidence</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confidence</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confidence</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confidence</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confidence</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spacing w:line="360" w:after="200"/>
      </w:pPr>
      <w:r>
        <w:rPr>
          <w:rFonts w:ascii="Times New Roman" w:cs="Times New Roman" w:eastAsia="Times New Roman" w:hAnsi="Times New Roman"/>
          <w:sz w:val="24"/>
          <w:szCs w:val="24"/>
        </w:rPr>
        <w:t xml:space="preserve">Every open-ended response is classified into one of three categories:</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The student holds a specific wrong mental model (e.g., believing lower inflation means falling prices, or that insurance exists primarily for routine care). Layer 1 and Layer 2 taxonomy codes are assigned.</w:t>
      </w:r>
    </w:p>
    <w:p>
      <w:pPr>
        <w:pStyle w:val="ListParagraph"/>
        <w:numPr>
          <w:ilvl w:val="0"/>
          <w:numId w:val="3"/>
        </w:numPr>
        <w:spacing w:line="360" w:after="100"/>
      </w:pPr>
      <w:r>
        <w:rPr>
          <w:rFonts w:ascii="Times New Roman" w:cs="Times New Roman" w:eastAsia="Times New Roman" w:hAnsi="Times New Roman"/>
          <w:b/>
          <w:bCs/>
          <w:sz w:val="24"/>
          <w:szCs w:val="24"/>
        </w:rPr>
        <w:t xml:space="preserve">Knowledge gap</w:t>
      </w:r>
      <w:r>
        <w:rPr>
          <w:rFonts w:ascii="Times New Roman" w:cs="Times New Roman" w:eastAsia="Times New Roman" w:hAnsi="Times New Roman"/>
          <w:sz w:val="24"/>
          <w:szCs w:val="24"/>
        </w:rPr>
        <w:t xml:space="preserve">: The student lacks knowledge -- blank responses, "I don't know," or inability to articulate reasoning about the topic.</w:t>
      </w:r>
    </w:p>
    <w:p>
      <w:pPr>
        <w:pStyle w:val="ListParagraph"/>
        <w:numPr>
          <w:ilvl w:val="0"/>
          <w:numId w:val="3"/>
        </w:numPr>
        <w:spacing w:line="360" w:after="100"/>
      </w:pPr>
      <w:r>
        <w:rPr>
          <w:rFonts w:ascii="Times New Roman" w:cs="Times New Roman" w:eastAsia="Times New Roman" w:hAnsi="Times New Roman"/>
          <w:b/>
          <w:bCs/>
          <w:sz w:val="24"/>
          <w:szCs w:val="24"/>
        </w:rPr>
        <w:t xml:space="preserve">Selection error</w:t>
      </w:r>
      <w:r>
        <w:rPr>
          <w:rFonts w:ascii="Times New Roman" w:cs="Times New Roman" w:eastAsia="Times New Roman" w:hAnsi="Times New Roman"/>
          <w:sz w:val="24"/>
          <w:szCs w:val="24"/>
        </w:rPr>
        <w:t xml:space="preserve">: The student demonstrates correct understanding in the explanation but selected the wrong anchor answer, typically due to misreading, misclick, or True/False reversal.</w:t>
      </w:r>
    </w:p>
    <w:p>
      <w:pPr>
        <w:spacing w:line="360" w:after="200"/>
      </w:pPr>
      <w:r>
        <w:rPr>
          <w:rFonts w:ascii="Times New Roman" w:cs="Times New Roman" w:eastAsia="Times New Roman" w:hAnsi="Times New Roman"/>
          <w:sz w:val="24"/>
          <w:szCs w:val="24"/>
        </w:rPr>
        <w:t xml:space="preserve">This three-way classification drives differentiated instructional follow-up: misconceptions require targeted correction of the specific wrong belief, knowledge gaps require instruction from foundational principles, and selection errors flag potential item ambiguity for revision rather than student remediation.</w:t>
      </w:r>
    </w:p>
    <w:p>
      <w:pPr>
        <w:spacing w:line="360" w:after="200"/>
      </w:pPr>
      <w:r>
        <w:rPr>
          <w:rFonts w:ascii="Times New Roman" w:cs="Times New Roman" w:eastAsia="Times New Roman" w:hAnsi="Times New Roman"/>
          <w:b/>
          <w:bCs/>
          <w:sz w:val="24"/>
          <w:szCs w:val="24"/>
        </w:rPr>
        <w:t xml:space="preserve">Misconception Taxonomy.</w:t>
      </w:r>
      <w:r>
        <w:rPr>
          <w:rFonts w:ascii="Times New Roman" w:cs="Times New Roman" w:eastAsia="Times New Roman" w:hAnsi="Times New Roman"/>
          <w:sz w:val="24"/>
          <w:szCs w:val="24"/>
        </w:rPr>
        <w:t xml:space="preserve"> A two-layer taxonomy structures the classification. Layer 1 contains 37 generalizable financial literacy misconception families organized into seven categories (Appendix C). Layer 2 contains item-specific tags derived from observed student response patterns. Layer 1 codes are designed to transfer across assessment contexts and student populations.</w:t>
      </w:r>
    </w:p>
    <w:p>
      <w:pPr>
        <w:pStyle w:val="Heading2"/>
        <w:spacing w:before="360" w:after="180"/>
      </w:pPr>
      <w:r>
        <w:rPr>
          <w:rFonts w:ascii="Times New Roman" w:cs="Times New Roman" w:eastAsia="Times New Roman" w:hAnsi="Times New Roman"/>
          <w:sz w:val="24"/>
          <w:szCs w:val="24"/>
        </w:rPr>
        <w:t xml:space="preserve">4.3 AI-Assisted Scoring Pipeline</w:t>
      </w:r>
    </w:p>
    <w:p>
      <w:pPr>
        <w:spacing w:line="360" w:after="200"/>
      </w:pPr>
      <w:r>
        <w:rPr>
          <w:rFonts w:ascii="Times New Roman" w:cs="Times New Roman" w:eastAsia="Times New Roman" w:hAnsi="Times New Roman"/>
          <w:sz w:val="24"/>
          <w:szCs w:val="24"/>
        </w:rPr>
        <w:t xml:space="preserve">Open-ended responses are scored using GPT-4.1 (OpenAI) accessed via the OpenRouter API. The model was selected through a multi-model concordance protocol in which 11 large language models from seven providers scored the same 20 responses and were evaluated on five quality criteria: schema compliance, error rate, classification nuance, throughput, and cost (Appendix D).</w:t>
      </w:r>
    </w:p>
    <w:p>
      <w:pPr>
        <w:spacing w:line="360" w:after="200"/>
      </w:pPr>
      <w:r>
        <w:rPr>
          <w:rFonts w:ascii="Times New Roman" w:cs="Times New Roman" w:eastAsia="Times New Roman" w:hAnsi="Times New Roman"/>
          <w:sz w:val="24"/>
          <w:szCs w:val="24"/>
        </w:rPr>
        <w:t xml:space="preserve">Each response is processed with an item-specific prompt containing: the anchor question context, the student's selected answer and confidence level, the applicable Layer 1 misconception families with Layer 2 tags, calibration examples drawn from manually reviewed responses, and a structured decision tree for three-way classification. The model returns a structured JSON classification including diagnosis type, taxonomy codes, credit score (0/50/100 measuring diagnostic value), classification confidence (high/medium/low), an evidence quote, and a reasoning summary.</w:t>
      </w:r>
    </w:p>
    <w:p>
      <w:pPr>
        <w:spacing w:line="360" w:after="200"/>
      </w:pPr>
      <w:r>
        <w:rPr>
          <w:rFonts w:ascii="Times New Roman" w:cs="Times New Roman" w:eastAsia="Times New Roman" w:hAnsi="Times New Roman"/>
          <w:sz w:val="24"/>
          <w:szCs w:val="24"/>
        </w:rPr>
        <w:t xml:space="preserve">This approach follows established practices for LLM-based assessment scoring (Mizumoto &amp; Eguchi, 2024; Yavuz, 2025) and adopts the collaborative human-AI scoring model in which the LLM serves as a second rater whose low-confidence outputs are flagged for instructor adjudication (Olivos, Kamelski, &amp; Ascui-Gac, 2025). All item selection decisions are deterministic and rule-based; the language model is used only for open-ended response classification.</w:t>
      </w:r>
    </w:p>
    <w:p>
      <w:pPr>
        <w:pStyle w:val="Heading2"/>
        <w:spacing w:before="360" w:after="180"/>
      </w:pPr>
      <w:r>
        <w:rPr>
          <w:rFonts w:ascii="Times New Roman" w:cs="Times New Roman" w:eastAsia="Times New Roman" w:hAnsi="Times New Roman"/>
          <w:sz w:val="24"/>
          <w:szCs w:val="24"/>
        </w:rPr>
        <w:t xml:space="preserve">4.4 Diagnostic Findings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for diagnose, or correct + low confidence for confirm). The open-ended sample therefore reflects the tails of the confidence-accuracy distribution, not a random cross-section of the class. Misconception prevalence estimates from the SDM-10 should not be generalized to the full cohort without accounting for this conditioning.</w:t>
      </w:r>
    </w:p>
    <w:p>
      <w:pPr>
        <w:spacing w:line="360" w:after="200"/>
      </w:pPr>
      <w:r>
        <w:rPr>
          <w:rFonts w:ascii="Times New Roman" w:cs="Times New Roman" w:eastAsia="Times New Roman" w:hAnsi="Times New Roman"/>
          <w:sz w:val="24"/>
          <w:szCs w:val="24"/>
        </w:rPr>
        <w:t xml:space="preserve">All analyses in this section are restricted to the research-consented subset (n = 354 of 431 submitted students, 82.1%).</w:t>
      </w:r>
    </w:p>
    <w:p>
      <w:pPr>
        <w:pStyle w:val="Heading3"/>
        <w:spacing w:before="240" w:after="120"/>
      </w:pPr>
      <w:r>
        <w:rPr>
          <w:rFonts w:ascii="Times New Roman" w:cs="Times New Roman" w:eastAsia="Times New Roman" w:hAnsi="Times New Roman"/>
          <w:sz w:val="24"/>
          <w:szCs w:val="24"/>
        </w:rPr>
        <w:t xml:space="preserve">4.4.1 Open-Ended Response Overview</w:t>
      </w:r>
    </w:p>
    <w:p>
      <w:pPr>
        <w:spacing w:line="360" w:after="200"/>
      </w:pPr>
      <w:r>
        <w:rPr>
          <w:rFonts w:ascii="Times New Roman" w:cs="Times New Roman" w:eastAsia="Times New Roman" w:hAnsi="Times New Roman"/>
          <w:sz w:val="24"/>
          <w:szCs w:val="24"/>
        </w:rPr>
        <w:t xml:space="preserve">Of the 354 consented students who submitted the assessment, 306 (86.4%) received at least one open-ended item, generating 781 open-ended responses. The AI scoring pipeline processed 778 of these responses with zero errors.</w:t>
      </w:r>
    </w:p>
    <w:p>
      <w:pPr>
        <w:spacing w:line="360" w:after="200"/>
      </w:pPr>
      <w:r>
        <w:rPr>
          <w:rFonts w:ascii="Times New Roman" w:cs="Times New Roman" w:eastAsia="Times New Roman" w:hAnsi="Times New Roman"/>
          <w:b/>
          <w:bCs/>
          <w:sz w:val="24"/>
          <w:szCs w:val="24"/>
        </w:rPr>
        <w:t xml:space="preserve">Table 4.3: SDM-10 Open-Ended Summary (Consented Sample)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Consented students completing SDM-10</w:t>
            </w:r>
          </w:p>
        </w:tc>
        <w:tc>
          <w:tcPr>
            <w:tcW w:type="dxa" w:w="4680"/>
            <w:vAlign w:val="center"/>
          </w:tcPr>
          <w:p>
            <w:pPr>
              <w:jc w:val="center"/>
            </w:pPr>
            <w:r>
              <w:rPr>
                <w:rFonts w:ascii="Times New Roman" w:cs="Times New Roman" w:eastAsia="Times New Roman" w:hAnsi="Times New Roman"/>
                <w:sz w:val="22"/>
                <w:szCs w:val="22"/>
              </w:rPr>
              <w:t xml:space="preserve">354</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306 (86.4%)</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781</w:t>
            </w:r>
          </w:p>
        </w:tc>
      </w:tr>
      <w:tr>
        <w:tc>
          <w:tcPr>
            <w:tcW w:type="dxa" w:w="4680"/>
            <w:vAlign w:val="center"/>
          </w:tcPr>
          <w:p>
            <w:pPr>
              <w:jc w:val="center"/>
            </w:pPr>
            <w:r>
              <w:rPr>
                <w:rFonts w:ascii="Times New Roman" w:cs="Times New Roman" w:eastAsia="Times New Roman" w:hAnsi="Times New Roman"/>
                <w:sz w:val="22"/>
                <w:szCs w:val="22"/>
              </w:rPr>
              <w:t xml:space="preserve">Responses scored by AI</w:t>
            </w:r>
          </w:p>
        </w:tc>
        <w:tc>
          <w:tcPr>
            <w:tcW w:type="dxa" w:w="4680"/>
            <w:vAlign w:val="center"/>
          </w:tcPr>
          <w:p>
            <w:pPr>
              <w:jc w:val="center"/>
            </w:pPr>
            <w:r>
              <w:rPr>
                <w:rFonts w:ascii="Times New Roman" w:cs="Times New Roman" w:eastAsia="Times New Roman" w:hAnsi="Times New Roman"/>
                <w:sz w:val="22"/>
                <w:szCs w:val="22"/>
              </w:rPr>
              <w:t xml:space="preserve">778</w:t>
            </w:r>
          </w:p>
        </w:tc>
      </w:tr>
      <w:tr>
        <w:tc>
          <w:tcPr>
            <w:tcW w:type="dxa" w:w="4680"/>
            <w:vAlign w:val="center"/>
          </w:tcPr>
          <w:p>
            <w:pPr>
              <w:jc w:val="center"/>
            </w:pPr>
            <w:r>
              <w:rPr>
                <w:rFonts w:ascii="Times New Roman" w:cs="Times New Roman" w:eastAsia="Times New Roman" w:hAnsi="Times New Roman"/>
                <w:sz w:val="22"/>
                <w:szCs w:val="22"/>
              </w:rPr>
              <w:t xml:space="preserve">Diagnose responses scored</w:t>
            </w:r>
          </w:p>
        </w:tc>
        <w:tc>
          <w:tcPr>
            <w:tcW w:type="dxa" w:w="4680"/>
            <w:vAlign w:val="center"/>
          </w:tcPr>
          <w:p>
            <w:pPr>
              <w:jc w:val="center"/>
            </w:pPr>
            <w:r>
              <w:rPr>
                <w:rFonts w:ascii="Times New Roman" w:cs="Times New Roman" w:eastAsia="Times New Roman" w:hAnsi="Times New Roman"/>
                <w:sz w:val="22"/>
                <w:szCs w:val="22"/>
              </w:rPr>
              <w:t xml:space="preserve">493</w:t>
            </w:r>
          </w:p>
        </w:tc>
      </w:tr>
      <w:tr>
        <w:tc>
          <w:tcPr>
            <w:tcW w:type="dxa" w:w="4680"/>
            <w:vAlign w:val="center"/>
          </w:tcPr>
          <w:p>
            <w:pPr>
              <w:jc w:val="center"/>
            </w:pPr>
            <w:r>
              <w:rPr>
                <w:rFonts w:ascii="Times New Roman" w:cs="Times New Roman" w:eastAsia="Times New Roman" w:hAnsi="Times New Roman"/>
                <w:sz w:val="22"/>
                <w:szCs w:val="22"/>
              </w:rPr>
              <w:t xml:space="preserve">Confirm responses scored</w:t>
            </w:r>
          </w:p>
        </w:tc>
        <w:tc>
          <w:tcPr>
            <w:tcW w:type="dxa" w:w="4680"/>
            <w:vAlign w:val="center"/>
          </w:tcPr>
          <w:p>
            <w:pPr>
              <w:jc w:val="center"/>
            </w:pPr>
            <w:r>
              <w:rPr>
                <w:rFonts w:ascii="Times New Roman" w:cs="Times New Roman" w:eastAsia="Times New Roman" w:hAnsi="Times New Roman"/>
                <w:sz w:val="22"/>
                <w:szCs w:val="22"/>
              </w:rPr>
              <w:t xml:space="preserve">285</w:t>
            </w:r>
          </w:p>
        </w:tc>
      </w:tr>
      <w:tr>
        <w:tc>
          <w:tcPr>
            <w:tcW w:type="dxa" w:w="4680"/>
            <w:vAlign w:val="center"/>
          </w:tcPr>
          <w:p>
            <w:pPr>
              <w:jc w:val="center"/>
            </w:pPr>
            <w:r>
              <w:rPr>
                <w:rFonts w:ascii="Times New Roman" w:cs="Times New Roman" w:eastAsia="Times New Roman" w:hAnsi="Times New Roman"/>
                <w:sz w:val="22"/>
                <w:szCs w:val="22"/>
              </w:rPr>
              <w:t xml:space="preserve">AI scoring model</w:t>
            </w:r>
          </w:p>
        </w:tc>
        <w:tc>
          <w:tcPr>
            <w:tcW w:type="dxa" w:w="4680"/>
            <w:vAlign w:val="center"/>
          </w:tcPr>
          <w:p>
            <w:pPr>
              <w:jc w:val="center"/>
            </w:pPr>
            <w:r>
              <w:rPr>
                <w:rFonts w:ascii="Times New Roman" w:cs="Times New Roman" w:eastAsia="Times New Roman" w:hAnsi="Times New Roman"/>
                <w:sz w:val="22"/>
                <w:szCs w:val="22"/>
              </w:rPr>
              <w:t xml:space="preserve">GPT-4.1 (OpenAI via OpenRouter)</w:t>
            </w:r>
          </w:p>
        </w:tc>
      </w:tr>
      <w:tr>
        <w:tc>
          <w:tcPr>
            <w:tcW w:type="dxa" w:w="4680"/>
            <w:vAlign w:val="center"/>
          </w:tcPr>
          <w:p>
            <w:pPr>
              <w:jc w:val="center"/>
            </w:pPr>
            <w:r>
              <w:rPr>
                <w:rFonts w:ascii="Times New Roman" w:cs="Times New Roman" w:eastAsia="Times New Roman" w:hAnsi="Times New Roman"/>
                <w:sz w:val="22"/>
                <w:szCs w:val="22"/>
              </w:rPr>
              <w:t xml:space="preserve">AI scoring error rate</w:t>
            </w:r>
          </w:p>
        </w:tc>
        <w:tc>
          <w:tcPr>
            <w:tcW w:type="dxa" w:w="4680"/>
            <w:vAlign w:val="center"/>
          </w:tcPr>
          <w:p>
            <w:pPr>
              <w:jc w:val="center"/>
            </w:pPr>
            <w:r>
              <w:rPr>
                <w:rFonts w:ascii="Times New Roman" w:cs="Times New Roman" w:eastAsia="Times New Roman" w:hAnsi="Times New Roman"/>
                <w:sz w:val="22"/>
                <w:szCs w:val="22"/>
              </w:rPr>
              <w:t xml:space="preserve">0 / 778 (0%)</w:t>
            </w:r>
          </w:p>
        </w:tc>
      </w:tr>
    </w:tbl>
    <w:p>
      <w:pPr>
        <w:spacing w:after="200"/>
      </w:pPr>
    </w:p>
    <w:p>
      <w:pPr>
        <w:spacing w:line="360" w:after="200"/>
      </w:pPr>
      <w:r>
        <w:rPr>
          <w:rFonts w:ascii="Times New Roman" w:cs="Times New Roman" w:eastAsia="Times New Roman" w:hAnsi="Times New Roman"/>
          <w:b/>
          <w:bCs/>
          <w:sz w:val="24"/>
          <w:szCs w:val="24"/>
        </w:rPr>
        <w:t xml:space="preserve">Response Quality.</w:t>
      </w:r>
      <w:r>
        <w:rPr>
          <w:rFonts w:ascii="Times New Roman" w:cs="Times New Roman" w:eastAsia="Times New Roman" w:hAnsi="Times New Roman"/>
          <w:sz w:val="24"/>
          <w:szCs w:val="24"/>
        </w:rPr>
        <w:t xml:space="preserve"> 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from the anchor assessment and received no grade incentive to provide detailed explanations.</w:t>
      </w:r>
    </w:p>
    <w:p>
      <w:pPr>
        <w:pStyle w:val="Heading3"/>
        <w:spacing w:before="240" w:after="120"/>
      </w:pPr>
      <w:r>
        <w:rPr>
          <w:rFonts w:ascii="Times New Roman" w:cs="Times New Roman" w:eastAsia="Times New Roman" w:hAnsi="Times New Roman"/>
          <w:sz w:val="24"/>
          <w:szCs w:val="24"/>
        </w:rPr>
        <w:t xml:space="preserve">4.4.2 Diagnose Classification Results</w:t>
      </w:r>
    </w:p>
    <w:p>
      <w:pPr>
        <w:spacing w:line="360" w:after="200"/>
      </w:pPr>
      <w:r>
        <w:rPr>
          <w:rFonts w:ascii="Times New Roman" w:cs="Times New Roman" w:eastAsia="Times New Roman" w:hAnsi="Times New Roman"/>
          <w:b/>
          <w:bCs/>
          <w:sz w:val="24"/>
          <w:szCs w:val="24"/>
        </w:rPr>
        <w:t xml:space="preserve">Table 4.4: Diagnose Three-Way Classification (Consented, n = 493 scored, 479 classified)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2340"/>
            <w:vAlign w:val="center"/>
          </w:tcPr>
          <w:p>
            <w:pPr>
              <w:jc w:val="center"/>
            </w:pPr>
            <w:r>
              <w:rPr>
                <w:rFonts w:ascii="Times New Roman" w:cs="Times New Roman" w:eastAsia="Times New Roman" w:hAnsi="Times New Roman"/>
                <w:sz w:val="22"/>
                <w:szCs w:val="22"/>
              </w:rPr>
              <w:t xml:space="preserve">Misconception</w:t>
            </w:r>
          </w:p>
        </w:tc>
        <w:tc>
          <w:tcPr>
            <w:tcW w:type="dxa" w:w="2340"/>
            <w:vAlign w:val="center"/>
          </w:tcPr>
          <w:p>
            <w:pPr>
              <w:jc w:val="center"/>
            </w:pPr>
            <w:r>
              <w:rPr>
                <w:rFonts w:ascii="Times New Roman" w:cs="Times New Roman" w:eastAsia="Times New Roman" w:hAnsi="Times New Roman"/>
                <w:sz w:val="22"/>
                <w:szCs w:val="22"/>
              </w:rPr>
              <w:t xml:space="preserve">258</w:t>
            </w:r>
          </w:p>
        </w:tc>
        <w:tc>
          <w:tcPr>
            <w:tcW w:type="dxa" w:w="2340"/>
            <w:vAlign w:val="center"/>
          </w:tcPr>
          <w:p>
            <w:pPr>
              <w:jc w:val="center"/>
            </w:pPr>
            <w:r>
              <w:rPr>
                <w:rFonts w:ascii="Times New Roman" w:cs="Times New Roman" w:eastAsia="Times New Roman" w:hAnsi="Times New Roman"/>
                <w:sz w:val="22"/>
                <w:szCs w:val="22"/>
              </w:rPr>
              <w:t xml:space="preserve">53.9%</w:t>
            </w:r>
          </w:p>
        </w:tc>
        <w:tc>
          <w:tcPr>
            <w:tcW w:type="dxa" w:w="2340"/>
            <w:vAlign w:val="center"/>
          </w:tcPr>
          <w:p>
            <w:pPr>
              <w:jc w:val="center"/>
            </w:pPr>
            <w:r>
              <w:rPr>
                <w:rFonts w:ascii="Times New Roman" w:cs="Times New Roman" w:eastAsia="Times New Roman" w:hAnsi="Times New Roman"/>
                <w:sz w:val="22"/>
                <w:szCs w:val="22"/>
              </w:rPr>
              <w:t xml:space="preserve">Active incorrect belief confirmed</w:t>
            </w:r>
          </w:p>
        </w:tc>
      </w:tr>
      <w:tr>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2340"/>
            <w:vAlign w:val="center"/>
          </w:tcPr>
          <w:p>
            <w:pPr>
              <w:jc w:val="center"/>
            </w:pPr>
            <w:r>
              <w:rPr>
                <w:rFonts w:ascii="Times New Roman" w:cs="Times New Roman" w:eastAsia="Times New Roman" w:hAnsi="Times New Roman"/>
                <w:sz w:val="22"/>
                <w:szCs w:val="22"/>
              </w:rPr>
              <w:t xml:space="preserve">153</w:t>
            </w:r>
          </w:p>
        </w:tc>
        <w:tc>
          <w:tcPr>
            <w:tcW w:type="dxa" w:w="2340"/>
            <w:vAlign w:val="center"/>
          </w:tcPr>
          <w:p>
            <w:pPr>
              <w:jc w:val="center"/>
            </w:pPr>
            <w:r>
              <w:rPr>
                <w:rFonts w:ascii="Times New Roman" w:cs="Times New Roman" w:eastAsia="Times New Roman" w:hAnsi="Times New Roman"/>
                <w:sz w:val="22"/>
                <w:szCs w:val="22"/>
              </w:rPr>
              <w:t xml:space="preserve">31.9%</w:t>
            </w:r>
          </w:p>
        </w:tc>
        <w:tc>
          <w:tcPr>
            <w:tcW w:type="dxa" w:w="2340"/>
            <w:vAlign w:val="center"/>
          </w:tcPr>
          <w:p>
            <w:pPr>
              <w:jc w:val="center"/>
            </w:pPr>
            <w:r>
              <w:rPr>
                <w:rFonts w:ascii="Times New Roman" w:cs="Times New Roman" w:eastAsia="Times New Roman" w:hAnsi="Times New Roman"/>
                <w:sz w:val="22"/>
                <w:szCs w:val="22"/>
              </w:rPr>
              <w:t xml:space="preserve">Correct understanding, wrong answer</w:t>
            </w:r>
          </w:p>
        </w:tc>
      </w:tr>
      <w:tr>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2340"/>
            <w:vAlign w:val="center"/>
          </w:tcPr>
          <w:p>
            <w:pPr>
              <w:jc w:val="center"/>
            </w:pPr>
            <w:r>
              <w:rPr>
                <w:rFonts w:ascii="Times New Roman" w:cs="Times New Roman" w:eastAsia="Times New Roman" w:hAnsi="Times New Roman"/>
                <w:sz w:val="22"/>
                <w:szCs w:val="22"/>
              </w:rPr>
              <w:t xml:space="preserve">68</w:t>
            </w:r>
          </w:p>
        </w:tc>
        <w:tc>
          <w:tcPr>
            <w:tcW w:type="dxa" w:w="2340"/>
            <w:vAlign w:val="center"/>
          </w:tcPr>
          <w:p>
            <w:pPr>
              <w:jc w:val="center"/>
            </w:pPr>
            <w:r>
              <w:rPr>
                <w:rFonts w:ascii="Times New Roman" w:cs="Times New Roman" w:eastAsia="Times New Roman" w:hAnsi="Times New Roman"/>
                <w:sz w:val="22"/>
                <w:szCs w:val="22"/>
              </w:rPr>
              <w:t xml:space="preserve">14.2%</w:t>
            </w:r>
          </w:p>
        </w:tc>
        <w:tc>
          <w:tcPr>
            <w:tcW w:type="dxa" w:w="2340"/>
            <w:vAlign w:val="center"/>
          </w:tcPr>
          <w:p>
            <w:pPr>
              <w:jc w:val="center"/>
            </w:pPr>
            <w:r>
              <w:rPr>
                <w:rFonts w:ascii="Times New Roman" w:cs="Times New Roman" w:eastAsia="Times New Roman" w:hAnsi="Times New Roman"/>
                <w:sz w:val="22"/>
                <w:szCs w:val="22"/>
              </w:rPr>
              <w:t xml:space="preserve">Acknowledged uncertainty, no model</w:t>
            </w:r>
          </w:p>
        </w:tc>
      </w:tr>
      <w:tr>
        <w:tc>
          <w:tcPr>
            <w:tcW w:type="dxa" w:w="2340"/>
            <w:vAlign w:val="center"/>
          </w:tcPr>
          <w:p>
            <w:pPr>
              <w:jc w:val="center"/>
            </w:pPr>
            <w:r>
              <w:rPr>
                <w:rFonts w:ascii="Times New Roman" w:cs="Times New Roman" w:eastAsia="Times New Roman" w:hAnsi="Times New Roman"/>
                <w:sz w:val="22"/>
                <w:szCs w:val="22"/>
              </w:rPr>
              <w:t xml:space="preserve">Unclassified</w:t>
            </w:r>
          </w:p>
        </w:tc>
        <w:tc>
          <w:tcPr>
            <w:tcW w:type="dxa" w:w="2340"/>
            <w:vAlign w:val="center"/>
          </w:tcPr>
          <w:p>
            <w:pPr>
              <w:jc w:val="center"/>
            </w:pPr>
            <w:r>
              <w:rPr>
                <w:rFonts w:ascii="Times New Roman" w:cs="Times New Roman" w:eastAsia="Times New Roman" w:hAnsi="Times New Roman"/>
                <w:sz w:val="22"/>
                <w:szCs w:val="22"/>
              </w:rPr>
              <w:t xml:space="preserve">14</w:t>
            </w:r>
          </w:p>
        </w:tc>
        <w:tc>
          <w:tcPr>
            <w:tcW w:type="dxa" w:w="2340"/>
            <w:vAlign w:val="center"/>
          </w:tcPr>
          <w:p>
            <w:pPr>
              <w:jc w:val="center"/>
            </w:pPr>
            <w:r>
              <w:rPr>
                <w:rFonts w:ascii="Times New Roman" w:cs="Times New Roman" w:eastAsia="Times New Roman" w:hAnsi="Times New Roman"/>
                <w:sz w:val="22"/>
                <w:szCs w:val="22"/>
              </w:rPr>
              <w:t xml:space="preserve">---</w:t>
            </w:r>
          </w:p>
        </w:tc>
        <w:tc>
          <w:tcPr>
            <w:tcW w:type="dxa" w:w="2340"/>
            <w:vAlign w:val="center"/>
          </w:tcPr>
          <w:p>
            <w:pPr>
              <w:jc w:val="center"/>
            </w:pPr>
            <w:r>
              <w:rPr>
                <w:rFonts w:ascii="Times New Roman" w:cs="Times New Roman" w:eastAsia="Times New Roman" w:hAnsi="Times New Roman"/>
                <w:sz w:val="22"/>
                <w:szCs w:val="22"/>
              </w:rPr>
              <w:t xml:space="preserve">Ambiguous or insufficient for three-way</w:t>
            </w:r>
          </w:p>
        </w:tc>
      </w:tr>
    </w:tbl>
    <w:p>
      <w:pPr>
        <w:spacing w:after="200"/>
      </w:pPr>
    </w:p>
    <w:p>
      <w:pPr>
        <w:spacing w:line="360" w:after="200"/>
      </w:pPr>
      <w:r>
        <w:rPr>
          <w:rFonts w:ascii="Times New Roman" w:cs="Times New Roman" w:eastAsia="Times New Roman" w:hAnsi="Times New Roman"/>
          <w:sz w:val="24"/>
          <w:szCs w:val="24"/>
        </w:rPr>
        <w:t xml:space="preserve">Of the 493 AI-scored diagnose responses, 479 (97.2%) were classified into the three-way taxonomy. Over half of classified responses (53.9%) reflected identifiable misconceptions -- specific wrong mental models that can be targeted through instruction. Nearly a third (31.9%) were selection errors, meaning the student demonstrated correct understanding in the explanation despite selecting the wrong anchor answer. This is a central finding: among students who answered incorrectly with high confidence (the SDM-10 diagnose trigger condition), almost one in three does not hold a misconception at all, but rather experienced a mismatch between their knowledge and the item format or phrasing. The 14 unclassified responses had ambiguous explanations that did not clearly fit any category. These rates reflect the high-confidence-incorrect subsample, not the full class (see Section 4.4 caveat).</w:t>
      </w:r>
    </w:p>
    <w:p>
      <w:pPr>
        <w:spacing w:line="360" w:after="200"/>
      </w:pPr>
      <w:r>
        <w:rPr>
          <w:rFonts w:ascii="Times New Roman" w:cs="Times New Roman" w:eastAsia="Times New Roman" w:hAnsi="Times New Roman"/>
          <w:b/>
          <w:bCs/>
          <w:sz w:val="24"/>
          <w:szCs w:val="24"/>
        </w:rPr>
        <w:t xml:space="preserve">Table 4.5: Diagnose Classification by Item (Consented, items with n &gt;= 5, sorted by diagnose volume)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KG</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Top Tag</w:t>
            </w:r>
          </w:p>
        </w:tc>
      </w:tr>
      <w:tr>
        <w:tc>
          <w:tcPr>
            <w:tcW w:type="dxa" w:w="1040"/>
            <w:vAlign w:val="center"/>
          </w:tcPr>
          <w:p>
            <w:pPr>
              <w:jc w:val="center"/>
            </w:pPr>
            <w:r>
              <w:rPr>
                <w:rFonts w:ascii="Times New Roman" w:cs="Times New Roman" w:eastAsia="Times New Roman" w:hAnsi="Times New Roman"/>
                <w:sz w:val="22"/>
                <w:szCs w:val="22"/>
              </w:rPr>
              <w:t xml:space="preserve">Q7</w:t>
            </w:r>
          </w:p>
        </w:tc>
        <w:tc>
          <w:tcPr>
            <w:tcW w:type="dxa" w:w="1040"/>
            <w:vAlign w:val="center"/>
          </w:tcPr>
          <w:p>
            <w:pPr>
              <w:jc w:val="center"/>
            </w:pPr>
            <w:r>
              <w:rPr>
                <w:rFonts w:ascii="Times New Roman" w:cs="Times New Roman" w:eastAsia="Times New Roman" w:hAnsi="Times New Roman"/>
                <w:sz w:val="22"/>
                <w:szCs w:val="22"/>
              </w:rPr>
              <w:t xml:space="preserve">Inflation (Fixed Income)</w:t>
            </w:r>
          </w:p>
        </w:tc>
        <w:tc>
          <w:tcPr>
            <w:tcW w:type="dxa" w:w="1040"/>
            <w:vAlign w:val="center"/>
          </w:tcPr>
          <w:p>
            <w:pPr>
              <w:jc w:val="center"/>
            </w:pPr>
            <w:r>
              <w:rPr>
                <w:rFonts w:ascii="Times New Roman" w:cs="Times New Roman" w:eastAsia="Times New Roman" w:hAnsi="Times New Roman"/>
                <w:sz w:val="22"/>
                <w:szCs w:val="22"/>
              </w:rPr>
              <w:t xml:space="preserve">54</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63%</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26%</w:t>
            </w:r>
          </w:p>
        </w:tc>
        <w:tc>
          <w:tcPr>
            <w:tcW w:type="dxa" w:w="1040"/>
            <w:vAlign w:val="center"/>
          </w:tcPr>
          <w:p>
            <w:pPr>
              <w:jc w:val="center"/>
            </w:pPr>
            <w:r>
              <w:rPr>
                <w:rFonts w:ascii="Times New Roman" w:cs="Times New Roman" w:eastAsia="Times New Roman" w:hAnsi="Times New Roman"/>
                <w:sz w:val="22"/>
                <w:szCs w:val="22"/>
              </w:rPr>
              <w:t xml:space="preserve">older_workers_worst</w:t>
            </w:r>
          </w:p>
        </w:tc>
      </w:tr>
      <w:tr>
        <w:tc>
          <w:tcPr>
            <w:tcW w:type="dxa" w:w="1040"/>
            <w:vAlign w:val="center"/>
          </w:tcPr>
          <w:p>
            <w:pPr>
              <w:jc w:val="center"/>
            </w:pPr>
            <w:r>
              <w:rPr>
                <w:rFonts w:ascii="Times New Roman" w:cs="Times New Roman" w:eastAsia="Times New Roman" w:hAnsi="Times New Roman"/>
                <w:sz w:val="22"/>
                <w:szCs w:val="22"/>
              </w:rPr>
              <w:t xml:space="preserve">Q6</w:t>
            </w:r>
          </w:p>
        </w:tc>
        <w:tc>
          <w:tcPr>
            <w:tcW w:type="dxa" w:w="1040"/>
            <w:vAlign w:val="center"/>
          </w:tcPr>
          <w:p>
            <w:pPr>
              <w:jc w:val="center"/>
            </w:pPr>
            <w:r>
              <w:rPr>
                <w:rFonts w:ascii="Times New Roman" w:cs="Times New Roman" w:eastAsia="Times New Roman" w:hAnsi="Times New Roman"/>
                <w:sz w:val="22"/>
                <w:szCs w:val="22"/>
              </w:rPr>
              <w:t xml:space="preserve">Inflation (Lowering)</w:t>
            </w:r>
          </w:p>
        </w:tc>
        <w:tc>
          <w:tcPr>
            <w:tcW w:type="dxa" w:w="1040"/>
            <w:vAlign w:val="center"/>
          </w:tcPr>
          <w:p>
            <w:pPr>
              <w:jc w:val="center"/>
            </w:pPr>
            <w:r>
              <w:rPr>
                <w:rFonts w:ascii="Times New Roman" w:cs="Times New Roman" w:eastAsia="Times New Roman" w:hAnsi="Times New Roman"/>
                <w:sz w:val="22"/>
                <w:szCs w:val="22"/>
              </w:rPr>
              <w:t xml:space="preserve">53</w:t>
            </w:r>
          </w:p>
        </w:tc>
        <w:tc>
          <w:tcPr>
            <w:tcW w:type="dxa" w:w="1040"/>
            <w:vAlign w:val="center"/>
          </w:tcPr>
          <w:p>
            <w:pPr>
              <w:jc w:val="center"/>
            </w:pPr>
            <w:r>
              <w:rPr>
                <w:rFonts w:ascii="Times New Roman" w:cs="Times New Roman" w:eastAsia="Times New Roman" w:hAnsi="Times New Roman"/>
                <w:sz w:val="22"/>
                <w:szCs w:val="22"/>
              </w:rPr>
              <w:t xml:space="preserve">42</w:t>
            </w:r>
          </w:p>
        </w:tc>
        <w:tc>
          <w:tcPr>
            <w:tcW w:type="dxa" w:w="1040"/>
            <w:vAlign w:val="center"/>
          </w:tcPr>
          <w:p>
            <w:pPr>
              <w:jc w:val="center"/>
            </w:pPr>
            <w:r>
              <w:rPr>
                <w:rFonts w:ascii="Times New Roman" w:cs="Times New Roman" w:eastAsia="Times New Roman" w:hAnsi="Times New Roman"/>
                <w:sz w:val="22"/>
                <w:szCs w:val="22"/>
              </w:rPr>
              <w:t xml:space="preserve">79%</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lower_inflation_means_lower_prices</w:t>
            </w:r>
          </w:p>
        </w:tc>
      </w:tr>
      <w:tr>
        <w:tc>
          <w:tcPr>
            <w:tcW w:type="dxa" w:w="1040"/>
            <w:vAlign w:val="center"/>
          </w:tcPr>
          <w:p>
            <w:pPr>
              <w:jc w:val="center"/>
            </w:pPr>
            <w:r>
              <w:rPr>
                <w:rFonts w:ascii="Times New Roman" w:cs="Times New Roman" w:eastAsia="Times New Roman" w:hAnsi="Times New Roman"/>
                <w:sz w:val="22"/>
                <w:szCs w:val="22"/>
              </w:rPr>
              <w:t xml:space="preserve">Q36</w:t>
            </w:r>
          </w:p>
        </w:tc>
        <w:tc>
          <w:tcPr>
            <w:tcW w:type="dxa" w:w="1040"/>
            <w:vAlign w:val="center"/>
          </w:tcPr>
          <w:p>
            <w:pPr>
              <w:jc w:val="center"/>
            </w:pPr>
            <w:r>
              <w:rPr>
                <w:rFonts w:ascii="Times New Roman" w:cs="Times New Roman" w:eastAsia="Times New Roman" w:hAnsi="Times New Roman"/>
                <w:sz w:val="22"/>
                <w:szCs w:val="22"/>
              </w:rPr>
              <w:t xml:space="preserve">Diversification Principle</w:t>
            </w:r>
          </w:p>
        </w:tc>
        <w:tc>
          <w:tcPr>
            <w:tcW w:type="dxa" w:w="1040"/>
            <w:vAlign w:val="center"/>
          </w:tcPr>
          <w:p>
            <w:pPr>
              <w:jc w:val="center"/>
            </w:pPr>
            <w:r>
              <w:rPr>
                <w:rFonts w:ascii="Times New Roman" w:cs="Times New Roman" w:eastAsia="Times New Roman" w:hAnsi="Times New Roman"/>
                <w:sz w:val="22"/>
                <w:szCs w:val="22"/>
              </w:rPr>
              <w:t xml:space="preserve">42</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81%</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Q10</w:t>
            </w:r>
          </w:p>
        </w:tc>
        <w:tc>
          <w:tcPr>
            <w:tcW w:type="dxa" w:w="1040"/>
            <w:vAlign w:val="center"/>
          </w:tcPr>
          <w:p>
            <w:pPr>
              <w:jc w:val="center"/>
            </w:pPr>
            <w:r>
              <w:rPr>
                <w:rFonts w:ascii="Times New Roman" w:cs="Times New Roman" w:eastAsia="Times New Roman" w:hAnsi="Times New Roman"/>
                <w:sz w:val="22"/>
                <w:szCs w:val="22"/>
              </w:rPr>
              <w:t xml:space="preserve">Credit Reports</w:t>
            </w:r>
          </w:p>
        </w:tc>
        <w:tc>
          <w:tcPr>
            <w:tcW w:type="dxa" w:w="1040"/>
            <w:vAlign w:val="center"/>
          </w:tcPr>
          <w:p>
            <w:pPr>
              <w:jc w:val="center"/>
            </w:pPr>
            <w:r>
              <w:rPr>
                <w:rFonts w:ascii="Times New Roman" w:cs="Times New Roman" w:eastAsia="Times New Roman" w:hAnsi="Times New Roman"/>
                <w:sz w:val="22"/>
                <w:szCs w:val="22"/>
              </w:rPr>
              <w:t xml:space="preserve">39</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Q8</w:t>
            </w:r>
          </w:p>
        </w:tc>
        <w:tc>
          <w:tcPr>
            <w:tcW w:type="dxa" w:w="1040"/>
            <w:vAlign w:val="center"/>
          </w:tcPr>
          <w:p>
            <w:pPr>
              <w:jc w:val="center"/>
            </w:pPr>
            <w:r>
              <w:rPr>
                <w:rFonts w:ascii="Times New Roman" w:cs="Times New Roman" w:eastAsia="Times New Roman" w:hAnsi="Times New Roman"/>
                <w:sz w:val="22"/>
                <w:szCs w:val="22"/>
              </w:rPr>
              <w:t xml:space="preserve">Auto Loans</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19</w:t>
            </w:r>
          </w:p>
        </w:tc>
        <w:tc>
          <w:tcPr>
            <w:tcW w:type="dxa" w:w="1040"/>
            <w:vAlign w:val="center"/>
          </w:tcPr>
          <w:p>
            <w:pPr>
              <w:jc w:val="center"/>
            </w:pPr>
            <w:r>
              <w:rPr>
                <w:rFonts w:ascii="Times New Roman" w:cs="Times New Roman" w:eastAsia="Times New Roman" w:hAnsi="Times New Roman"/>
                <w:sz w:val="22"/>
                <w:szCs w:val="22"/>
              </w:rPr>
              <w:t xml:space="preserve">56%</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29%</w:t>
            </w:r>
          </w:p>
        </w:tc>
        <w:tc>
          <w:tcPr>
            <w:tcW w:type="dxa" w:w="1040"/>
            <w:vAlign w:val="center"/>
          </w:tcPr>
          <w:p>
            <w:pPr>
              <w:jc w:val="center"/>
            </w:pPr>
            <w:r>
              <w:rPr>
                <w:rFonts w:ascii="Times New Roman" w:cs="Times New Roman" w:eastAsia="Times New Roman" w:hAnsi="Times New Roman"/>
                <w:sz w:val="22"/>
                <w:szCs w:val="22"/>
              </w:rPr>
              <w:t xml:space="preserve">down_payment_only</w:t>
            </w:r>
          </w:p>
        </w:tc>
      </w:tr>
      <w:tr>
        <w:tc>
          <w:tcPr>
            <w:tcW w:type="dxa" w:w="1040"/>
            <w:vAlign w:val="center"/>
          </w:tcPr>
          <w:p>
            <w:pPr>
              <w:jc w:val="center"/>
            </w:pPr>
            <w:r>
              <w:rPr>
                <w:rFonts w:ascii="Times New Roman" w:cs="Times New Roman" w:eastAsia="Times New Roman" w:hAnsi="Times New Roman"/>
                <w:sz w:val="22"/>
                <w:szCs w:val="22"/>
              </w:rPr>
              <w:t xml:space="preserve">Q5</w:t>
            </w:r>
          </w:p>
        </w:tc>
        <w:tc>
          <w:tcPr>
            <w:tcW w:type="dxa" w:w="1040"/>
            <w:vAlign w:val="center"/>
          </w:tcPr>
          <w:p>
            <w:pPr>
              <w:jc w:val="center"/>
            </w:pPr>
            <w:r>
              <w:rPr>
                <w:rFonts w:ascii="Times New Roman" w:cs="Times New Roman" w:eastAsia="Times New Roman" w:hAnsi="Times New Roman"/>
                <w:sz w:val="22"/>
                <w:szCs w:val="22"/>
              </w:rPr>
              <w:t xml:space="preserve">Emergency Fund</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15</w:t>
            </w:r>
          </w:p>
        </w:tc>
        <w:tc>
          <w:tcPr>
            <w:tcW w:type="dxa" w:w="1040"/>
            <w:vAlign w:val="center"/>
          </w:tcPr>
          <w:p>
            <w:pPr>
              <w:jc w:val="center"/>
            </w:pPr>
            <w:r>
              <w:rPr>
                <w:rFonts w:ascii="Times New Roman" w:cs="Times New Roman" w:eastAsia="Times New Roman" w:hAnsi="Times New Roman"/>
                <w:sz w:val="22"/>
                <w:szCs w:val="22"/>
              </w:rPr>
              <w:t xml:space="preserve">48%</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26%</w:t>
            </w:r>
          </w:p>
        </w:tc>
        <w:tc>
          <w:tcPr>
            <w:tcW w:type="dxa" w:w="1040"/>
            <w:vAlign w:val="center"/>
          </w:tcPr>
          <w:p>
            <w:pPr>
              <w:jc w:val="center"/>
            </w:pPr>
            <w:r>
              <w:rPr>
                <w:rFonts w:ascii="Times New Roman" w:cs="Times New Roman" w:eastAsia="Times New Roman" w:hAnsi="Times New Roman"/>
                <w:sz w:val="22"/>
                <w:szCs w:val="22"/>
              </w:rPr>
              <w:t xml:space="preserve">one_month_sufficient</w:t>
            </w:r>
          </w:p>
        </w:tc>
      </w:tr>
      <w:tr>
        <w:tc>
          <w:tcPr>
            <w:tcW w:type="dxa" w:w="1040"/>
            <w:vAlign w:val="center"/>
          </w:tcPr>
          <w:p>
            <w:pPr>
              <w:jc w:val="center"/>
            </w:pPr>
            <w:r>
              <w:rPr>
                <w:rFonts w:ascii="Times New Roman" w:cs="Times New Roman" w:eastAsia="Times New Roman" w:hAnsi="Times New Roman"/>
                <w:sz w:val="22"/>
                <w:szCs w:val="22"/>
              </w:rPr>
              <w:t xml:space="preserve">Q12</w:t>
            </w:r>
          </w:p>
        </w:tc>
        <w:tc>
          <w:tcPr>
            <w:tcW w:type="dxa" w:w="1040"/>
            <w:vAlign w:val="center"/>
          </w:tcPr>
          <w:p>
            <w:pPr>
              <w:jc w:val="center"/>
            </w:pPr>
            <w:r>
              <w:rPr>
                <w:rFonts w:ascii="Times New Roman" w:cs="Times New Roman" w:eastAsia="Times New Roman" w:hAnsi="Times New Roman"/>
                <w:sz w:val="22"/>
                <w:szCs w:val="22"/>
              </w:rPr>
              <w:t xml:space="preserve">Health Insurance Purpose</w:t>
            </w:r>
          </w:p>
        </w:tc>
        <w:tc>
          <w:tcPr>
            <w:tcW w:type="dxa" w:w="1040"/>
            <w:vAlign w:val="center"/>
          </w:tcPr>
          <w:p>
            <w:pPr>
              <w:jc w:val="center"/>
            </w:pPr>
            <w:r>
              <w:rPr>
                <w:rFonts w:ascii="Times New Roman" w:cs="Times New Roman" w:eastAsia="Times New Roman" w:hAnsi="Times New Roman"/>
                <w:sz w:val="22"/>
                <w:szCs w:val="22"/>
              </w:rPr>
              <w:t xml:space="preserve">28</w:t>
            </w:r>
          </w:p>
        </w:tc>
        <w:tc>
          <w:tcPr>
            <w:tcW w:type="dxa" w:w="1040"/>
            <w:vAlign w:val="center"/>
          </w:tcPr>
          <w:p>
            <w:pPr>
              <w:jc w:val="center"/>
            </w:pPr>
            <w:r>
              <w:rPr>
                <w:rFonts w:ascii="Times New Roman" w:cs="Times New Roman" w:eastAsia="Times New Roman" w:hAnsi="Times New Roman"/>
                <w:sz w:val="22"/>
                <w:szCs w:val="22"/>
              </w:rPr>
              <w:t xml:space="preserve">23</w:t>
            </w:r>
          </w:p>
        </w:tc>
        <w:tc>
          <w:tcPr>
            <w:tcW w:type="dxa" w:w="1040"/>
            <w:vAlign w:val="center"/>
          </w:tcPr>
          <w:p>
            <w:pPr>
              <w:jc w:val="center"/>
            </w:pPr>
            <w:r>
              <w:rPr>
                <w:rFonts w:ascii="Times New Roman" w:cs="Times New Roman" w:eastAsia="Times New Roman" w:hAnsi="Times New Roman"/>
                <w:sz w:val="22"/>
                <w:szCs w:val="22"/>
              </w:rPr>
              <w:t xml:space="preserve">82%</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routine_care_primary</w:t>
            </w:r>
          </w:p>
        </w:tc>
      </w:tr>
      <w:tr>
        <w:tc>
          <w:tcPr>
            <w:tcW w:type="dxa" w:w="1040"/>
            <w:vAlign w:val="center"/>
          </w:tcPr>
          <w:p>
            <w:pPr>
              <w:jc w:val="center"/>
            </w:pPr>
            <w:r>
              <w:rPr>
                <w:rFonts w:ascii="Times New Roman" w:cs="Times New Roman" w:eastAsia="Times New Roman" w:hAnsi="Times New Roman"/>
                <w:sz w:val="22"/>
                <w:szCs w:val="22"/>
              </w:rPr>
              <w:t xml:space="preserve">Q29</w:t>
            </w:r>
          </w:p>
        </w:tc>
        <w:tc>
          <w:tcPr>
            <w:tcW w:type="dxa" w:w="1040"/>
            <w:vAlign w:val="center"/>
          </w:tcPr>
          <w:p>
            <w:pPr>
              <w:jc w:val="center"/>
            </w:pPr>
            <w:r>
              <w:rPr>
                <w:rFonts w:ascii="Times New Roman" w:cs="Times New Roman" w:eastAsia="Times New Roman" w:hAnsi="Times New Roman"/>
                <w:sz w:val="22"/>
                <w:szCs w:val="22"/>
              </w:rPr>
              <w:t xml:space="preserve">Interest Rates &amp; Bonds</w:t>
            </w:r>
          </w:p>
        </w:tc>
        <w:tc>
          <w:tcPr>
            <w:tcW w:type="dxa" w:w="1040"/>
            <w:vAlign w:val="center"/>
          </w:tcPr>
          <w:p>
            <w:pPr>
              <w:jc w:val="center"/>
            </w:pPr>
            <w:r>
              <w:rPr>
                <w:rFonts w:ascii="Times New Roman" w:cs="Times New Roman" w:eastAsia="Times New Roman" w:hAnsi="Times New Roman"/>
                <w:sz w:val="22"/>
                <w:szCs w:val="22"/>
              </w:rPr>
              <w:t xml:space="preserve">24</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46%</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positive_correlation_belief</w:t>
            </w:r>
          </w:p>
        </w:tc>
      </w:tr>
      <w:tr>
        <w:tc>
          <w:tcPr>
            <w:tcW w:type="dxa" w:w="1040"/>
            <w:vAlign w:val="center"/>
          </w:tcPr>
          <w:p>
            <w:pPr>
              <w:jc w:val="center"/>
            </w:pPr>
            <w:r>
              <w:rPr>
                <w:rFonts w:ascii="Times New Roman" w:cs="Times New Roman" w:eastAsia="Times New Roman" w:hAnsi="Times New Roman"/>
                <w:sz w:val="22"/>
                <w:szCs w:val="22"/>
              </w:rPr>
              <w:t xml:space="preserve">Q2</w:t>
            </w:r>
          </w:p>
        </w:tc>
        <w:tc>
          <w:tcPr>
            <w:tcW w:type="dxa" w:w="1040"/>
            <w:vAlign w:val="center"/>
          </w:tcPr>
          <w:p>
            <w:pPr>
              <w:jc w:val="center"/>
            </w:pPr>
            <w:r>
              <w:rPr>
                <w:rFonts w:ascii="Times New Roman" w:cs="Times New Roman" w:eastAsia="Times New Roman" w:hAnsi="Times New Roman"/>
                <w:sz w:val="22"/>
                <w:szCs w:val="22"/>
              </w:rPr>
              <w:t xml:space="preserve">Borrowing/Mortgages</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32%</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32%</w:t>
            </w:r>
          </w:p>
        </w:tc>
        <w:tc>
          <w:tcPr>
            <w:tcW w:type="dxa" w:w="1040"/>
            <w:vAlign w:val="center"/>
          </w:tcPr>
          <w:p>
            <w:pPr>
              <w:jc w:val="center"/>
            </w:pPr>
            <w:r>
              <w:rPr>
                <w:rFonts w:ascii="Times New Roman" w:cs="Times New Roman" w:eastAsia="Times New Roman" w:hAnsi="Times New Roman"/>
                <w:sz w:val="22"/>
                <w:szCs w:val="22"/>
              </w:rPr>
              <w:t xml:space="preserve">monthly_vs_total_confusion</w:t>
            </w:r>
          </w:p>
        </w:tc>
      </w:tr>
      <w:tr>
        <w:tc>
          <w:tcPr>
            <w:tcW w:type="dxa" w:w="1040"/>
            <w:vAlign w:val="center"/>
          </w:tcPr>
          <w:p>
            <w:pPr>
              <w:jc w:val="center"/>
            </w:pPr>
            <w:r>
              <w:rPr>
                <w:rFonts w:ascii="Times New Roman" w:cs="Times New Roman" w:eastAsia="Times New Roman" w:hAnsi="Times New Roman"/>
                <w:sz w:val="22"/>
                <w:szCs w:val="22"/>
              </w:rPr>
              <w:t xml:space="preserve">Q13</w:t>
            </w:r>
          </w:p>
        </w:tc>
        <w:tc>
          <w:tcPr>
            <w:tcW w:type="dxa" w:w="1040"/>
            <w:vAlign w:val="center"/>
          </w:tcPr>
          <w:p>
            <w:pPr>
              <w:jc w:val="center"/>
            </w:pPr>
            <w:r>
              <w:rPr>
                <w:rFonts w:ascii="Times New Roman" w:cs="Times New Roman" w:eastAsia="Times New Roman" w:hAnsi="Times New Roman"/>
                <w:sz w:val="22"/>
                <w:szCs w:val="22"/>
              </w:rPr>
              <w:t xml:space="preserve">Insurance Deductible</w:t>
            </w:r>
          </w:p>
        </w:tc>
        <w:tc>
          <w:tcPr>
            <w:tcW w:type="dxa" w:w="1040"/>
            <w:vAlign w:val="center"/>
          </w:tcPr>
          <w:p>
            <w:pPr>
              <w:jc w:val="center"/>
            </w:pPr>
            <w:r>
              <w:rPr>
                <w:rFonts w:ascii="Times New Roman" w:cs="Times New Roman" w:eastAsia="Times New Roman" w:hAnsi="Times New Roman"/>
                <w:sz w:val="22"/>
                <w:szCs w:val="22"/>
              </w:rPr>
              <w:t xml:space="preserve">19</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53%</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deductible_is_max_payout</w:t>
            </w:r>
          </w:p>
        </w:tc>
      </w:tr>
      <w:tr>
        <w:tc>
          <w:tcPr>
            <w:tcW w:type="dxa" w:w="1040"/>
            <w:vAlign w:val="center"/>
          </w:tcPr>
          <w:p>
            <w:pPr>
              <w:jc w:val="center"/>
            </w:pPr>
            <w:r>
              <w:rPr>
                <w:rFonts w:ascii="Times New Roman" w:cs="Times New Roman" w:eastAsia="Times New Roman" w:hAnsi="Times New Roman"/>
                <w:sz w:val="22"/>
                <w:szCs w:val="22"/>
              </w:rPr>
              <w:t xml:space="preserve">Q30</w:t>
            </w:r>
          </w:p>
        </w:tc>
        <w:tc>
          <w:tcPr>
            <w:tcW w:type="dxa" w:w="1040"/>
            <w:vAlign w:val="center"/>
          </w:tcPr>
          <w:p>
            <w:pPr>
              <w:jc w:val="center"/>
            </w:pPr>
            <w:r>
              <w:rPr>
                <w:rFonts w:ascii="Times New Roman" w:cs="Times New Roman" w:eastAsia="Times New Roman" w:hAnsi="Times New Roman"/>
                <w:sz w:val="22"/>
                <w:szCs w:val="22"/>
              </w:rPr>
              <w:t xml:space="preserve">Risk-Return Tradeoff</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82%</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exceptions_disprove_rule</w:t>
            </w:r>
          </w:p>
        </w:tc>
      </w:tr>
      <w:tr>
        <w:tc>
          <w:tcPr>
            <w:tcW w:type="dxa" w:w="1040"/>
            <w:vAlign w:val="center"/>
          </w:tcPr>
          <w:p>
            <w:pPr>
              <w:jc w:val="center"/>
            </w:pPr>
            <w:r>
              <w:rPr>
                <w:rFonts w:ascii="Times New Roman" w:cs="Times New Roman" w:eastAsia="Times New Roman" w:hAnsi="Times New Roman"/>
                <w:sz w:val="22"/>
                <w:szCs w:val="22"/>
              </w:rPr>
              <w:t xml:space="preserve">Q37</w:t>
            </w:r>
          </w:p>
        </w:tc>
        <w:tc>
          <w:tcPr>
            <w:tcW w:type="dxa" w:w="1040"/>
            <w:vAlign w:val="center"/>
          </w:tcPr>
          <w:p>
            <w:pPr>
              <w:jc w:val="center"/>
            </w:pPr>
            <w:r>
              <w:rPr>
                <w:rFonts w:ascii="Times New Roman" w:cs="Times New Roman" w:eastAsia="Times New Roman" w:hAnsi="Times New Roman"/>
                <w:sz w:val="22"/>
                <w:szCs w:val="22"/>
              </w:rPr>
              <w:t xml:space="preserve">Insurance Types</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Q38</w:t>
            </w:r>
          </w:p>
        </w:tc>
        <w:tc>
          <w:tcPr>
            <w:tcW w:type="dxa" w:w="1040"/>
            <w:vAlign w:val="center"/>
          </w:tcPr>
          <w:p>
            <w:pPr>
              <w:jc w:val="center"/>
            </w:pPr>
            <w:r>
              <w:rPr>
                <w:rFonts w:ascii="Times New Roman" w:cs="Times New Roman" w:eastAsia="Times New Roman" w:hAnsi="Times New Roman"/>
                <w:sz w:val="22"/>
                <w:szCs w:val="22"/>
              </w:rPr>
              <w:t xml:space="preserve">Inflation Protection</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50%</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36%</w:t>
            </w:r>
          </w:p>
        </w:tc>
        <w:tc>
          <w:tcPr>
            <w:tcW w:type="dxa" w:w="1040"/>
            <w:vAlign w:val="center"/>
          </w:tcPr>
          <w:p>
            <w:pPr>
              <w:jc w:val="center"/>
            </w:pPr>
            <w:r>
              <w:rPr>
                <w:rFonts w:ascii="Times New Roman" w:cs="Times New Roman" w:eastAsia="Times New Roman" w:hAnsi="Times New Roman"/>
                <w:sz w:val="22"/>
                <w:szCs w:val="22"/>
              </w:rPr>
              <w:t xml:space="preserve">fixed_bond_best</w:t>
            </w:r>
          </w:p>
        </w:tc>
      </w:tr>
      <w:tr>
        <w:tc>
          <w:tcPr>
            <w:tcW w:type="dxa" w:w="1040"/>
            <w:vAlign w:val="center"/>
          </w:tcPr>
          <w:p>
            <w:pPr>
              <w:jc w:val="center"/>
            </w:pPr>
            <w:r>
              <w:rPr>
                <w:rFonts w:ascii="Times New Roman" w:cs="Times New Roman" w:eastAsia="Times New Roman" w:hAnsi="Times New Roman"/>
                <w:sz w:val="22"/>
                <w:szCs w:val="22"/>
              </w:rPr>
              <w:t xml:space="preserve">Q11</w:t>
            </w:r>
          </w:p>
        </w:tc>
        <w:tc>
          <w:tcPr>
            <w:tcW w:type="dxa" w:w="1040"/>
            <w:vAlign w:val="center"/>
          </w:tcPr>
          <w:p>
            <w:pPr>
              <w:jc w:val="center"/>
            </w:pPr>
            <w:r>
              <w:rPr>
                <w:rFonts w:ascii="Times New Roman" w:cs="Times New Roman" w:eastAsia="Times New Roman" w:hAnsi="Times New Roman"/>
                <w:sz w:val="22"/>
                <w:szCs w:val="22"/>
              </w:rPr>
              <w:t xml:space="preserve">Stock vs. Mutual Fund</w:t>
            </w:r>
          </w:p>
        </w:tc>
        <w:tc>
          <w:tcPr>
            <w:tcW w:type="dxa" w:w="1040"/>
            <w:vAlign w:val="center"/>
          </w:tcPr>
          <w:p>
            <w:pPr>
              <w:jc w:val="center"/>
            </w:pPr>
            <w:r>
              <w:rPr>
                <w:rFonts w:ascii="Times New Roman" w:cs="Times New Roman" w:eastAsia="Times New Roman" w:hAnsi="Times New Roman"/>
                <w:sz w:val="22"/>
                <w:szCs w:val="22"/>
              </w:rPr>
              <w:t xml:space="preserve">13</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15%</w:t>
            </w:r>
          </w:p>
        </w:tc>
        <w:tc>
          <w:tcPr>
            <w:tcW w:type="dxa" w:w="1040"/>
            <w:vAlign w:val="center"/>
          </w:tcPr>
          <w:p>
            <w:pPr>
              <w:jc w:val="center"/>
            </w:pPr>
            <w:r>
              <w:rPr>
                <w:rFonts w:ascii="Times New Roman" w:cs="Times New Roman" w:eastAsia="Times New Roman" w:hAnsi="Times New Roman"/>
                <w:sz w:val="22"/>
                <w:szCs w:val="22"/>
              </w:rPr>
              <w:t xml:space="preserve">KG-unfamiliar</w:t>
            </w:r>
          </w:p>
        </w:tc>
      </w:tr>
      <w:tr>
        <w:tc>
          <w:tcPr>
            <w:tcW w:type="dxa" w:w="1040"/>
            <w:vAlign w:val="center"/>
          </w:tcPr>
          <w:p>
            <w:pPr>
              <w:jc w:val="center"/>
            </w:pPr>
            <w:r>
              <w:rPr>
                <w:rFonts w:ascii="Times New Roman" w:cs="Times New Roman" w:eastAsia="Times New Roman" w:hAnsi="Times New Roman"/>
                <w:sz w:val="22"/>
                <w:szCs w:val="22"/>
              </w:rPr>
              <w:t xml:space="preserve">Q3</w:t>
            </w:r>
          </w:p>
        </w:tc>
        <w:tc>
          <w:tcPr>
            <w:tcW w:type="dxa" w:w="1040"/>
            <w:vAlign w:val="center"/>
          </w:tcPr>
          <w:p>
            <w:pPr>
              <w:jc w:val="center"/>
            </w:pPr>
            <w:r>
              <w:rPr>
                <w:rFonts w:ascii="Times New Roman" w:cs="Times New Roman" w:eastAsia="Times New Roman" w:hAnsi="Times New Roman"/>
                <w:sz w:val="22"/>
                <w:szCs w:val="22"/>
              </w:rPr>
              <w:t xml:space="preserve">Inflation (Definition)</w:t>
            </w:r>
          </w:p>
        </w:tc>
        <w:tc>
          <w:tcPr>
            <w:tcW w:type="dxa" w:w="1040"/>
            <w:vAlign w:val="center"/>
          </w:tcPr>
          <w:p>
            <w:pPr>
              <w:jc w:val="center"/>
            </w:pPr>
            <w:r>
              <w:rPr>
                <w:rFonts w:ascii="Times New Roman" w:cs="Times New Roman" w:eastAsia="Times New Roman" w:hAnsi="Times New Roman"/>
                <w:sz w:val="22"/>
                <w:szCs w:val="22"/>
              </w:rPr>
              <w:t xml:space="preserve">13</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46%</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Q32</w:t>
            </w:r>
          </w:p>
        </w:tc>
        <w:tc>
          <w:tcPr>
            <w:tcW w:type="dxa" w:w="1040"/>
            <w:vAlign w:val="center"/>
          </w:tcPr>
          <w:p>
            <w:pPr>
              <w:jc w:val="center"/>
            </w:pPr>
            <w:r>
              <w:rPr>
                <w:rFonts w:ascii="Times New Roman" w:cs="Times New Roman" w:eastAsia="Times New Roman" w:hAnsi="Times New Roman"/>
                <w:sz w:val="22"/>
                <w:szCs w:val="22"/>
              </w:rPr>
              <w:t xml:space="preserve">Long-Term Returns</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73%</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18%</w:t>
            </w:r>
          </w:p>
        </w:tc>
        <w:tc>
          <w:tcPr>
            <w:tcW w:type="dxa" w:w="1040"/>
            <w:vAlign w:val="center"/>
          </w:tcPr>
          <w:p>
            <w:pPr>
              <w:jc w:val="center"/>
            </w:pPr>
            <w:r>
              <w:rPr>
                <w:rFonts w:ascii="Times New Roman" w:cs="Times New Roman" w:eastAsia="Times New Roman" w:hAnsi="Times New Roman"/>
                <w:sz w:val="22"/>
                <w:szCs w:val="22"/>
              </w:rPr>
              <w:t xml:space="preserve">bonds_safest_therefore_best</w:t>
            </w:r>
          </w:p>
        </w:tc>
      </w:tr>
      <w:tr>
        <w:tc>
          <w:tcPr>
            <w:tcW w:type="dxa" w:w="1040"/>
            <w:vAlign w:val="center"/>
          </w:tcPr>
          <w:p>
            <w:pPr>
              <w:jc w:val="center"/>
            </w:pPr>
            <w:r>
              <w:rPr>
                <w:rFonts w:ascii="Times New Roman" w:cs="Times New Roman" w:eastAsia="Times New Roman" w:hAnsi="Times New Roman"/>
                <w:sz w:val="22"/>
                <w:szCs w:val="22"/>
              </w:rPr>
              <w:t xml:space="preserve">Q31</w:t>
            </w:r>
          </w:p>
        </w:tc>
        <w:tc>
          <w:tcPr>
            <w:tcW w:type="dxa" w:w="1040"/>
            <w:vAlign w:val="center"/>
          </w:tcPr>
          <w:p>
            <w:pPr>
              <w:jc w:val="center"/>
            </w:pPr>
            <w:r>
              <w:rPr>
                <w:rFonts w:ascii="Times New Roman" w:cs="Times New Roman" w:eastAsia="Times New Roman" w:hAnsi="Times New Roman"/>
                <w:sz w:val="22"/>
                <w:szCs w:val="22"/>
              </w:rPr>
              <w:t xml:space="preserve">Stock Market Function</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60%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30%</w:t>
            </w:r>
          </w:p>
        </w:tc>
        <w:tc>
          <w:tcPr>
            <w:tcW w:type="dxa" w:w="1040"/>
            <w:vAlign w:val="center"/>
          </w:tcPr>
          <w:p>
            <w:pPr>
              <w:jc w:val="center"/>
            </w:pPr>
            <w:r>
              <w:rPr>
                <w:rFonts w:ascii="Times New Roman" w:cs="Times New Roman" w:eastAsia="Times New Roman" w:hAnsi="Times New Roman"/>
                <w:sz w:val="22"/>
                <w:szCs w:val="22"/>
              </w:rPr>
              <w:t xml:space="preserve">wealth_creation_primary</w:t>
            </w:r>
          </w:p>
        </w:tc>
      </w:tr>
      <w:tr>
        <w:tc>
          <w:tcPr>
            <w:tcW w:type="dxa" w:w="1040"/>
            <w:vAlign w:val="center"/>
          </w:tcPr>
          <w:p>
            <w:pPr>
              <w:jc w:val="center"/>
            </w:pPr>
            <w:r>
              <w:rPr>
                <w:rFonts w:ascii="Times New Roman" w:cs="Times New Roman" w:eastAsia="Times New Roman" w:hAnsi="Times New Roman"/>
                <w:sz w:val="22"/>
                <w:szCs w:val="22"/>
              </w:rPr>
              <w:t xml:space="preserve">Q35</w:t>
            </w:r>
          </w:p>
        </w:tc>
        <w:tc>
          <w:tcPr>
            <w:tcW w:type="dxa" w:w="1040"/>
            <w:vAlign w:val="center"/>
          </w:tcPr>
          <w:p>
            <w:pPr>
              <w:jc w:val="center"/>
            </w:pPr>
            <w:r>
              <w:rPr>
                <w:rFonts w:ascii="Times New Roman" w:cs="Times New Roman" w:eastAsia="Times New Roman" w:hAnsi="Times New Roman"/>
                <w:sz w:val="22"/>
                <w:szCs w:val="22"/>
              </w:rPr>
              <w:t xml:space="preserve">Risk-Return Relationship</w:t>
            </w:r>
          </w:p>
        </w:tc>
        <w:tc>
          <w:tcPr>
            <w:tcW w:type="dxa" w:w="1040"/>
            <w:vAlign w:val="center"/>
          </w:tcPr>
          <w:p>
            <w:pPr>
              <w:jc w:val="center"/>
            </w:pPr>
            <w:r>
              <w:rPr>
                <w:rFonts w:ascii="Times New Roman" w:cs="Times New Roman" w:eastAsia="Times New Roman" w:hAnsi="Times New Roman"/>
                <w:sz w:val="22"/>
                <w:szCs w:val="22"/>
              </w:rPr>
              <w:t xml:space="preserve">9</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78%</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real_world_counterexample</w:t>
            </w:r>
          </w:p>
        </w:tc>
      </w:tr>
      <w:tr>
        <w:tc>
          <w:tcPr>
            <w:tcW w:type="dxa" w:w="1040"/>
            <w:vAlign w:val="center"/>
          </w:tcPr>
          <w:p>
            <w:pPr>
              <w:jc w:val="center"/>
            </w:pPr>
            <w:r>
              <w:rPr>
                <w:rFonts w:ascii="Times New Roman" w:cs="Times New Roman" w:eastAsia="Times New Roman" w:hAnsi="Times New Roman"/>
                <w:sz w:val="22"/>
                <w:szCs w:val="22"/>
              </w:rPr>
              <w:t xml:space="preserve">Q39</w:t>
            </w:r>
          </w:p>
        </w:tc>
        <w:tc>
          <w:tcPr>
            <w:tcW w:type="dxa" w:w="1040"/>
            <w:vAlign w:val="center"/>
          </w:tcPr>
          <w:p>
            <w:pPr>
              <w:jc w:val="center"/>
            </w:pPr>
            <w:r>
              <w:rPr>
                <w:rFonts w:ascii="Times New Roman" w:cs="Times New Roman" w:eastAsia="Times New Roman" w:hAnsi="Times New Roman"/>
                <w:sz w:val="22"/>
                <w:szCs w:val="22"/>
              </w:rPr>
              <w:t xml:space="preserve">Stocks vs. Bonds Risk</w:t>
            </w:r>
          </w:p>
        </w:tc>
        <w:tc>
          <w:tcPr>
            <w:tcW w:type="dxa" w:w="1040"/>
            <w:vAlign w:val="center"/>
          </w:tcPr>
          <w:p>
            <w:pPr>
              <w:jc w:val="center"/>
            </w:pPr>
            <w:r>
              <w:rPr>
                <w:rFonts w:ascii="Times New Roman" w:cs="Times New Roman" w:eastAsia="Times New Roman" w:hAnsi="Times New Roman"/>
                <w:sz w:val="22"/>
                <w:szCs w:val="22"/>
              </w:rPr>
              <w:t xml:space="preserve">9</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56%</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some_bonds_risky_too</w:t>
            </w:r>
          </w:p>
        </w:tc>
      </w:tr>
      <w:tr>
        <w:tc>
          <w:tcPr>
            <w:tcW w:type="dxa" w:w="1040"/>
            <w:vAlign w:val="center"/>
          </w:tcPr>
          <w:p>
            <w:pPr>
              <w:jc w:val="center"/>
            </w:pPr>
            <w:r>
              <w:rPr>
                <w:rFonts w:ascii="Times New Roman" w:cs="Times New Roman" w:eastAsia="Times New Roman" w:hAnsi="Times New Roman"/>
                <w:sz w:val="22"/>
                <w:szCs w:val="22"/>
              </w:rPr>
              <w:t xml:space="preserve">Q14</w:t>
            </w:r>
          </w:p>
        </w:tc>
        <w:tc>
          <w:tcPr>
            <w:tcW w:type="dxa" w:w="1040"/>
            <w:vAlign w:val="center"/>
          </w:tcPr>
          <w:p>
            <w:pPr>
              <w:jc w:val="center"/>
            </w:pPr>
            <w:r>
              <w:rPr>
                <w:rFonts w:ascii="Times New Roman" w:cs="Times New Roman" w:eastAsia="Times New Roman" w:hAnsi="Times New Roman"/>
                <w:sz w:val="22"/>
                <w:szCs w:val="22"/>
              </w:rPr>
              <w:t xml:space="preserve">Diversification</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29%</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71%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Q9</w:t>
            </w:r>
          </w:p>
        </w:tc>
        <w:tc>
          <w:tcPr>
            <w:tcW w:type="dxa" w:w="1040"/>
            <w:vAlign w:val="center"/>
          </w:tcPr>
          <w:p>
            <w:pPr>
              <w:jc w:val="center"/>
            </w:pPr>
            <w:r>
              <w:rPr>
                <w:rFonts w:ascii="Times New Roman" w:cs="Times New Roman" w:eastAsia="Times New Roman" w:hAnsi="Times New Roman"/>
                <w:sz w:val="22"/>
                <w:szCs w:val="22"/>
              </w:rPr>
              <w:t xml:space="preserve">Budgeting</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83%</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Q40</w:t>
            </w:r>
          </w:p>
        </w:tc>
        <w:tc>
          <w:tcPr>
            <w:tcW w:type="dxa" w:w="1040"/>
            <w:vAlign w:val="center"/>
          </w:tcPr>
          <w:p>
            <w:pPr>
              <w:jc w:val="center"/>
            </w:pPr>
            <w:r>
              <w:rPr>
                <w:rFonts w:ascii="Times New Roman" w:cs="Times New Roman" w:eastAsia="Times New Roman" w:hAnsi="Times New Roman"/>
                <w:sz w:val="22"/>
                <w:szCs w:val="22"/>
              </w:rPr>
              <w:t xml:space="preserve">2008 Financial Crisis</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50%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33%</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Q1</w:t>
            </w:r>
          </w:p>
        </w:tc>
        <w:tc>
          <w:tcPr>
            <w:tcW w:type="dxa" w:w="1040"/>
            <w:vAlign w:val="center"/>
          </w:tcPr>
          <w:p>
            <w:pPr>
              <w:jc w:val="center"/>
            </w:pPr>
            <w:r>
              <w:rPr>
                <w:rFonts w:ascii="Times New Roman" w:cs="Times New Roman" w:eastAsia="Times New Roman" w:hAnsi="Times New Roman"/>
                <w:sz w:val="22"/>
                <w:szCs w:val="22"/>
              </w:rPr>
              <w:t xml:space="preserve">Compound Interest</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60%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interest_as_fee</w:t>
            </w:r>
          </w:p>
        </w:tc>
      </w:tr>
    </w:tbl>
    <w:p>
      <w:pPr>
        <w:spacing w:after="200"/>
      </w:pPr>
    </w:p>
    <w:p>
      <w:pPr>
        <w:spacing w:line="360" w:after="200"/>
      </w:pPr>
      <w:r>
        <w:rPr>
          <w:rFonts w:ascii="Times New Roman" w:cs="Times New Roman" w:eastAsia="Times New Roman" w:hAnsi="Times New Roman"/>
          <w:sz w:val="24"/>
          <w:szCs w:val="24"/>
        </w:rPr>
        <w:t xml:space="preserve">Items with the highest misconception density (&gt; 70%) are Q12 (Health Insurance, 82%), Q30 (Risk-Return Tradeoff, 82%), Q6 (Inflation Lowering, 79%), Q35 (Risk-Return, 78%), and Q32 (Long-Term Returns, 73%). These represent topics where student errors are overwhelmingly driven by active incorrect beliefs rather than confusion or carelessness, and where instructional intervention will have the greatest impact. Items with the highest selection error rates are Q9 (83%, small n), Q36 (81%), Q14 (71%), and Q3 (46%), all sharing True/False format with negative or double-negative phrasing.</w:t>
      </w:r>
    </w:p>
    <w:p>
      <w:pPr>
        <w:pStyle w:val="Heading3"/>
        <w:spacing w:before="240" w:after="120"/>
      </w:pPr>
      <w:r>
        <w:rPr>
          <w:rFonts w:ascii="Times New Roman" w:cs="Times New Roman" w:eastAsia="Times New Roman" w:hAnsi="Times New Roman"/>
          <w:sz w:val="24"/>
          <w:szCs w:val="24"/>
        </w:rPr>
        <w:t xml:space="preserve">4.4.3 Confirm Classification Results</w:t>
      </w:r>
    </w:p>
    <w:p>
      <w:pPr>
        <w:spacing w:line="360" w:after="200"/>
      </w:pPr>
      <w:r>
        <w:rPr>
          <w:rFonts w:ascii="Times New Roman" w:cs="Times New Roman" w:eastAsia="Times New Roman" w:hAnsi="Times New Roman"/>
          <w:b/>
          <w:bCs/>
          <w:sz w:val="24"/>
          <w:szCs w:val="24"/>
        </w:rPr>
        <w:t xml:space="preserve">Table 4.6: Confirm Three-Way Classification (Consented, n = 285)</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Verified</w:t>
            </w:r>
          </w:p>
        </w:tc>
        <w:tc>
          <w:tcPr>
            <w:tcW w:type="dxa" w:w="3120"/>
            <w:vAlign w:val="center"/>
          </w:tcPr>
          <w:p>
            <w:pPr>
              <w:jc w:val="center"/>
            </w:pPr>
            <w:r>
              <w:rPr>
                <w:rFonts w:ascii="Times New Roman" w:cs="Times New Roman" w:eastAsia="Times New Roman" w:hAnsi="Times New Roman"/>
                <w:sz w:val="22"/>
                <w:szCs w:val="22"/>
              </w:rPr>
              <w:t xml:space="preserve">127</w:t>
            </w:r>
          </w:p>
        </w:tc>
        <w:tc>
          <w:tcPr>
            <w:tcW w:type="dxa" w:w="3120"/>
            <w:vAlign w:val="center"/>
          </w:tcPr>
          <w:p>
            <w:pPr>
              <w:jc w:val="center"/>
            </w:pPr>
            <w:r>
              <w:rPr>
                <w:rFonts w:ascii="Times New Roman" w:cs="Times New Roman" w:eastAsia="Times New Roman" w:hAnsi="Times New Roman"/>
                <w:sz w:val="22"/>
                <w:szCs w:val="22"/>
              </w:rPr>
              <w:t xml:space="preserve">44.6%</w:t>
            </w:r>
          </w:p>
        </w:tc>
      </w:tr>
      <w:tr>
        <w:tc>
          <w:tcPr>
            <w:tcW w:type="dxa" w:w="3120"/>
            <w:vAlign w:val="center"/>
          </w:tcPr>
          <w:p>
            <w:pPr>
              <w:jc w:val="center"/>
            </w:pPr>
            <w:r>
              <w:rPr>
                <w:rFonts w:ascii="Times New Roman" w:cs="Times New Roman" w:eastAsia="Times New Roman" w:hAnsi="Times New Roman"/>
                <w:sz w:val="22"/>
                <w:szCs w:val="22"/>
              </w:rPr>
              <w:t xml:space="preserve">Partial</w:t>
            </w:r>
          </w:p>
        </w:tc>
        <w:tc>
          <w:tcPr>
            <w:tcW w:type="dxa" w:w="3120"/>
            <w:vAlign w:val="center"/>
          </w:tcPr>
          <w:p>
            <w:pPr>
              <w:jc w:val="center"/>
            </w:pPr>
            <w:r>
              <w:rPr>
                <w:rFonts w:ascii="Times New Roman" w:cs="Times New Roman" w:eastAsia="Times New Roman" w:hAnsi="Times New Roman"/>
                <w:sz w:val="22"/>
                <w:szCs w:val="22"/>
              </w:rPr>
              <w:t xml:space="preserve">119</w:t>
            </w:r>
          </w:p>
        </w:tc>
        <w:tc>
          <w:tcPr>
            <w:tcW w:type="dxa" w:w="3120"/>
            <w:vAlign w:val="center"/>
          </w:tcPr>
          <w:p>
            <w:pPr>
              <w:jc w:val="center"/>
            </w:pPr>
            <w:r>
              <w:rPr>
                <w:rFonts w:ascii="Times New Roman" w:cs="Times New Roman" w:eastAsia="Times New Roman" w:hAnsi="Times New Roman"/>
                <w:sz w:val="22"/>
                <w:szCs w:val="22"/>
              </w:rPr>
              <w:t xml:space="preserve">41.8%</w:t>
            </w:r>
          </w:p>
        </w:tc>
      </w:tr>
      <w:tr>
        <w:tc>
          <w:tcPr>
            <w:tcW w:type="dxa" w:w="3120"/>
            <w:vAlign w:val="center"/>
          </w:tcPr>
          <w:p>
            <w:pPr>
              <w:jc w:val="center"/>
            </w:pPr>
            <w:r>
              <w:rPr>
                <w:rFonts w:ascii="Times New Roman" w:cs="Times New Roman" w:eastAsia="Times New Roman" w:hAnsi="Times New Roman"/>
                <w:sz w:val="22"/>
                <w:szCs w:val="22"/>
              </w:rPr>
              <w:t xml:space="preserve">Likely guess</w:t>
            </w:r>
          </w:p>
        </w:tc>
        <w:tc>
          <w:tcPr>
            <w:tcW w:type="dxa" w:w="3120"/>
            <w:vAlign w:val="center"/>
          </w:tcPr>
          <w:p>
            <w:pPr>
              <w:jc w:val="center"/>
            </w:pPr>
            <w:r>
              <w:rPr>
                <w:rFonts w:ascii="Times New Roman" w:cs="Times New Roman" w:eastAsia="Times New Roman" w:hAnsi="Times New Roman"/>
                <w:sz w:val="22"/>
                <w:szCs w:val="22"/>
              </w:rPr>
              <w:t xml:space="preserve">39</w:t>
            </w:r>
          </w:p>
        </w:tc>
        <w:tc>
          <w:tcPr>
            <w:tcW w:type="dxa" w:w="3120"/>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sz w:val="24"/>
          <w:szCs w:val="24"/>
        </w:rPr>
        <w:t xml:space="preserve">Among students who answered correctly but with low confidence (the SDM-10 confirm trigger condition), 44.6% demonstrated genuine understanding in their explanation (verified), 41.8% showed partial understanding, and 13.7% were classified as likely guesses -- their explanations showed no understanding of the underlying concept despite selecting the correct answer. Because confirm items are triggered only for low-confidence correct answers, the 13.7% guess rate applies to that conditioned subsample, not to all correct responses. Nonetheless, this finding validates the SDM-10's approach of probing low-confidence correct answers: on items where guessing is plausible, anchor scores alone overestimate true comprehension.</w:t>
      </w:r>
    </w:p>
    <w:p>
      <w:pPr>
        <w:spacing w:line="360" w:after="200"/>
      </w:pPr>
      <w:r>
        <w:rPr>
          <w:rFonts w:ascii="Times New Roman" w:cs="Times New Roman" w:eastAsia="Times New Roman" w:hAnsi="Times New Roman"/>
          <w:b/>
          <w:bCs/>
          <w:sz w:val="24"/>
          <w:szCs w:val="24"/>
        </w:rPr>
        <w:t xml:space="preserve">Table 4.7: Confirm Items with Highest Likely-Guess Rates (Consented, confirm n &gt;= 5)</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Confirm 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Guess 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Guess %</w:t>
            </w:r>
          </w:p>
        </w:tc>
      </w:tr>
      <w:tr>
        <w:tc>
          <w:tcPr>
            <w:tcW w:type="dxa" w:w="1872"/>
            <w:vAlign w:val="center"/>
          </w:tcPr>
          <w:p>
            <w:pPr>
              <w:jc w:val="center"/>
            </w:pPr>
            <w:r>
              <w:rPr>
                <w:rFonts w:ascii="Times New Roman" w:cs="Times New Roman" w:eastAsia="Times New Roman" w:hAnsi="Times New Roman"/>
                <w:sz w:val="22"/>
                <w:szCs w:val="22"/>
              </w:rPr>
              <w:t xml:space="preserve">Q29</w:t>
            </w:r>
          </w:p>
        </w:tc>
        <w:tc>
          <w:tcPr>
            <w:tcW w:type="dxa" w:w="1872"/>
            <w:vAlign w:val="center"/>
          </w:tcPr>
          <w:p>
            <w:pPr>
              <w:jc w:val="center"/>
            </w:pPr>
            <w:r>
              <w:rPr>
                <w:rFonts w:ascii="Times New Roman" w:cs="Times New Roman" w:eastAsia="Times New Roman" w:hAnsi="Times New Roman"/>
                <w:sz w:val="22"/>
                <w:szCs w:val="22"/>
              </w:rPr>
              <w:t xml:space="preserve">Interest Rates &amp; Bonds</w:t>
            </w:r>
          </w:p>
        </w:tc>
        <w:tc>
          <w:tcPr>
            <w:tcW w:type="dxa" w:w="1872"/>
            <w:vAlign w:val="center"/>
          </w:tcPr>
          <w:p>
            <w:pPr>
              <w:jc w:val="center"/>
            </w:pPr>
            <w:r>
              <w:rPr>
                <w:rFonts w:ascii="Times New Roman" w:cs="Times New Roman" w:eastAsia="Times New Roman" w:hAnsi="Times New Roman"/>
                <w:sz w:val="22"/>
                <w:szCs w:val="22"/>
              </w:rPr>
              <w:t xml:space="preserve">12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33.3%</w:t>
            </w:r>
          </w:p>
        </w:tc>
      </w:tr>
      <w:tr>
        <w:tc>
          <w:tcPr>
            <w:tcW w:type="dxa" w:w="1872"/>
            <w:vAlign w:val="center"/>
          </w:tcPr>
          <w:p>
            <w:pPr>
              <w:jc w:val="center"/>
            </w:pPr>
            <w:r>
              <w:rPr>
                <w:rFonts w:ascii="Times New Roman" w:cs="Times New Roman" w:eastAsia="Times New Roman" w:hAnsi="Times New Roman"/>
                <w:sz w:val="22"/>
                <w:szCs w:val="22"/>
              </w:rPr>
              <w:t xml:space="preserve">Q13</w:t>
            </w:r>
          </w:p>
        </w:tc>
        <w:tc>
          <w:tcPr>
            <w:tcW w:type="dxa" w:w="1872"/>
            <w:vAlign w:val="center"/>
          </w:tcPr>
          <w:p>
            <w:pPr>
              <w:jc w:val="center"/>
            </w:pPr>
            <w:r>
              <w:rPr>
                <w:rFonts w:ascii="Times New Roman" w:cs="Times New Roman" w:eastAsia="Times New Roman" w:hAnsi="Times New Roman"/>
                <w:sz w:val="22"/>
                <w:szCs w:val="22"/>
              </w:rPr>
              <w:t xml:space="preserve">Insurance Deductible</w:t>
            </w:r>
          </w:p>
        </w:tc>
        <w:tc>
          <w:tcPr>
            <w:tcW w:type="dxa" w:w="1872"/>
            <w:vAlign w:val="center"/>
          </w:tcPr>
          <w:p>
            <w:pPr>
              <w:jc w:val="center"/>
            </w:pPr>
            <w:r>
              <w:rPr>
                <w:rFonts w:ascii="Times New Roman" w:cs="Times New Roman" w:eastAsia="Times New Roman" w:hAnsi="Times New Roman"/>
                <w:sz w:val="22"/>
                <w:szCs w:val="22"/>
              </w:rPr>
              <w:t xml:space="preserve">22</w:t>
            </w:r>
          </w:p>
        </w:tc>
        <w:tc>
          <w:tcPr>
            <w:tcW w:type="dxa" w:w="1872"/>
            <w:vAlign w:val="center"/>
          </w:tcPr>
          <w:p>
            <w:pPr>
              <w:jc w:val="center"/>
            </w:pPr>
            <w:r>
              <w:rPr>
                <w:rFonts w:ascii="Times New Roman" w:cs="Times New Roman" w:eastAsia="Times New Roman" w:hAnsi="Times New Roman"/>
                <w:sz w:val="22"/>
                <w:szCs w:val="22"/>
              </w:rPr>
              <w:t xml:space="preserve">7</w:t>
            </w:r>
          </w:p>
        </w:tc>
        <w:tc>
          <w:tcPr>
            <w:tcW w:type="dxa" w:w="1872"/>
            <w:vAlign w:val="center"/>
          </w:tcPr>
          <w:p>
            <w:pPr>
              <w:jc w:val="center"/>
            </w:pPr>
            <w:r>
              <w:rPr>
                <w:rFonts w:ascii="Times New Roman" w:cs="Times New Roman" w:eastAsia="Times New Roman" w:hAnsi="Times New Roman"/>
                <w:sz w:val="22"/>
                <w:szCs w:val="22"/>
              </w:rPr>
              <w:t xml:space="preserve">31.8%</w:t>
            </w:r>
          </w:p>
        </w:tc>
      </w:tr>
      <w:tr>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Credit Reports</w:t>
            </w:r>
          </w:p>
        </w:tc>
        <w:tc>
          <w:tcPr>
            <w:tcW w:type="dxa" w:w="1872"/>
            <w:vAlign w:val="center"/>
          </w:tcPr>
          <w:p>
            <w:pPr>
              <w:jc w:val="center"/>
            </w:pPr>
            <w:r>
              <w:rPr>
                <w:rFonts w:ascii="Times New Roman" w:cs="Times New Roman" w:eastAsia="Times New Roman" w:hAnsi="Times New Roman"/>
                <w:sz w:val="22"/>
                <w:szCs w:val="22"/>
              </w:rPr>
              <w:t xml:space="preserve">15</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26.7%</w:t>
            </w:r>
          </w:p>
        </w:tc>
      </w:tr>
      <w:tr>
        <w:tc>
          <w:tcPr>
            <w:tcW w:type="dxa" w:w="1872"/>
            <w:vAlign w:val="center"/>
          </w:tcPr>
          <w:p>
            <w:pPr>
              <w:jc w:val="center"/>
            </w:pPr>
            <w:r>
              <w:rPr>
                <w:rFonts w:ascii="Times New Roman" w:cs="Times New Roman" w:eastAsia="Times New Roman" w:hAnsi="Times New Roman"/>
                <w:sz w:val="22"/>
                <w:szCs w:val="22"/>
              </w:rPr>
              <w:t xml:space="preserve">Q8</w:t>
            </w:r>
          </w:p>
        </w:tc>
        <w:tc>
          <w:tcPr>
            <w:tcW w:type="dxa" w:w="1872"/>
            <w:vAlign w:val="center"/>
          </w:tcPr>
          <w:p>
            <w:pPr>
              <w:jc w:val="center"/>
            </w:pPr>
            <w:r>
              <w:rPr>
                <w:rFonts w:ascii="Times New Roman" w:cs="Times New Roman" w:eastAsia="Times New Roman" w:hAnsi="Times New Roman"/>
                <w:sz w:val="22"/>
                <w:szCs w:val="22"/>
              </w:rPr>
              <w:t xml:space="preserve">Auto Loans</w:t>
            </w:r>
          </w:p>
        </w:tc>
        <w:tc>
          <w:tcPr>
            <w:tcW w:type="dxa" w:w="1872"/>
            <w:vAlign w:val="center"/>
          </w:tcPr>
          <w:p>
            <w:pPr>
              <w:jc w:val="center"/>
            </w:pPr>
            <w:r>
              <w:rPr>
                <w:rFonts w:ascii="Times New Roman" w:cs="Times New Roman" w:eastAsia="Times New Roman" w:hAnsi="Times New Roman"/>
                <w:sz w:val="22"/>
                <w:szCs w:val="22"/>
              </w:rPr>
              <w:t xml:space="preserve">13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23.1%</w:t>
            </w:r>
          </w:p>
        </w:tc>
      </w:tr>
      <w:tr>
        <w:tc>
          <w:tcPr>
            <w:tcW w:type="dxa" w:w="1872"/>
            <w:vAlign w:val="center"/>
          </w:tcPr>
          <w:p>
            <w:pPr>
              <w:jc w:val="center"/>
            </w:pPr>
            <w:r>
              <w:rPr>
                <w:rFonts w:ascii="Times New Roman" w:cs="Times New Roman" w:eastAsia="Times New Roman" w:hAnsi="Times New Roman"/>
                <w:sz w:val="22"/>
                <w:szCs w:val="22"/>
              </w:rPr>
              <w:t xml:space="preserve">Q11</w:t>
            </w:r>
          </w:p>
        </w:tc>
        <w:tc>
          <w:tcPr>
            <w:tcW w:type="dxa" w:w="1872"/>
            <w:vAlign w:val="center"/>
          </w:tcPr>
          <w:p>
            <w:pPr>
              <w:jc w:val="center"/>
            </w:pPr>
            <w:r>
              <w:rPr>
                <w:rFonts w:ascii="Times New Roman" w:cs="Times New Roman" w:eastAsia="Times New Roman" w:hAnsi="Times New Roman"/>
                <w:sz w:val="22"/>
                <w:szCs w:val="22"/>
              </w:rPr>
              <w:t xml:space="preserve">Stock vs. Mutual Fund</w:t>
            </w:r>
          </w:p>
        </w:tc>
        <w:tc>
          <w:tcPr>
            <w:tcW w:type="dxa" w:w="1872"/>
            <w:vAlign w:val="center"/>
          </w:tcPr>
          <w:p>
            <w:pPr>
              <w:jc w:val="center"/>
            </w:pPr>
            <w:r>
              <w:rPr>
                <w:rFonts w:ascii="Times New Roman" w:cs="Times New Roman" w:eastAsia="Times New Roman" w:hAnsi="Times New Roman"/>
                <w:sz w:val="22"/>
                <w:szCs w:val="22"/>
              </w:rPr>
              <w:t xml:space="preserve">26</w:t>
            </w:r>
          </w:p>
        </w:tc>
        <w:tc>
          <w:tcPr>
            <w:tcW w:type="dxa" w:w="1872"/>
            <w:vAlign w:val="center"/>
          </w:tcPr>
          <w:p>
            <w:pPr>
              <w:jc w:val="center"/>
            </w:pPr>
            <w:r>
              <w:rPr>
                <w:rFonts w:ascii="Times New Roman" w:cs="Times New Roman" w:eastAsia="Times New Roman" w:hAnsi="Times New Roman"/>
                <w:sz w:val="22"/>
                <w:szCs w:val="22"/>
              </w:rPr>
              <w:t xml:space="preserve">6</w:t>
            </w:r>
          </w:p>
        </w:tc>
        <w:tc>
          <w:tcPr>
            <w:tcW w:type="dxa" w:w="1872"/>
            <w:vAlign w:val="center"/>
          </w:tcPr>
          <w:p>
            <w:pPr>
              <w:jc w:val="center"/>
            </w:pPr>
            <w:r>
              <w:rPr>
                <w:rFonts w:ascii="Times New Roman" w:cs="Times New Roman" w:eastAsia="Times New Roman" w:hAnsi="Times New Roman"/>
                <w:sz w:val="22"/>
                <w:szCs w:val="22"/>
              </w:rPr>
              <w:t xml:space="preserve">23.1%</w:t>
            </w:r>
          </w:p>
        </w:tc>
      </w:tr>
      <w:tr>
        <w:tc>
          <w:tcPr>
            <w:tcW w:type="dxa" w:w="1872"/>
            <w:vAlign w:val="center"/>
          </w:tcPr>
          <w:p>
            <w:pPr>
              <w:jc w:val="center"/>
            </w:pPr>
            <w:r>
              <w:rPr>
                <w:rFonts w:ascii="Times New Roman" w:cs="Times New Roman" w:eastAsia="Times New Roman" w:hAnsi="Times New Roman"/>
                <w:sz w:val="22"/>
                <w:szCs w:val="22"/>
              </w:rPr>
              <w:t xml:space="preserve">Q30</w:t>
            </w:r>
          </w:p>
        </w:tc>
        <w:tc>
          <w:tcPr>
            <w:tcW w:type="dxa" w:w="1872"/>
            <w:vAlign w:val="center"/>
          </w:tcPr>
          <w:p>
            <w:pPr>
              <w:jc w:val="center"/>
            </w:pPr>
            <w:r>
              <w:rPr>
                <w:rFonts w:ascii="Times New Roman" w:cs="Times New Roman" w:eastAsia="Times New Roman" w:hAnsi="Times New Roman"/>
                <w:sz w:val="22"/>
                <w:szCs w:val="22"/>
              </w:rPr>
              <w:t xml:space="preserve">Risk-Return Tradeoff</w:t>
            </w:r>
          </w:p>
        </w:tc>
        <w:tc>
          <w:tcPr>
            <w:tcW w:type="dxa" w:w="1872"/>
            <w:vAlign w:val="center"/>
          </w:tcPr>
          <w:p>
            <w:pPr>
              <w:jc w:val="center"/>
            </w:pPr>
            <w:r>
              <w:rPr>
                <w:rFonts w:ascii="Times New Roman" w:cs="Times New Roman" w:eastAsia="Times New Roman" w:hAnsi="Times New Roman"/>
                <w:sz w:val="22"/>
                <w:szCs w:val="22"/>
              </w:rPr>
              <w:t xml:space="preserve">10</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20.0%</w:t>
            </w:r>
          </w:p>
        </w:tc>
      </w:tr>
      <w:tr>
        <w:tc>
          <w:tcPr>
            <w:tcW w:type="dxa" w:w="1872"/>
            <w:vAlign w:val="center"/>
          </w:tcPr>
          <w:p>
            <w:pPr>
              <w:jc w:val="center"/>
            </w:pPr>
            <w:r>
              <w:rPr>
                <w:rFonts w:ascii="Times New Roman" w:cs="Times New Roman" w:eastAsia="Times New Roman" w:hAnsi="Times New Roman"/>
                <w:sz w:val="22"/>
                <w:szCs w:val="22"/>
              </w:rPr>
              <w:t xml:space="preserve">Q37</w:t>
            </w:r>
          </w:p>
        </w:tc>
        <w:tc>
          <w:tcPr>
            <w:tcW w:type="dxa" w:w="1872"/>
            <w:vAlign w:val="center"/>
          </w:tcPr>
          <w:p>
            <w:pPr>
              <w:jc w:val="center"/>
            </w:pPr>
            <w:r>
              <w:rPr>
                <w:rFonts w:ascii="Times New Roman" w:cs="Times New Roman" w:eastAsia="Times New Roman" w:hAnsi="Times New Roman"/>
                <w:sz w:val="22"/>
                <w:szCs w:val="22"/>
              </w:rPr>
              <w:t xml:space="preserve">Insurance Types</w:t>
            </w:r>
          </w:p>
        </w:tc>
        <w:tc>
          <w:tcPr>
            <w:tcW w:type="dxa" w:w="1872"/>
            <w:vAlign w:val="center"/>
          </w:tcPr>
          <w:p>
            <w:pPr>
              <w:jc w:val="center"/>
            </w:pPr>
            <w:r>
              <w:rPr>
                <w:rFonts w:ascii="Times New Roman" w:cs="Times New Roman" w:eastAsia="Times New Roman" w:hAnsi="Times New Roman"/>
                <w:sz w:val="22"/>
                <w:szCs w:val="22"/>
              </w:rPr>
              <w:t xml:space="preserve">10</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20.0%</w:t>
            </w:r>
          </w:p>
        </w:tc>
      </w:tr>
    </w:tbl>
    <w:p>
      <w:pPr>
        <w:spacing w:after="200"/>
      </w:pPr>
    </w:p>
    <w:p>
      <w:pPr>
        <w:spacing w:line="360" w:after="200"/>
      </w:pPr>
      <w:r>
        <w:rPr>
          <w:rFonts w:ascii="Times New Roman" w:cs="Times New Roman" w:eastAsia="Times New Roman" w:hAnsi="Times New Roman"/>
          <w:sz w:val="24"/>
          <w:szCs w:val="24"/>
        </w:rPr>
        <w:t xml:space="preserve">Q29 (Bonds &amp; Interest Rates) and Q13 (Insurance Deductible) have the highest guess rates among correct respondents. These topics may warrant additional instructional attention despite appearing well-understood based on raw anchor scores alone.</w:t>
      </w:r>
    </w:p>
    <w:p>
      <w:pPr>
        <w:spacing w:line="360" w:after="200"/>
      </w:pPr>
      <w:r>
        <w:rPr>
          <w:rFonts w:ascii="Times New Roman" w:cs="Times New Roman" w:eastAsia="Times New Roman" w:hAnsi="Times New Roman"/>
          <w:b/>
          <w:bCs/>
          <w:sz w:val="24"/>
          <w:szCs w:val="24"/>
        </w:rPr>
        <w:t xml:space="preserve">Table 4.8: Credit Score Distribution (All Consented Scored, n = 778)</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Credit Score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100 (full diagnostic value)</w:t>
            </w:r>
          </w:p>
        </w:tc>
        <w:tc>
          <w:tcPr>
            <w:tcW w:type="dxa" w:w="3120"/>
            <w:vAlign w:val="center"/>
          </w:tcPr>
          <w:p>
            <w:pPr>
              <w:jc w:val="center"/>
            </w:pPr>
            <w:r>
              <w:rPr>
                <w:rFonts w:ascii="Times New Roman" w:cs="Times New Roman" w:eastAsia="Times New Roman" w:hAnsi="Times New Roman"/>
                <w:sz w:val="22"/>
                <w:szCs w:val="22"/>
              </w:rPr>
              <w:t xml:space="preserve">541</w:t>
            </w:r>
          </w:p>
        </w:tc>
        <w:tc>
          <w:tcPr>
            <w:tcW w:type="dxa" w:w="3120"/>
            <w:vAlign w:val="center"/>
          </w:tcPr>
          <w:p>
            <w:pPr>
              <w:jc w:val="center"/>
            </w:pPr>
            <w:r>
              <w:rPr>
                <w:rFonts w:ascii="Times New Roman" w:cs="Times New Roman" w:eastAsia="Times New Roman" w:hAnsi="Times New Roman"/>
                <w:sz w:val="22"/>
                <w:szCs w:val="22"/>
              </w:rPr>
              <w:t xml:space="preserve">69.5%</w:t>
            </w:r>
          </w:p>
        </w:tc>
      </w:tr>
      <w:tr>
        <w:tc>
          <w:tcPr>
            <w:tcW w:type="dxa" w:w="3120"/>
            <w:vAlign w:val="center"/>
          </w:tcPr>
          <w:p>
            <w:pPr>
              <w:jc w:val="center"/>
            </w:pPr>
            <w:r>
              <w:rPr>
                <w:rFonts w:ascii="Times New Roman" w:cs="Times New Roman" w:eastAsia="Times New Roman" w:hAnsi="Times New Roman"/>
                <w:sz w:val="22"/>
                <w:szCs w:val="22"/>
              </w:rPr>
              <w:t xml:space="preserve">50 (partial diagnostic value)</w:t>
            </w:r>
          </w:p>
        </w:tc>
        <w:tc>
          <w:tcPr>
            <w:tcW w:type="dxa" w:w="3120"/>
            <w:vAlign w:val="center"/>
          </w:tcPr>
          <w:p>
            <w:pPr>
              <w:jc w:val="center"/>
            </w:pPr>
            <w:r>
              <w:rPr>
                <w:rFonts w:ascii="Times New Roman" w:cs="Times New Roman" w:eastAsia="Times New Roman" w:hAnsi="Times New Roman"/>
                <w:sz w:val="22"/>
                <w:szCs w:val="22"/>
              </w:rPr>
              <w:t xml:space="preserve">129</w:t>
            </w:r>
          </w:p>
        </w:tc>
        <w:tc>
          <w:tcPr>
            <w:tcW w:type="dxa" w:w="3120"/>
            <w:vAlign w:val="center"/>
          </w:tcPr>
          <w:p>
            <w:pPr>
              <w:jc w:val="center"/>
            </w:pPr>
            <w:r>
              <w:rPr>
                <w:rFonts w:ascii="Times New Roman" w:cs="Times New Roman" w:eastAsia="Times New Roman" w:hAnsi="Times New Roman"/>
                <w:sz w:val="22"/>
                <w:szCs w:val="22"/>
              </w:rPr>
              <w:t xml:space="preserve">16.6%</w:t>
            </w:r>
          </w:p>
        </w:tc>
      </w:tr>
      <w:tr>
        <w:tc>
          <w:tcPr>
            <w:tcW w:type="dxa" w:w="3120"/>
            <w:vAlign w:val="center"/>
          </w:tcPr>
          <w:p>
            <w:pPr>
              <w:jc w:val="center"/>
            </w:pPr>
            <w:r>
              <w:rPr>
                <w:rFonts w:ascii="Times New Roman" w:cs="Times New Roman" w:eastAsia="Times New Roman" w:hAnsi="Times New Roman"/>
                <w:sz w:val="22"/>
                <w:szCs w:val="22"/>
              </w:rPr>
              <w:t xml:space="preserve">0 (no diagnostic value)</w:t>
            </w:r>
          </w:p>
        </w:tc>
        <w:tc>
          <w:tcPr>
            <w:tcW w:type="dxa" w:w="3120"/>
            <w:vAlign w:val="center"/>
          </w:tcPr>
          <w:p>
            <w:pPr>
              <w:jc w:val="center"/>
            </w:pPr>
            <w:r>
              <w:rPr>
                <w:rFonts w:ascii="Times New Roman" w:cs="Times New Roman" w:eastAsia="Times New Roman" w:hAnsi="Times New Roman"/>
                <w:sz w:val="22"/>
                <w:szCs w:val="22"/>
              </w:rPr>
              <w:t xml:space="preserve">108</w:t>
            </w:r>
          </w:p>
        </w:tc>
        <w:tc>
          <w:tcPr>
            <w:tcW w:type="dxa" w:w="3120"/>
            <w:vAlign w:val="center"/>
          </w:tcPr>
          <w:p>
            <w:pPr>
              <w:jc w:val="center"/>
            </w:pPr>
            <w:r>
              <w:rPr>
                <w:rFonts w:ascii="Times New Roman" w:cs="Times New Roman" w:eastAsia="Times New Roman" w:hAnsi="Times New Roman"/>
                <w:sz w:val="22"/>
                <w:szCs w:val="22"/>
              </w:rPr>
              <w:t xml:space="preserve">13.9%</w:t>
            </w:r>
          </w:p>
        </w:tc>
      </w:tr>
    </w:tbl>
    <w:p>
      <w:pPr>
        <w:spacing w:after="200"/>
      </w:pPr>
    </w:p>
    <w:p>
      <w:pPr>
        <w:pStyle w:val="Heading3"/>
        <w:spacing w:before="240" w:after="120"/>
      </w:pPr>
      <w:r>
        <w:rPr>
          <w:rFonts w:ascii="Times New Roman" w:cs="Times New Roman" w:eastAsia="Times New Roman" w:hAnsi="Times New Roman"/>
          <w:sz w:val="24"/>
          <w:szCs w:val="24"/>
        </w:rPr>
        <w:t xml:space="preserve">4.4.4 Misconception Analysis by Domain</w:t>
      </w:r>
    </w:p>
    <w:p>
      <w:pPr>
        <w:spacing w:line="360" w:after="200"/>
      </w:pPr>
      <w:r>
        <w:rPr>
          <w:rFonts w:ascii="Times New Roman" w:cs="Times New Roman" w:eastAsia="Times New Roman" w:hAnsi="Times New Roman"/>
          <w:sz w:val="24"/>
          <w:szCs w:val="24"/>
        </w:rPr>
        <w:t xml:space="preserve">The AI-assisted classification revealed distinct misconception patterns across assessment domains. All per-item rates below are conditional on the SDM-10 diagnose trigger (incorrect + high confidence); they characterize the composition of high-confidence errors, not class-wide misconception prevalence.</w:t>
      </w:r>
    </w:p>
    <w:p>
      <w:pPr>
        <w:spacing w:line="360" w:after="200"/>
      </w:pPr>
      <w:r>
        <w:rPr>
          <w:rFonts w:ascii="Times New Roman" w:cs="Times New Roman" w:eastAsia="Times New Roman" w:hAnsi="Times New Roman"/>
          <w:b/>
          <w:bCs/>
          <w:sz w:val="24"/>
          <w:szCs w:val="24"/>
        </w:rPr>
        <w:t xml:space="preserve">Inflation and Purchasing Power.</w:t>
      </w:r>
      <w:r>
        <w:rPr>
          <w:rFonts w:ascii="Times New Roman" w:cs="Times New Roman" w:eastAsia="Times New Roman" w:hAnsi="Times New Roman"/>
          <w:sz w:val="24"/>
          <w:szCs w:val="24"/>
        </w:rPr>
        <w:t xml:space="preserve"> The most prevalent misconception was INF-01 (lower inflation equals falling prices), identified in 42 consented diagnose responses -- the single most frequent misconception code in the dataset. Students systematically confused a decrease in the rate of price increase with an actual decrease in prices. On Q7 (which group is most hurt by inflation), empathy-driven reasoning (INF-05, n = 17) led students to select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w:t>
      </w:r>
      <w:r>
        <w:rPr>
          <w:rFonts w:ascii="Times New Roman" w:cs="Times New Roman" w:eastAsia="Times New Roman" w:hAnsi="Times New Roman"/>
          <w:sz w:val="24"/>
          <w:szCs w:val="24"/>
        </w:rPr>
        <w:t xml:space="preserve"> On Q36 (diversification principle), 81.0% of diagnose responses from consented students were classified as selection errors -- the highest selection error rate of any item. Students who answered incorrectly could explain why spreading money across assets reduces risk, but selected "False" on the True/False item, likely due to negation confusion or overthinking the word "all." On Q35 (risk-return relationship), students used real-world counterexamples from non-financial domains to argue against the general financial principle (RISK-10), indicating reasoning by analogy rather than domain-specific knowledge.</w:t>
      </w:r>
    </w:p>
    <w:p>
      <w:pPr>
        <w:spacing w:line="360" w:after="200"/>
      </w:pPr>
      <w:r>
        <w:rPr>
          <w:rFonts w:ascii="Times New Roman" w:cs="Times New Roman" w:eastAsia="Times New Roman" w:hAnsi="Times New Roman"/>
          <w:b/>
          <w:bCs/>
          <w:sz w:val="24"/>
          <w:szCs w:val="24"/>
        </w:rPr>
        <w:t xml:space="preserve">Insurance and Risk Management.</w:t>
      </w:r>
      <w:r>
        <w:rPr>
          <w:rFonts w:ascii="Times New Roman" w:cs="Times New Roman" w:eastAsia="Times New Roman" w:hAnsi="Times New Roman"/>
          <w:sz w:val="24"/>
          <w:szCs w:val="24"/>
        </w:rPr>
        <w:t xml:space="preserve"> On Q12 (primary purpose of health insurance), 82.1% of diagnose responses reflected the misconception that routine care is the primary function of insurance (INS-01, n = 23 of 28), with many students applying frequency-over-severity reasoning: because routine visits are more common, they must be the primary purpose (INS-02). Q13 (deductible definition) showed a high knowledge gap rate (31.6%), indicating unfamiliarity with this technical insurance term rather than a specific misconception.</w:t>
      </w:r>
    </w:p>
    <w:p>
      <w:pPr>
        <w:spacing w:line="360" w:after="200"/>
      </w:pPr>
      <w:r>
        <w:rPr>
          <w:rFonts w:ascii="Times New Roman" w:cs="Times New Roman" w:eastAsia="Times New Roman" w:hAnsi="Times New Roman"/>
          <w:b/>
          <w:bCs/>
          <w:sz w:val="24"/>
          <w:szCs w:val="24"/>
        </w:rPr>
        <w:t xml:space="preserve">Borrowing and Credit.</w:t>
      </w:r>
      <w:r>
        <w:rPr>
          <w:rFonts w:ascii="Times New Roman" w:cs="Times New Roman" w:eastAsia="Times New Roman" w:hAnsi="Times New Roman"/>
          <w:sz w:val="24"/>
          <w:szCs w:val="24"/>
        </w:rPr>
        <w:t xml:space="preserve"> Credit report knowledge (Q10) showed a 41.0% selection error rate, indicating that many students possessed the correct understanding but were confused by the question's "which is FALSE" framing. On Q2 (mortgage term length and total interest), 31.8% of incorrect responses were selection errors.</w:t>
      </w:r>
    </w:p>
    <w:p>
      <w:pPr>
        <w:spacing w:line="360" w:after="200"/>
      </w:pPr>
      <w:r>
        <w:rPr>
          <w:rFonts w:ascii="Times New Roman" w:cs="Times New Roman" w:eastAsia="Times New Roman" w:hAnsi="Times New Roman"/>
          <w:b/>
          <w:bCs/>
          <w:sz w:val="24"/>
          <w:szCs w:val="24"/>
        </w:rPr>
        <w:t xml:space="preserve">Table 4.9: Top 10 Misconception Codes (Consented Diagnose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r>
      <w:tr>
        <w:tc>
          <w:tcPr>
            <w:tcW w:type="dxa" w:w="3120"/>
            <w:vAlign w:val="center"/>
          </w:tcPr>
          <w:p>
            <w:pPr>
              <w:jc w:val="center"/>
            </w:pPr>
            <w:r>
              <w:rPr>
                <w:rFonts w:ascii="Times New Roman" w:cs="Times New Roman" w:eastAsia="Times New Roman" w:hAnsi="Times New Roman"/>
                <w:sz w:val="22"/>
                <w:szCs w:val="22"/>
              </w:rPr>
              <w:t xml:space="preserve">INF-01</w:t>
            </w:r>
          </w:p>
        </w:tc>
        <w:tc>
          <w:tcPr>
            <w:tcW w:type="dxa" w:w="3120"/>
            <w:vAlign w:val="center"/>
          </w:tcPr>
          <w:p>
            <w:pPr>
              <w:jc w:val="center"/>
            </w:pPr>
            <w:r>
              <w:rPr>
                <w:rFonts w:ascii="Times New Roman" w:cs="Times New Roman" w:eastAsia="Times New Roman" w:hAnsi="Times New Roman"/>
                <w:sz w:val="22"/>
                <w:szCs w:val="22"/>
              </w:rPr>
              <w:t xml:space="preserve">Lower inflation = falling prices</w:t>
            </w:r>
          </w:p>
        </w:tc>
        <w:tc>
          <w:tcPr>
            <w:tcW w:type="dxa" w:w="3120"/>
            <w:vAlign w:val="center"/>
          </w:tcPr>
          <w:p>
            <w:pPr>
              <w:jc w:val="center"/>
            </w:pPr>
            <w:r>
              <w:rPr>
                <w:rFonts w:ascii="Times New Roman" w:cs="Times New Roman" w:eastAsia="Times New Roman" w:hAnsi="Times New Roman"/>
                <w:sz w:val="22"/>
                <w:szCs w:val="22"/>
              </w:rPr>
              <w:t xml:space="preserve">42</w:t>
            </w:r>
          </w:p>
        </w:tc>
      </w:tr>
      <w:tr>
        <w:tc>
          <w:tcPr>
            <w:tcW w:type="dxa" w:w="3120"/>
            <w:vAlign w:val="center"/>
          </w:tcPr>
          <w:p>
            <w:pPr>
              <w:jc w:val="center"/>
            </w:pPr>
            <w:r>
              <w:rPr>
                <w:rFonts w:ascii="Times New Roman" w:cs="Times New Roman" w:eastAsia="Times New Roman" w:hAnsi="Times New Roman"/>
                <w:sz w:val="22"/>
                <w:szCs w:val="22"/>
              </w:rPr>
              <w:t xml:space="preserve">INT-05</w:t>
            </w:r>
          </w:p>
        </w:tc>
        <w:tc>
          <w:tcPr>
            <w:tcW w:type="dxa" w:w="3120"/>
            <w:vAlign w:val="center"/>
          </w:tcPr>
          <w:p>
            <w:pPr>
              <w:jc w:val="center"/>
            </w:pPr>
            <w:r>
              <w:rPr>
                <w:rFonts w:ascii="Times New Roman" w:cs="Times New Roman" w:eastAsia="Times New Roman" w:hAnsi="Times New Roman"/>
                <w:sz w:val="22"/>
                <w:szCs w:val="22"/>
              </w:rPr>
              <w:t xml:space="preserve">Interest rates not negotiable</w:t>
            </w:r>
          </w:p>
        </w:tc>
        <w:tc>
          <w:tcPr>
            <w:tcW w:type="dxa" w:w="3120"/>
            <w:vAlign w:val="center"/>
          </w:tcPr>
          <w:p>
            <w:pPr>
              <w:jc w:val="center"/>
            </w:pPr>
            <w:r>
              <w:rPr>
                <w:rFonts w:ascii="Times New Roman" w:cs="Times New Roman" w:eastAsia="Times New Roman" w:hAnsi="Times New Roman"/>
                <w:sz w:val="22"/>
                <w:szCs w:val="22"/>
              </w:rPr>
              <w:t xml:space="preserve">19</w:t>
            </w:r>
          </w:p>
        </w:tc>
      </w:tr>
      <w:tr>
        <w:tc>
          <w:tcPr>
            <w:tcW w:type="dxa" w:w="3120"/>
            <w:vAlign w:val="center"/>
          </w:tcPr>
          <w:p>
            <w:pPr>
              <w:jc w:val="center"/>
            </w:pPr>
            <w:r>
              <w:rPr>
                <w:rFonts w:ascii="Times New Roman" w:cs="Times New Roman" w:eastAsia="Times New Roman" w:hAnsi="Times New Roman"/>
                <w:sz w:val="22"/>
                <w:szCs w:val="22"/>
              </w:rPr>
              <w:t xml:space="preserve">INS-01</w:t>
            </w:r>
          </w:p>
        </w:tc>
        <w:tc>
          <w:tcPr>
            <w:tcW w:type="dxa" w:w="3120"/>
            <w:vAlign w:val="center"/>
          </w:tcPr>
          <w:p>
            <w:pPr>
              <w:jc w:val="center"/>
            </w:pPr>
            <w:r>
              <w:rPr>
                <w:rFonts w:ascii="Times New Roman" w:cs="Times New Roman" w:eastAsia="Times New Roman" w:hAnsi="Times New Roman"/>
                <w:sz w:val="22"/>
                <w:szCs w:val="22"/>
              </w:rPr>
              <w:t xml:space="preserve">Insurance for routine care</w:t>
            </w:r>
          </w:p>
        </w:tc>
        <w:tc>
          <w:tcPr>
            <w:tcW w:type="dxa" w:w="3120"/>
            <w:vAlign w:val="center"/>
          </w:tcPr>
          <w:p>
            <w:pPr>
              <w:jc w:val="center"/>
            </w:pPr>
            <w:r>
              <w:rPr>
                <w:rFonts w:ascii="Times New Roman" w:cs="Times New Roman" w:eastAsia="Times New Roman" w:hAnsi="Times New Roman"/>
                <w:sz w:val="22"/>
                <w:szCs w:val="22"/>
              </w:rPr>
              <w:t xml:space="preserve">18</w:t>
            </w:r>
          </w:p>
        </w:tc>
      </w:tr>
      <w:tr>
        <w:tc>
          <w:tcPr>
            <w:tcW w:type="dxa" w:w="3120"/>
            <w:vAlign w:val="center"/>
          </w:tcPr>
          <w:p>
            <w:pPr>
              <w:jc w:val="center"/>
            </w:pPr>
            <w:r>
              <w:rPr>
                <w:rFonts w:ascii="Times New Roman" w:cs="Times New Roman" w:eastAsia="Times New Roman" w:hAnsi="Times New Roman"/>
                <w:sz w:val="22"/>
                <w:szCs w:val="22"/>
              </w:rPr>
              <w:t xml:space="preserve">INF-05</w:t>
            </w:r>
          </w:p>
        </w:tc>
        <w:tc>
          <w:tcPr>
            <w:tcW w:type="dxa" w:w="3120"/>
            <w:vAlign w:val="center"/>
          </w:tcPr>
          <w:p>
            <w:pPr>
              <w:jc w:val="center"/>
            </w:pPr>
            <w:r>
              <w:rPr>
                <w:rFonts w:ascii="Times New Roman" w:cs="Times New Roman" w:eastAsia="Times New Roman" w:hAnsi="Times New Roman"/>
                <w:sz w:val="22"/>
                <w:szCs w:val="22"/>
              </w:rPr>
              <w:t xml:space="preserve">Empathy-driven inflation reasoning</w:t>
            </w:r>
          </w:p>
        </w:tc>
        <w:tc>
          <w:tcPr>
            <w:tcW w:type="dxa" w:w="3120"/>
            <w:vAlign w:val="center"/>
          </w:tcPr>
          <w:p>
            <w:pPr>
              <w:jc w:val="center"/>
            </w:pPr>
            <w:r>
              <w:rPr>
                <w:rFonts w:ascii="Times New Roman" w:cs="Times New Roman" w:eastAsia="Times New Roman" w:hAnsi="Times New Roman"/>
                <w:sz w:val="22"/>
                <w:szCs w:val="22"/>
              </w:rPr>
              <w:t xml:space="preserve">17</w:t>
            </w:r>
          </w:p>
        </w:tc>
      </w:tr>
      <w:tr>
        <w:tc>
          <w:tcPr>
            <w:tcW w:type="dxa" w:w="3120"/>
            <w:vAlign w:val="center"/>
          </w:tcPr>
          <w:p>
            <w:pPr>
              <w:jc w:val="center"/>
            </w:pPr>
            <w:r>
              <w:rPr>
                <w:rFonts w:ascii="Times New Roman" w:cs="Times New Roman" w:eastAsia="Times New Roman" w:hAnsi="Times New Roman"/>
                <w:sz w:val="22"/>
                <w:szCs w:val="22"/>
              </w:rPr>
              <w:t xml:space="preserve">INF-03</w:t>
            </w:r>
          </w:p>
        </w:tc>
        <w:tc>
          <w:tcPr>
            <w:tcW w:type="dxa" w:w="3120"/>
            <w:vAlign w:val="center"/>
          </w:tcPr>
          <w:p>
            <w:pPr>
              <w:jc w:val="center"/>
            </w:pPr>
            <w:r>
              <w:rPr>
                <w:rFonts w:ascii="Times New Roman" w:cs="Times New Roman" w:eastAsia="Times New Roman" w:hAnsi="Times New Roman"/>
                <w:sz w:val="22"/>
                <w:szCs w:val="22"/>
              </w:rPr>
              <w:t xml:space="preserve">Fixed income impact misunderstood</w:t>
            </w:r>
          </w:p>
        </w:tc>
        <w:tc>
          <w:tcPr>
            <w:tcW w:type="dxa" w:w="3120"/>
            <w:vAlign w:val="center"/>
          </w:tcPr>
          <w:p>
            <w:pPr>
              <w:jc w:val="center"/>
            </w:pPr>
            <w:r>
              <w:rPr>
                <w:rFonts w:ascii="Times New Roman" w:cs="Times New Roman" w:eastAsia="Times New Roman" w:hAnsi="Times New Roman"/>
                <w:sz w:val="22"/>
                <w:szCs w:val="22"/>
              </w:rPr>
              <w:t xml:space="preserve">17</w:t>
            </w:r>
          </w:p>
        </w:tc>
      </w:tr>
      <w:tr>
        <w:tc>
          <w:tcPr>
            <w:tcW w:type="dxa" w:w="3120"/>
            <w:vAlign w:val="center"/>
          </w:tcPr>
          <w:p>
            <w:pPr>
              <w:jc w:val="center"/>
            </w:pPr>
            <w:r>
              <w:rPr>
                <w:rFonts w:ascii="Times New Roman" w:cs="Times New Roman" w:eastAsia="Times New Roman" w:hAnsi="Times New Roman"/>
                <w:sz w:val="22"/>
                <w:szCs w:val="22"/>
              </w:rPr>
              <w:t xml:space="preserve">RISK-02</w:t>
            </w:r>
          </w:p>
        </w:tc>
        <w:tc>
          <w:tcPr>
            <w:tcW w:type="dxa" w:w="3120"/>
            <w:vAlign w:val="center"/>
          </w:tcPr>
          <w:p>
            <w:pPr>
              <w:jc w:val="center"/>
            </w:pPr>
            <w:r>
              <w:rPr>
                <w:rFonts w:ascii="Times New Roman" w:cs="Times New Roman" w:eastAsia="Times New Roman" w:hAnsi="Times New Roman"/>
                <w:sz w:val="22"/>
                <w:szCs w:val="22"/>
              </w:rPr>
              <w:t xml:space="preserve">Exceptions disprove general rule</w:t>
            </w:r>
          </w:p>
        </w:tc>
        <w:tc>
          <w:tcPr>
            <w:tcW w:type="dxa" w:w="3120"/>
            <w:vAlign w:val="center"/>
          </w:tcPr>
          <w:p>
            <w:pPr>
              <w:jc w:val="center"/>
            </w:pPr>
            <w:r>
              <w:rPr>
                <w:rFonts w:ascii="Times New Roman" w:cs="Times New Roman" w:eastAsia="Times New Roman" w:hAnsi="Times New Roman"/>
                <w:sz w:val="22"/>
                <w:szCs w:val="22"/>
              </w:rPr>
              <w:t xml:space="preserve">16</w:t>
            </w:r>
          </w:p>
        </w:tc>
      </w:tr>
      <w:tr>
        <w:tc>
          <w:tcPr>
            <w:tcW w:type="dxa" w:w="3120"/>
            <w:vAlign w:val="center"/>
          </w:tcPr>
          <w:p>
            <w:pPr>
              <w:jc w:val="center"/>
            </w:pPr>
            <w:r>
              <w:rPr>
                <w:rFonts w:ascii="Times New Roman" w:cs="Times New Roman" w:eastAsia="Times New Roman" w:hAnsi="Times New Roman"/>
                <w:sz w:val="22"/>
                <w:szCs w:val="22"/>
              </w:rPr>
              <w:t xml:space="preserve">BORROW-05</w:t>
            </w:r>
          </w:p>
        </w:tc>
        <w:tc>
          <w:tcPr>
            <w:tcW w:type="dxa" w:w="3120"/>
            <w:vAlign w:val="center"/>
          </w:tcPr>
          <w:p>
            <w:pPr>
              <w:jc w:val="center"/>
            </w:pPr>
            <w:r>
              <w:rPr>
                <w:rFonts w:ascii="Times New Roman" w:cs="Times New Roman" w:eastAsia="Times New Roman" w:hAnsi="Times New Roman"/>
                <w:sz w:val="22"/>
                <w:szCs w:val="22"/>
              </w:rPr>
              <w:t xml:space="preserve">Emergency fund amount too low</w:t>
            </w:r>
          </w:p>
        </w:tc>
        <w:tc>
          <w:tcPr>
            <w:tcW w:type="dxa" w:w="3120"/>
            <w:vAlign w:val="center"/>
          </w:tcPr>
          <w:p>
            <w:pPr>
              <w:jc w:val="center"/>
            </w:pPr>
            <w:r>
              <w:rPr>
                <w:rFonts w:ascii="Times New Roman" w:cs="Times New Roman" w:eastAsia="Times New Roman" w:hAnsi="Times New Roman"/>
                <w:sz w:val="22"/>
                <w:szCs w:val="22"/>
              </w:rPr>
              <w:t xml:space="preserve">14</w:t>
            </w:r>
          </w:p>
        </w:tc>
      </w:tr>
      <w:tr>
        <w:tc>
          <w:tcPr>
            <w:tcW w:type="dxa" w:w="3120"/>
            <w:vAlign w:val="center"/>
          </w:tcPr>
          <w:p>
            <w:pPr>
              <w:jc w:val="center"/>
            </w:pPr>
            <w:r>
              <w:rPr>
                <w:rFonts w:ascii="Times New Roman" w:cs="Times New Roman" w:eastAsia="Times New Roman" w:hAnsi="Times New Roman"/>
                <w:sz w:val="22"/>
                <w:szCs w:val="22"/>
              </w:rPr>
              <w:t xml:space="preserve">BORROW-03</w:t>
            </w:r>
          </w:p>
        </w:tc>
        <w:tc>
          <w:tcPr>
            <w:tcW w:type="dxa" w:w="3120"/>
            <w:vAlign w:val="center"/>
          </w:tcPr>
          <w:p>
            <w:pPr>
              <w:jc w:val="center"/>
            </w:pPr>
            <w:r>
              <w:rPr>
                <w:rFonts w:ascii="Times New Roman" w:cs="Times New Roman" w:eastAsia="Times New Roman" w:hAnsi="Times New Roman"/>
                <w:sz w:val="22"/>
                <w:szCs w:val="22"/>
              </w:rPr>
              <w:t xml:space="preserve">Employer credit check unknown</w:t>
            </w:r>
          </w:p>
        </w:tc>
        <w:tc>
          <w:tcPr>
            <w:tcW w:type="dxa" w:w="3120"/>
            <w:vAlign w:val="center"/>
          </w:tcPr>
          <w:p>
            <w:pPr>
              <w:jc w:val="center"/>
            </w:pPr>
            <w:r>
              <w:rPr>
                <w:rFonts w:ascii="Times New Roman" w:cs="Times New Roman" w:eastAsia="Times New Roman" w:hAnsi="Times New Roman"/>
                <w:sz w:val="22"/>
                <w:szCs w:val="22"/>
              </w:rPr>
              <w:t xml:space="preserve">12</w:t>
            </w:r>
          </w:p>
        </w:tc>
      </w:tr>
      <w:tr>
        <w:tc>
          <w:tcPr>
            <w:tcW w:type="dxa" w:w="3120"/>
            <w:vAlign w:val="center"/>
          </w:tcPr>
          <w:p>
            <w:pPr>
              <w:jc w:val="center"/>
            </w:pPr>
            <w:r>
              <w:rPr>
                <w:rFonts w:ascii="Times New Roman" w:cs="Times New Roman" w:eastAsia="Times New Roman" w:hAnsi="Times New Roman"/>
                <w:sz w:val="22"/>
                <w:szCs w:val="22"/>
              </w:rPr>
              <w:t xml:space="preserve">INT-06</w:t>
            </w:r>
          </w:p>
        </w:tc>
        <w:tc>
          <w:tcPr>
            <w:tcW w:type="dxa" w:w="3120"/>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3120"/>
            <w:vAlign w:val="center"/>
          </w:tcPr>
          <w:p>
            <w:pPr>
              <w:jc w:val="center"/>
            </w:pPr>
            <w:r>
              <w:rPr>
                <w:rFonts w:ascii="Times New Roman" w:cs="Times New Roman" w:eastAsia="Times New Roman" w:hAnsi="Times New Roman"/>
                <w:sz w:val="22"/>
                <w:szCs w:val="22"/>
              </w:rPr>
              <w:t xml:space="preserve">11</w:t>
            </w:r>
          </w:p>
        </w:tc>
      </w:tr>
      <w:tr>
        <w:tc>
          <w:tcPr>
            <w:tcW w:type="dxa" w:w="3120"/>
            <w:vAlign w:val="center"/>
          </w:tcPr>
          <w:p>
            <w:pPr>
              <w:jc w:val="center"/>
            </w:pPr>
            <w:r>
              <w:rPr>
                <w:rFonts w:ascii="Times New Roman" w:cs="Times New Roman" w:eastAsia="Times New Roman" w:hAnsi="Times New Roman"/>
                <w:sz w:val="22"/>
                <w:szCs w:val="22"/>
              </w:rPr>
              <w:t xml:space="preserve">INS-03</w:t>
            </w:r>
          </w:p>
        </w:tc>
        <w:tc>
          <w:tcPr>
            <w:tcW w:type="dxa" w:w="3120"/>
            <w:vAlign w:val="center"/>
          </w:tcPr>
          <w:p>
            <w:pPr>
              <w:jc w:val="center"/>
            </w:pPr>
            <w:r>
              <w:rPr>
                <w:rFonts w:ascii="Times New Roman" w:cs="Times New Roman" w:eastAsia="Times New Roman" w:hAnsi="Times New Roman"/>
                <w:sz w:val="22"/>
                <w:szCs w:val="22"/>
              </w:rPr>
              <w:t xml:space="preserve">Deductible definition wrong</w:t>
            </w:r>
          </w:p>
        </w:tc>
        <w:tc>
          <w:tcPr>
            <w:tcW w:type="dxa" w:w="3120"/>
            <w:vAlign w:val="center"/>
          </w:tcPr>
          <w:p>
            <w:pPr>
              <w:jc w:val="center"/>
            </w:pPr>
            <w:r>
              <w:rPr>
                <w:rFonts w:ascii="Times New Roman" w:cs="Times New Roman" w:eastAsia="Times New Roman" w:hAnsi="Times New Roman"/>
                <w:sz w:val="22"/>
                <w:szCs w:val="22"/>
              </w:rPr>
              <w:t xml:space="preserve">10</w:t>
            </w:r>
          </w:p>
        </w:tc>
      </w:tr>
    </w:tbl>
    <w:p>
      <w:pPr>
        <w:spacing w:after="200"/>
      </w:pPr>
    </w:p>
    <w:p>
      <w:pPr>
        <w:pStyle w:val="Heading3"/>
        <w:spacing w:before="240" w:after="120"/>
      </w:pPr>
      <w:r>
        <w:rPr>
          <w:rFonts w:ascii="Times New Roman" w:cs="Times New Roman" w:eastAsia="Times New Roman" w:hAnsi="Times New Roman"/>
          <w:sz w:val="24"/>
          <w:szCs w:val="24"/>
        </w:rPr>
        <w:t xml:space="preserve">4.4.5 Selection Error Patterns</w:t>
      </w:r>
    </w:p>
    <w:p>
      <w:pPr>
        <w:spacing w:line="360" w:after="200"/>
      </w:pPr>
      <w:r>
        <w:rPr>
          <w:rFonts w:ascii="Times New Roman" w:cs="Times New Roman" w:eastAsia="Times New Roman" w:hAnsi="Times New Roman"/>
          <w:sz w:val="24"/>
          <w:szCs w:val="24"/>
        </w:rPr>
        <w:t xml:space="preserve">The selection error finding is one of the paper's central contributions. Three items showed selection error rates exceeding 30%:</w:t>
      </w:r>
    </w:p>
    <w:p>
      <w:pPr>
        <w:spacing w:line="360" w:after="200"/>
      </w:pPr>
      <w:r>
        <w:rPr>
          <w:rFonts w:ascii="Times New Roman" w:cs="Times New Roman" w:eastAsia="Times New Roman" w:hAnsi="Times New Roman"/>
          <w:b/>
          <w:bCs/>
          <w:sz w:val="24"/>
          <w:szCs w:val="24"/>
        </w:rPr>
        <w:t xml:space="preserve">Table 4.10: High Selection Error Items (Consented Diagnose)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1560"/>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T/F</w:t>
            </w:r>
          </w:p>
        </w:tc>
        <w:tc>
          <w:tcPr>
            <w:tcW w:type="dxa" w:w="1560"/>
            <w:vAlign w:val="center"/>
          </w:tcPr>
          <w:p>
            <w:pPr>
              <w:jc w:val="center"/>
            </w:pPr>
            <w:r>
              <w:rPr>
                <w:rFonts w:ascii="Times New Roman" w:cs="Times New Roman" w:eastAsia="Times New Roman" w:hAnsi="Times New Roman"/>
                <w:sz w:val="22"/>
                <w:szCs w:val="22"/>
              </w:rPr>
              <w:t xml:space="preserve">81.0%</w:t>
            </w:r>
          </w:p>
        </w:tc>
        <w:tc>
          <w:tcPr>
            <w:tcW w:type="dxa" w:w="1560"/>
            <w:vAlign w:val="center"/>
          </w:tcPr>
          <w:p>
            <w:pPr>
              <w:jc w:val="center"/>
            </w:pPr>
            <w:r>
              <w:rPr>
                <w:rFonts w:ascii="Times New Roman" w:cs="Times New Roman" w:eastAsia="Times New Roman" w:hAnsi="Times New Roman"/>
                <w:sz w:val="22"/>
                <w:szCs w:val="22"/>
              </w:rPr>
              <w:t xml:space="preserve">34/42</w:t>
            </w:r>
          </w:p>
        </w:tc>
        <w:tc>
          <w:tcPr>
            <w:tcW w:type="dxa" w:w="1560"/>
            <w:vAlign w:val="center"/>
          </w:tcPr>
          <w:p>
            <w:pPr>
              <w:jc w:val="center"/>
            </w:pPr>
            <w:r>
              <w:rPr>
                <w:rFonts w:ascii="Times New Roman" w:cs="Times New Roman" w:eastAsia="Times New Roman" w:hAnsi="Times New Roman"/>
                <w:sz w:val="22"/>
                <w:szCs w:val="22"/>
              </w:rPr>
              <w:t xml:space="preserve">T/F format confounds; consider MCQ revision</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1560"/>
            <w:vAlign w:val="center"/>
          </w:tcPr>
          <w:p>
            <w:pPr>
              <w:jc w:val="center"/>
            </w:pPr>
            <w:r>
              <w:rPr>
                <w:rFonts w:ascii="Times New Roman" w:cs="Times New Roman" w:eastAsia="Times New Roman" w:hAnsi="Times New Roman"/>
                <w:sz w:val="22"/>
                <w:szCs w:val="22"/>
              </w:rPr>
              <w:t xml:space="preserve">Credit reports (which is FALSE)</w:t>
            </w:r>
          </w:p>
        </w:tc>
        <w:tc>
          <w:tcPr>
            <w:tcW w:type="dxa" w:w="1560"/>
            <w:vAlign w:val="center"/>
          </w:tcPr>
          <w:p>
            <w:pPr>
              <w:jc w:val="center"/>
            </w:pPr>
            <w:r>
              <w:rPr>
                <w:rFonts w:ascii="Times New Roman" w:cs="Times New Roman" w:eastAsia="Times New Roman" w:hAnsi="Times New Roman"/>
                <w:sz w:val="22"/>
                <w:szCs w:val="22"/>
              </w:rPr>
              <w:t xml:space="preserve">MCQ</w:t>
            </w:r>
          </w:p>
        </w:tc>
        <w:tc>
          <w:tcPr>
            <w:tcW w:type="dxa" w:w="1560"/>
            <w:vAlign w:val="center"/>
          </w:tcPr>
          <w:p>
            <w:pPr>
              <w:jc w:val="center"/>
            </w:pPr>
            <w:r>
              <w:rPr>
                <w:rFonts w:ascii="Times New Roman" w:cs="Times New Roman" w:eastAsia="Times New Roman" w:hAnsi="Times New Roman"/>
                <w:sz w:val="22"/>
                <w:szCs w:val="22"/>
              </w:rPr>
              <w:t xml:space="preserve">41.0%</w:t>
            </w:r>
          </w:p>
        </w:tc>
        <w:tc>
          <w:tcPr>
            <w:tcW w:type="dxa" w:w="1560"/>
            <w:vAlign w:val="center"/>
          </w:tcPr>
          <w:p>
            <w:pPr>
              <w:jc w:val="center"/>
            </w:pPr>
            <w:r>
              <w:rPr>
                <w:rFonts w:ascii="Times New Roman" w:cs="Times New Roman" w:eastAsia="Times New Roman" w:hAnsi="Times New Roman"/>
                <w:sz w:val="22"/>
                <w:szCs w:val="22"/>
              </w:rPr>
              <w:t xml:space="preserve">16/39</w:t>
            </w:r>
          </w:p>
        </w:tc>
        <w:tc>
          <w:tcPr>
            <w:tcW w:type="dxa" w:w="1560"/>
            <w:vAlign w:val="center"/>
          </w:tcPr>
          <w:p>
            <w:pPr>
              <w:jc w:val="center"/>
            </w:pPr>
            <w:r>
              <w:rPr>
                <w:rFonts w:ascii="Times New Roman" w:cs="Times New Roman" w:eastAsia="Times New Roman" w:hAnsi="Times New Roman"/>
                <w:sz w:val="22"/>
                <w:szCs w:val="22"/>
              </w:rPr>
              <w:t xml:space="preserve">Negation framing causes errors</w:t>
            </w:r>
          </w:p>
        </w:tc>
      </w:tr>
      <w:tr>
        <w:tc>
          <w:tcPr>
            <w:tcW w:type="dxa" w:w="1560"/>
            <w:vAlign w:val="center"/>
          </w:tcPr>
          <w:p>
            <w:pPr>
              <w:jc w:val="center"/>
            </w:pPr>
            <w:r>
              <w:rPr>
                <w:rFonts w:ascii="Times New Roman" w:cs="Times New Roman" w:eastAsia="Times New Roman" w:hAnsi="Times New Roman"/>
                <w:sz w:val="22"/>
                <w:szCs w:val="22"/>
              </w:rPr>
              <w:t xml:space="preserve">Q37</w:t>
            </w:r>
          </w:p>
        </w:tc>
        <w:tc>
          <w:tcPr>
            <w:tcW w:type="dxa" w:w="1560"/>
            <w:vAlign w:val="center"/>
          </w:tcPr>
          <w:p>
            <w:pPr>
              <w:jc w:val="center"/>
            </w:pPr>
            <w:r>
              <w:rPr>
                <w:rFonts w:ascii="Times New Roman" w:cs="Times New Roman" w:eastAsia="Times New Roman" w:hAnsi="Times New Roman"/>
                <w:sz w:val="22"/>
                <w:szCs w:val="22"/>
              </w:rPr>
              <w:t xml:space="preserve">Insurance types</w:t>
            </w:r>
          </w:p>
        </w:tc>
        <w:tc>
          <w:tcPr>
            <w:tcW w:type="dxa" w:w="1560"/>
            <w:vAlign w:val="center"/>
          </w:tcPr>
          <w:p>
            <w:pPr>
              <w:jc w:val="center"/>
            </w:pPr>
            <w:r>
              <w:rPr>
                <w:rFonts w:ascii="Times New Roman" w:cs="Times New Roman" w:eastAsia="Times New Roman" w:hAnsi="Times New Roman"/>
                <w:sz w:val="22"/>
                <w:szCs w:val="22"/>
              </w:rPr>
              <w:t xml:space="preserve">MCQ</w:t>
            </w:r>
          </w:p>
        </w:tc>
        <w:tc>
          <w:tcPr>
            <w:tcW w:type="dxa" w:w="1560"/>
            <w:vAlign w:val="center"/>
          </w:tcPr>
          <w:p>
            <w:pPr>
              <w:jc w:val="center"/>
            </w:pPr>
            <w:r>
              <w:rPr>
                <w:rFonts w:ascii="Times New Roman" w:cs="Times New Roman" w:eastAsia="Times New Roman" w:hAnsi="Times New Roman"/>
                <w:sz w:val="22"/>
                <w:szCs w:val="22"/>
              </w:rPr>
              <w:t xml:space="preserve">41.2%</w:t>
            </w:r>
          </w:p>
        </w:tc>
        <w:tc>
          <w:tcPr>
            <w:tcW w:type="dxa" w:w="1560"/>
            <w:vAlign w:val="center"/>
          </w:tcPr>
          <w:p>
            <w:pPr>
              <w:jc w:val="center"/>
            </w:pPr>
            <w:r>
              <w:rPr>
                <w:rFonts w:ascii="Times New Roman" w:cs="Times New Roman" w:eastAsia="Times New Roman" w:hAnsi="Times New Roman"/>
                <w:sz w:val="22"/>
                <w:szCs w:val="22"/>
              </w:rPr>
              <w:t xml:space="preserve">7/17</w:t>
            </w:r>
          </w:p>
        </w:tc>
        <w:tc>
          <w:tcPr>
            <w:tcW w:type="dxa" w:w="1560"/>
            <w:vAlign w:val="center"/>
          </w:tcPr>
          <w:p>
            <w:pPr>
              <w:jc w:val="center"/>
            </w:pPr>
            <w:r>
              <w:rPr>
                <w:rFonts w:ascii="Times New Roman" w:cs="Times New Roman" w:eastAsia="Times New Roman" w:hAnsi="Times New Roman"/>
                <w:sz w:val="22"/>
                <w:szCs w:val="22"/>
              </w:rPr>
              <w:t xml:space="preserve">Item phrasing ambiguity</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1560"/>
            <w:vAlign w:val="center"/>
          </w:tcPr>
          <w:p>
            <w:pPr>
              <w:jc w:val="center"/>
            </w:pPr>
            <w:r>
              <w:rPr>
                <w:rFonts w:ascii="Times New Roman" w:cs="Times New Roman" w:eastAsia="Times New Roman" w:hAnsi="Times New Roman"/>
                <w:sz w:val="22"/>
                <w:szCs w:val="22"/>
              </w:rPr>
              <w:t xml:space="preserve">Mortgage term and total interest</w:t>
            </w:r>
          </w:p>
        </w:tc>
        <w:tc>
          <w:tcPr>
            <w:tcW w:type="dxa" w:w="1560"/>
            <w:vAlign w:val="center"/>
          </w:tcPr>
          <w:p>
            <w:pPr>
              <w:jc w:val="center"/>
            </w:pPr>
            <w:r>
              <w:rPr>
                <w:rFonts w:ascii="Times New Roman" w:cs="Times New Roman" w:eastAsia="Times New Roman" w:hAnsi="Times New Roman"/>
                <w:sz w:val="22"/>
                <w:szCs w:val="22"/>
              </w:rPr>
              <w:t xml:space="preserve">T/F</w:t>
            </w:r>
          </w:p>
        </w:tc>
        <w:tc>
          <w:tcPr>
            <w:tcW w:type="dxa" w:w="1560"/>
            <w:vAlign w:val="center"/>
          </w:tcPr>
          <w:p>
            <w:pPr>
              <w:jc w:val="center"/>
            </w:pPr>
            <w:r>
              <w:rPr>
                <w:rFonts w:ascii="Times New Roman" w:cs="Times New Roman" w:eastAsia="Times New Roman" w:hAnsi="Times New Roman"/>
                <w:sz w:val="22"/>
                <w:szCs w:val="22"/>
              </w:rPr>
              <w:t xml:space="preserve">31.8%</w:t>
            </w:r>
          </w:p>
        </w:tc>
        <w:tc>
          <w:tcPr>
            <w:tcW w:type="dxa" w:w="1560"/>
            <w:vAlign w:val="center"/>
          </w:tcPr>
          <w:p>
            <w:pPr>
              <w:jc w:val="center"/>
            </w:pPr>
            <w:r>
              <w:rPr>
                <w:rFonts w:ascii="Times New Roman" w:cs="Times New Roman" w:eastAsia="Times New Roman" w:hAnsi="Times New Roman"/>
                <w:sz w:val="22"/>
                <w:szCs w:val="22"/>
              </w:rPr>
              <w:t xml:space="preserve">7/22</w:t>
            </w:r>
          </w:p>
        </w:tc>
        <w:tc>
          <w:tcPr>
            <w:tcW w:type="dxa" w:w="1560"/>
            <w:vAlign w:val="center"/>
          </w:tcPr>
          <w:p>
            <w:pPr>
              <w:jc w:val="center"/>
            </w:pPr>
            <w:r>
              <w:rPr>
                <w:rFonts w:ascii="Times New Roman" w:cs="Times New Roman" w:eastAsia="Times New Roman" w:hAnsi="Times New Roman"/>
                <w:sz w:val="22"/>
                <w:szCs w:val="22"/>
              </w:rPr>
              <w:t xml:space="preserve">T/F reversal common</w:t>
            </w:r>
          </w:p>
        </w:tc>
      </w:tr>
    </w:tbl>
    <w:p>
      <w:pPr>
        <w:spacing w:after="200"/>
      </w:pPr>
    </w:p>
    <w:p>
      <w:pPr>
        <w:spacing w:line="360" w:after="200"/>
      </w:pPr>
      <w:r>
        <w:rPr>
          <w:rFonts w:ascii="Times New Roman" w:cs="Times New Roman" w:eastAsia="Times New Roman" w:hAnsi="Times New Roman"/>
          <w:b/>
          <w:bCs/>
          <w:sz w:val="24"/>
          <w:szCs w:val="24"/>
        </w:rPr>
        <w:t xml:space="preserve">The Q36 case study.</w:t>
      </w:r>
      <w:r>
        <w:rPr>
          <w:rFonts w:ascii="Times New Roman" w:cs="Times New Roman" w:eastAsia="Times New Roman" w:hAnsi="Times New Roman"/>
          <w:sz w:val="24"/>
          <w:szCs w:val="24"/>
        </w:rPr>
        <w:t xml:space="preserve"> Q36 merits special attention. This True/False item asks whether placing savings in multiple locations (bank, stocks, and bonds) is safer than putting all savings in one place. The correct answer is True. Among consented students, 127 of 354 (35.9%) answered incorrectly. When the SDM-10 probed 42 of the diagnosed students who were both incorrect and confident, 34 (81%) demonstrated correct understanding of diversification. Typical student explanations confirmed they understood the principle of spreading risk across asset classes but had misread or second-guessed the question. The evidence strongly suggests the True/False format or negative phrasing, rather than a lack of knowledge, caused the errors. Q36 should be revised for the post-assessment: the question can be rephrased as a standard multiple-choice item to reduce format-induced errors.</w:t>
      </w:r>
    </w:p>
    <w:p>
      <w:pPr>
        <w:spacing w:line="360" w:after="200"/>
      </w:pPr>
      <w:r>
        <w:rPr>
          <w:rFonts w:ascii="Times New Roman" w:cs="Times New Roman" w:eastAsia="Times New Roman" w:hAnsi="Times New Roman"/>
          <w:sz w:val="24"/>
          <w:szCs w:val="24"/>
        </w:rPr>
        <w:t xml:space="preserve">These findings demonstrate that raw MCQ scores materially understate student knowledge on these items. When a student answers incorrectly but explains the concept correctly, the anchor score of 0% misrepresents their understanding.</w:t>
      </w:r>
    </w:p>
    <w:p>
      <w:pPr>
        <w:pStyle w:val="Heading3"/>
        <w:spacing w:before="240" w:after="120"/>
      </w:pPr>
      <w:r>
        <w:rPr>
          <w:rFonts w:ascii="Times New Roman" w:cs="Times New Roman" w:eastAsia="Times New Roman" w:hAnsi="Times New Roman"/>
          <w:sz w:val="24"/>
          <w:szCs w:val="24"/>
        </w:rPr>
        <w:t xml:space="preserve">4.4.6 Validation Against Manual Analysis</w:t>
      </w:r>
    </w:p>
    <w:p>
      <w:pPr>
        <w:spacing w:line="360" w:after="200"/>
      </w:pPr>
      <w:r>
        <w:rPr>
          <w:rFonts w:ascii="Times New Roman" w:cs="Times New Roman" w:eastAsia="Times New Roman" w:hAnsi="Times New Roman"/>
          <w:sz w:val="24"/>
          <w:szCs w:val="24"/>
        </w:rPr>
        <w:t xml:space="preserve">Prior to AI scoring, a manual analysis of response patterns was conducted on a calibration sample. Table 4.11 compares the predicted dominant misconception rates from manual analysis with the AI-scored results for the consented sample.</w:t>
      </w:r>
    </w:p>
    <w:p>
      <w:pPr>
        <w:spacing w:line="360" w:after="200"/>
      </w:pPr>
      <w:r>
        <w:rPr>
          <w:rFonts w:ascii="Times New Roman" w:cs="Times New Roman" w:eastAsia="Times New Roman" w:hAnsi="Times New Roman"/>
          <w:b/>
          <w:bCs/>
          <w:sz w:val="24"/>
          <w:szCs w:val="24"/>
        </w:rPr>
        <w:t xml:space="preserve">Table 4.11: Manual Prediction vs. AI Scoring Results (Consented Sample)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Predicted</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Actual</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Assessment</w:t>
            </w:r>
          </w:p>
        </w:tc>
      </w:tr>
      <w:tr>
        <w:tc>
          <w:tcPr>
            <w:tcW w:type="dxa" w:w="1872"/>
            <w:vAlign w:val="center"/>
          </w:tcPr>
          <w:p>
            <w:pPr>
              <w:jc w:val="center"/>
            </w:pPr>
            <w:r>
              <w:rPr>
                <w:rFonts w:ascii="Times New Roman" w:cs="Times New Roman" w:eastAsia="Times New Roman" w:hAnsi="Times New Roman"/>
                <w:sz w:val="22"/>
                <w:szCs w:val="22"/>
              </w:rPr>
              <w:t xml:space="preserve">Q6</w:t>
            </w:r>
          </w:p>
        </w:tc>
        <w:tc>
          <w:tcPr>
            <w:tcW w:type="dxa" w:w="1872"/>
            <w:vAlign w:val="center"/>
          </w:tcPr>
          <w:p>
            <w:pPr>
              <w:jc w:val="center"/>
            </w:pPr>
            <w:r>
              <w:rPr>
                <w:rFonts w:ascii="Times New Roman" w:cs="Times New Roman" w:eastAsia="Times New Roman" w:hAnsi="Times New Roman"/>
                <w:sz w:val="22"/>
                <w:szCs w:val="22"/>
              </w:rPr>
              <w:t xml:space="preserve">lower_inflation_means_lower_prices</w:t>
            </w:r>
          </w:p>
        </w:tc>
        <w:tc>
          <w:tcPr>
            <w:tcW w:type="dxa" w:w="1872"/>
            <w:vAlign w:val="center"/>
          </w:tcPr>
          <w:p>
            <w:pPr>
              <w:jc w:val="center"/>
            </w:pPr>
            <w:r>
              <w:rPr>
                <w:rFonts w:ascii="Times New Roman" w:cs="Times New Roman" w:eastAsia="Times New Roman" w:hAnsi="Times New Roman"/>
                <w:sz w:val="22"/>
                <w:szCs w:val="22"/>
              </w:rPr>
              <w:t xml:space="preserve">78%</w:t>
            </w:r>
          </w:p>
        </w:tc>
        <w:tc>
          <w:tcPr>
            <w:tcW w:type="dxa" w:w="1872"/>
            <w:vAlign w:val="center"/>
          </w:tcPr>
          <w:p>
            <w:pPr>
              <w:jc w:val="center"/>
            </w:pPr>
            <w:r>
              <w:rPr>
                <w:rFonts w:ascii="Times New Roman" w:cs="Times New Roman" w:eastAsia="Times New Roman" w:hAnsi="Times New Roman"/>
                <w:sz w:val="22"/>
                <w:szCs w:val="22"/>
              </w:rPr>
              <w:t xml:space="preserve">56%</w:t>
            </w:r>
          </w:p>
        </w:tc>
        <w:tc>
          <w:tcPr>
            <w:tcW w:type="dxa" w:w="1872"/>
            <w:vAlign w:val="center"/>
          </w:tcPr>
          <w:p>
            <w:pPr>
              <w:jc w:val="center"/>
            </w:pPr>
            <w:r>
              <w:rPr>
                <w:rFonts w:ascii="Times New Roman" w:cs="Times New Roman" w:eastAsia="Times New Roman" w:hAnsi="Times New Roman"/>
                <w:sz w:val="22"/>
                <w:szCs w:val="22"/>
              </w:rPr>
              <w:t xml:space="preserve">Confirmed. AI distributed more to employment_link (21%).</w:t>
            </w:r>
          </w:p>
        </w:tc>
      </w:tr>
      <w:tr>
        <w:tc>
          <w:tcPr>
            <w:tcW w:type="dxa" w:w="1872"/>
            <w:vAlign w:val="center"/>
          </w:tcPr>
          <w:p>
            <w:pPr>
              <w:jc w:val="center"/>
            </w:pPr>
            <w:r>
              <w:rPr>
                <w:rFonts w:ascii="Times New Roman" w:cs="Times New Roman" w:eastAsia="Times New Roman" w:hAnsi="Times New Roman"/>
                <w:sz w:val="22"/>
                <w:szCs w:val="22"/>
              </w:rPr>
              <w:t xml:space="preserve">Q36</w:t>
            </w:r>
          </w:p>
        </w:tc>
        <w:tc>
          <w:tcPr>
            <w:tcW w:type="dxa" w:w="1872"/>
            <w:vAlign w:val="center"/>
          </w:tcPr>
          <w:p>
            <w:pPr>
              <w:jc w:val="center"/>
            </w:pPr>
            <w:r>
              <w:rPr>
                <w:rFonts w:ascii="Times New Roman" w:cs="Times New Roman" w:eastAsia="Times New Roman" w:hAnsi="Times New Roman"/>
                <w:sz w:val="22"/>
                <w:szCs w:val="22"/>
              </w:rPr>
              <w:t xml:space="preserve">Selection error rate</w:t>
            </w:r>
          </w:p>
        </w:tc>
        <w:tc>
          <w:tcPr>
            <w:tcW w:type="dxa" w:w="1872"/>
            <w:vAlign w:val="center"/>
          </w:tcPr>
          <w:p>
            <w:pPr>
              <w:jc w:val="center"/>
            </w:pPr>
            <w:r>
              <w:rPr>
                <w:rFonts w:ascii="Times New Roman" w:cs="Times New Roman" w:eastAsia="Times New Roman" w:hAnsi="Times New Roman"/>
                <w:sz w:val="22"/>
                <w:szCs w:val="22"/>
              </w:rPr>
              <w:t xml:space="preserve">62%</w:t>
            </w:r>
          </w:p>
        </w:tc>
        <w:tc>
          <w:tcPr>
            <w:tcW w:type="dxa" w:w="1872"/>
            <w:vAlign w:val="center"/>
          </w:tcPr>
          <w:p>
            <w:pPr>
              <w:jc w:val="center"/>
            </w:pPr>
            <w:r>
              <w:rPr>
                <w:rFonts w:ascii="Times New Roman" w:cs="Times New Roman" w:eastAsia="Times New Roman" w:hAnsi="Times New Roman"/>
                <w:sz w:val="22"/>
                <w:szCs w:val="22"/>
              </w:rPr>
              <w:t xml:space="preserve">81%</w:t>
            </w:r>
          </w:p>
        </w:tc>
        <w:tc>
          <w:tcPr>
            <w:tcW w:type="dxa" w:w="1872"/>
            <w:vAlign w:val="center"/>
          </w:tcPr>
          <w:p>
            <w:pPr>
              <w:jc w:val="center"/>
            </w:pPr>
            <w:r>
              <w:rPr>
                <w:rFonts w:ascii="Times New Roman" w:cs="Times New Roman" w:eastAsia="Times New Roman" w:hAnsi="Times New Roman"/>
                <w:sz w:val="22"/>
                <w:szCs w:val="22"/>
              </w:rPr>
              <w:t xml:space="preserve">Confirmed. Higher than predicted.</w:t>
            </w:r>
          </w:p>
        </w:tc>
      </w:tr>
      <w:tr>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employer_use_confusion</w:t>
            </w:r>
          </w:p>
        </w:tc>
        <w:tc>
          <w:tcPr>
            <w:tcW w:type="dxa" w:w="1872"/>
            <w:vAlign w:val="center"/>
          </w:tcPr>
          <w:p>
            <w:pPr>
              <w:jc w:val="center"/>
            </w:pPr>
            <w:r>
              <w:rPr>
                <w:rFonts w:ascii="Times New Roman" w:cs="Times New Roman" w:eastAsia="Times New Roman" w:hAnsi="Times New Roman"/>
                <w:sz w:val="22"/>
                <w:szCs w:val="22"/>
              </w:rPr>
              <w:t xml:space="preserve">33%</w:t>
            </w:r>
          </w:p>
        </w:tc>
        <w:tc>
          <w:tcPr>
            <w:tcW w:type="dxa" w:w="1872"/>
            <w:vAlign w:val="center"/>
          </w:tcPr>
          <w:p>
            <w:pPr>
              <w:jc w:val="center"/>
            </w:pPr>
            <w:r>
              <w:rPr>
                <w:rFonts w:ascii="Times New Roman" w:cs="Times New Roman" w:eastAsia="Times New Roman" w:hAnsi="Times New Roman"/>
                <w:sz w:val="22"/>
                <w:szCs w:val="22"/>
              </w:rPr>
              <w:t xml:space="preserve">31%</w:t>
            </w:r>
          </w:p>
        </w:tc>
        <w:tc>
          <w:tcPr>
            <w:tcW w:type="dxa" w:w="1872"/>
            <w:vAlign w:val="center"/>
          </w:tcPr>
          <w:p>
            <w:pPr>
              <w:jc w:val="center"/>
            </w:pPr>
            <w:r>
              <w:rPr>
                <w:rFonts w:ascii="Times New Roman" w:cs="Times New Roman" w:eastAsia="Times New Roman" w:hAnsi="Times New Roman"/>
                <w:sz w:val="22"/>
                <w:szCs w:val="22"/>
              </w:rPr>
              <w:t xml:space="preserve">Near-exact match.</w:t>
            </w:r>
          </w:p>
        </w:tc>
      </w:tr>
      <w:tr>
        <w:tc>
          <w:tcPr>
            <w:tcW w:type="dxa" w:w="1872"/>
            <w:vAlign w:val="center"/>
          </w:tcPr>
          <w:p>
            <w:pPr>
              <w:jc w:val="center"/>
            </w:pPr>
            <w:r>
              <w:rPr>
                <w:rFonts w:ascii="Times New Roman" w:cs="Times New Roman" w:eastAsia="Times New Roman" w:hAnsi="Times New Roman"/>
                <w:sz w:val="22"/>
                <w:szCs w:val="22"/>
              </w:rPr>
              <w:t xml:space="preserve">Q12</w:t>
            </w:r>
          </w:p>
        </w:tc>
        <w:tc>
          <w:tcPr>
            <w:tcW w:type="dxa" w:w="1872"/>
            <w:vAlign w:val="center"/>
          </w:tcPr>
          <w:p>
            <w:pPr>
              <w:jc w:val="center"/>
            </w:pPr>
            <w:r>
              <w:rPr>
                <w:rFonts w:ascii="Times New Roman" w:cs="Times New Roman" w:eastAsia="Times New Roman" w:hAnsi="Times New Roman"/>
                <w:sz w:val="22"/>
                <w:szCs w:val="22"/>
              </w:rPr>
              <w:t xml:space="preserve">routine_care_primary</w:t>
            </w:r>
          </w:p>
        </w:tc>
        <w:tc>
          <w:tcPr>
            <w:tcW w:type="dxa" w:w="1872"/>
            <w:vAlign w:val="center"/>
          </w:tcPr>
          <w:p>
            <w:pPr>
              <w:jc w:val="center"/>
            </w:pPr>
            <w:r>
              <w:rPr>
                <w:rFonts w:ascii="Times New Roman" w:cs="Times New Roman" w:eastAsia="Times New Roman" w:hAnsi="Times New Roman"/>
                <w:sz w:val="22"/>
                <w:szCs w:val="22"/>
              </w:rPr>
              <w:t xml:space="preserve">64%</w:t>
            </w:r>
          </w:p>
        </w:tc>
        <w:tc>
          <w:tcPr>
            <w:tcW w:type="dxa" w:w="1872"/>
            <w:vAlign w:val="center"/>
          </w:tcPr>
          <w:p>
            <w:pPr>
              <w:jc w:val="center"/>
            </w:pPr>
            <w:r>
              <w:rPr>
                <w:rFonts w:ascii="Times New Roman" w:cs="Times New Roman" w:eastAsia="Times New Roman" w:hAnsi="Times New Roman"/>
                <w:sz w:val="22"/>
                <w:szCs w:val="22"/>
              </w:rPr>
              <w:t xml:space="preserve">56%</w:t>
            </w:r>
          </w:p>
        </w:tc>
        <w:tc>
          <w:tcPr>
            <w:tcW w:type="dxa" w:w="1872"/>
            <w:vAlign w:val="center"/>
          </w:tcPr>
          <w:p>
            <w:pPr>
              <w:jc w:val="center"/>
            </w:pPr>
            <w:r>
              <w:rPr>
                <w:rFonts w:ascii="Times New Roman" w:cs="Times New Roman" w:eastAsia="Times New Roman" w:hAnsi="Times New Roman"/>
                <w:sz w:val="22"/>
                <w:szCs w:val="22"/>
              </w:rPr>
              <w:t xml:space="preserve">Confirmed. Slight redistribution to frequency_over_severity.</w:t>
            </w:r>
          </w:p>
        </w:tc>
      </w:tr>
      <w:tr>
        <w:tc>
          <w:tcPr>
            <w:tcW w:type="dxa" w:w="1872"/>
            <w:vAlign w:val="center"/>
          </w:tcPr>
          <w:p>
            <w:pPr>
              <w:jc w:val="center"/>
            </w:pPr>
            <w:r>
              <w:rPr>
                <w:rFonts w:ascii="Times New Roman" w:cs="Times New Roman" w:eastAsia="Times New Roman" w:hAnsi="Times New Roman"/>
                <w:sz w:val="22"/>
                <w:szCs w:val="22"/>
              </w:rPr>
              <w:t xml:space="preserve">Q30</w:t>
            </w:r>
          </w:p>
        </w:tc>
        <w:tc>
          <w:tcPr>
            <w:tcW w:type="dxa" w:w="1872"/>
            <w:vAlign w:val="center"/>
          </w:tcPr>
          <w:p>
            <w:pPr>
              <w:jc w:val="center"/>
            </w:pPr>
            <w:r>
              <w:rPr>
                <w:rFonts w:ascii="Times New Roman" w:cs="Times New Roman" w:eastAsia="Times New Roman" w:hAnsi="Times New Roman"/>
                <w:sz w:val="22"/>
                <w:szCs w:val="22"/>
              </w:rPr>
              <w:t xml:space="preserve">exceptions_disprove_rule</w:t>
            </w:r>
          </w:p>
        </w:tc>
        <w:tc>
          <w:tcPr>
            <w:tcW w:type="dxa" w:w="1872"/>
            <w:vAlign w:val="center"/>
          </w:tcPr>
          <w:p>
            <w:pPr>
              <w:jc w:val="center"/>
            </w:pPr>
            <w:r>
              <w:rPr>
                <w:rFonts w:ascii="Times New Roman" w:cs="Times New Roman" w:eastAsia="Times New Roman" w:hAnsi="Times New Roman"/>
                <w:sz w:val="22"/>
                <w:szCs w:val="22"/>
              </w:rPr>
              <w:t xml:space="preserve">67%</w:t>
            </w:r>
          </w:p>
        </w:tc>
        <w:tc>
          <w:tcPr>
            <w:tcW w:type="dxa" w:w="1872"/>
            <w:vAlign w:val="center"/>
          </w:tcPr>
          <w:p>
            <w:pPr>
              <w:jc w:val="center"/>
            </w:pPr>
            <w:r>
              <w:rPr>
                <w:rFonts w:ascii="Times New Roman" w:cs="Times New Roman" w:eastAsia="Times New Roman" w:hAnsi="Times New Roman"/>
                <w:sz w:val="22"/>
                <w:szCs w:val="22"/>
              </w:rPr>
              <w:t xml:space="preserve">71%</w:t>
            </w:r>
          </w:p>
        </w:tc>
        <w:tc>
          <w:tcPr>
            <w:tcW w:type="dxa" w:w="1872"/>
            <w:vAlign w:val="center"/>
          </w:tcPr>
          <w:p>
            <w:pPr>
              <w:jc w:val="center"/>
            </w:pPr>
            <w:r>
              <w:rPr>
                <w:rFonts w:ascii="Times New Roman" w:cs="Times New Roman" w:eastAsia="Times New Roman" w:hAnsi="Times New Roman"/>
                <w:sz w:val="22"/>
                <w:szCs w:val="22"/>
              </w:rPr>
              <w:t xml:space="preserve">Confirmed. Slightly higher than predicted.</w:t>
            </w:r>
          </w:p>
        </w:tc>
      </w:tr>
    </w:tbl>
    <w:p>
      <w:pPr>
        <w:spacing w:after="200"/>
      </w:pPr>
    </w:p>
    <w:p>
      <w:pPr>
        <w:spacing w:line="360" w:after="200"/>
      </w:pPr>
      <w:r>
        <w:rPr>
          <w:rFonts w:ascii="Times New Roman" w:cs="Times New Roman" w:eastAsia="Times New Roman" w:hAnsi="Times New Roman"/>
          <w:sz w:val="24"/>
          <w:szCs w:val="24"/>
        </w:rPr>
        <w:t xml:space="preserve">All five validation benchmarks were confirmed. Three showed exact or near-exact alignment (Q10, Q30, Q12), and two showed the AI distributing classifications more granularly across subtags within the same misconception family (Q6, Q36). The taxonomy is performing as designed: the scoring model produces classifications consistent with human-defined categories while offering finer-grained discrimination within misconception families.</w:t>
      </w:r>
    </w:p>
    <w:p>
      <w:pPr>
        <w:pStyle w:val="Heading3"/>
        <w:spacing w:before="240" w:after="120"/>
      </w:pPr>
      <w:r>
        <w:rPr>
          <w:rFonts w:ascii="Times New Roman" w:cs="Times New Roman" w:eastAsia="Times New Roman" w:hAnsi="Times New Roman"/>
          <w:sz w:val="24"/>
          <w:szCs w:val="24"/>
        </w:rPr>
        <w:t xml:space="preserve">4.4.7 Cross-Item Patterns</w:t>
      </w:r>
    </w:p>
    <w:p>
      <w:pPr>
        <w:spacing w:line="360" w:after="200"/>
      </w:pPr>
      <w:r>
        <w:rPr>
          <w:rFonts w:ascii="Times New Roman" w:cs="Times New Roman" w:eastAsia="Times New Roman" w:hAnsi="Times New Roman"/>
          <w:sz w:val="24"/>
          <w:szCs w:val="24"/>
        </w:rPr>
        <w:t xml:space="preserve">Five dominant patterns emerged across the assessment:</w:t>
      </w:r>
    </w:p>
    <w:p>
      <w:pPr>
        <w:pStyle w:val="ListParagraph"/>
        <w:numPr>
          <w:ilvl w:val="0"/>
          <w:numId w:val="2"/>
        </w:numPr>
        <w:spacing w:line="360" w:after="100"/>
      </w:pPr>
      <w:r>
        <w:rPr>
          <w:rFonts w:ascii="Times New Roman" w:cs="Times New Roman" w:eastAsia="Times New Roman" w:hAnsi="Times New Roman"/>
          <w:b/>
          <w:bCs/>
          <w:sz w:val="24"/>
          <w:szCs w:val="24"/>
        </w:rPr>
        <w:t xml:space="preserve">Inflation mechanics confusion</w:t>
      </w:r>
      <w:r>
        <w:rPr>
          <w:rFonts w:ascii="Times New Roman" w:cs="Times New Roman" w:eastAsia="Times New Roman" w:hAnsi="Times New Roman"/>
          <w:sz w:val="24"/>
          <w:szCs w:val="24"/>
        </w:rPr>
        <w:t xml:space="preserve"> -- centered on the distinction between lower inflation rates and lower prices (Q6, Q7), representing the single largest misconception cluster</w:t>
      </w:r>
    </w:p>
    <w:p>
      <w:pPr>
        <w:pStyle w:val="ListParagraph"/>
        <w:numPr>
          <w:ilvl w:val="0"/>
          <w:numId w:val="2"/>
        </w:numPr>
        <w:spacing w:line="360" w:after="100"/>
      </w:pPr>
      <w:r>
        <w:rPr>
          <w:rFonts w:ascii="Times New Roman" w:cs="Times New Roman" w:eastAsia="Times New Roman" w:hAnsi="Times New Roman"/>
          <w:b/>
          <w:bCs/>
          <w:sz w:val="24"/>
          <w:szCs w:val="24"/>
        </w:rPr>
        <w:t xml:space="preserve">Risk-return reasoning from exceptions</w:t>
      </w:r>
      <w:r>
        <w:rPr>
          <w:rFonts w:ascii="Times New Roman" w:cs="Times New Roman" w:eastAsia="Times New Roman" w:hAnsi="Times New Roman"/>
          <w:sz w:val="24"/>
          <w:szCs w:val="24"/>
        </w:rPr>
        <w:t xml:space="preserve"> -- students cited specific counterexamples to invalidate general financial principles (Q30, Q35), applying inductive reasoning where deductive understanding is required</w:t>
      </w:r>
    </w:p>
    <w:p>
      <w:pPr>
        <w:pStyle w:val="ListParagraph"/>
        <w:numPr>
          <w:ilvl w:val="0"/>
          <w:numId w:val="2"/>
        </w:numPr>
        <w:spacing w:line="360" w:after="100"/>
      </w:pPr>
      <w:r>
        <w:rPr>
          <w:rFonts w:ascii="Times New Roman" w:cs="Times New Roman" w:eastAsia="Times New Roman" w:hAnsi="Times New Roman"/>
          <w:b/>
          <w:bCs/>
          <w:sz w:val="24"/>
          <w:szCs w:val="24"/>
        </w:rPr>
        <w:t xml:space="preserve">Insurance purpose confusion</w:t>
      </w:r>
      <w:r>
        <w:rPr>
          <w:rFonts w:ascii="Times New Roman" w:cs="Times New Roman" w:eastAsia="Times New Roman" w:hAnsi="Times New Roman"/>
          <w:sz w:val="24"/>
          <w:szCs w:val="24"/>
        </w:rPr>
        <w:t xml:space="preserve"> -- equating frequency of use with primary function (Q12), reflecting a consumer experience bias</w:t>
      </w:r>
    </w:p>
    <w:p>
      <w:pPr>
        <w:pStyle w:val="ListParagraph"/>
        <w:numPr>
          <w:ilvl w:val="0"/>
          <w:numId w:val="2"/>
        </w:numPr>
        <w:spacing w:line="360" w:after="100"/>
      </w:pPr>
      <w:r>
        <w:rPr>
          <w:rFonts w:ascii="Times New Roman" w:cs="Times New Roman" w:eastAsia="Times New Roman" w:hAnsi="Times New Roman"/>
          <w:b/>
          <w:bCs/>
          <w:sz w:val="24"/>
          <w:szCs w:val="24"/>
        </w:rPr>
        <w:t xml:space="preserve">Empathy-driven financial reasoning</w:t>
      </w:r>
      <w:r>
        <w:rPr>
          <w:rFonts w:ascii="Times New Roman" w:cs="Times New Roman" w:eastAsia="Times New Roman" w:hAnsi="Times New Roman"/>
          <w:sz w:val="24"/>
          <w:szCs w:val="24"/>
        </w:rPr>
        <w:t xml:space="preserve"> -- selecting answers based on personal identification with demographic groups rather than economic logic (Q7)</w:t>
      </w:r>
    </w:p>
    <w:p>
      <w:pPr>
        <w:pStyle w:val="ListParagraph"/>
        <w:numPr>
          <w:ilvl w:val="0"/>
          <w:numId w:val="2"/>
        </w:numPr>
        <w:spacing w:line="360" w:after="100"/>
      </w:pPr>
      <w:r>
        <w:rPr>
          <w:rFonts w:ascii="Times New Roman" w:cs="Times New Roman" w:eastAsia="Times New Roman" w:hAnsi="Times New Roman"/>
          <w:b/>
          <w:bCs/>
          <w:sz w:val="24"/>
          <w:szCs w:val="24"/>
        </w:rPr>
        <w:t xml:space="preserve">Format-induced errors</w:t>
      </w:r>
      <w:r>
        <w:rPr>
          <w:rFonts w:ascii="Times New Roman" w:cs="Times New Roman" w:eastAsia="Times New Roman" w:hAnsi="Times New Roman"/>
          <w:sz w:val="24"/>
          <w:szCs w:val="24"/>
        </w:rPr>
        <w:t xml:space="preserve"> -- particularly on True/False items (Q36, Q2) where correct knowledge led to incorrect answers due to negation confusion or reversed logic</w:t>
      </w:r>
    </w:p>
    <w:p>
      <w:r>
        <w:br w:type="page"/>
      </w:r>
    </w:p>
    <w:p>
      <w:pPr>
        <w:pStyle w:val="Heading1"/>
        <w:spacing w:before="480" w:after="240"/>
      </w:pPr>
      <w:r>
        <w:rPr>
          <w:rFonts w:ascii="Times New Roman" w:cs="Times New Roman" w:eastAsia="Times New Roman" w:hAnsi="Times New Roman"/>
          <w:sz w:val="24"/>
          <w:szCs w:val="24"/>
        </w:rPr>
        <w:t xml:space="preserve">5. Platform and Governance Design</w:t>
      </w:r>
    </w:p>
    <w:p>
      <w:pPr>
        <w:pStyle w:val="Heading2"/>
        <w:spacing w:before="360" w:after="180"/>
      </w:pPr>
      <w:r>
        <w:rPr>
          <w:rFonts w:ascii="Times New Roman" w:cs="Times New Roman" w:eastAsia="Times New Roman" w:hAnsi="Times New Roman"/>
          <w:sz w:val="24"/>
          <w:szCs w:val="24"/>
        </w:rPr>
        <w:t xml:space="preserve">5.1 Technology Stack</w:t>
      </w:r>
    </w:p>
    <w:p>
      <w:pPr>
        <w:spacing w:line="360" w:after="200"/>
      </w:pPr>
      <w:r>
        <w:rPr>
          <w:rFonts w:ascii="Times New Roman" w:cs="Times New Roman" w:eastAsia="Times New Roman" w:hAnsi="Times New Roman"/>
          <w:sz w:val="24"/>
          <w:szCs w:val="24"/>
        </w:rPr>
        <w:t xml:space="preserve">The assessment is administered through a dedicated web platform -- the Financial Literacy Toolkit -- developed for this study. The platform is built on Next.js 14 (App Router) with PostgreSQL 15 as the data store, accessed through PgBouncer connection pooling to support concurrent users. The complete source code is publicly available in the project repository (Bolivard, 2026).</w:t>
      </w:r>
    </w:p>
    <w:p>
      <w:pPr>
        <w:pStyle w:val="Heading2"/>
        <w:spacing w:before="360" w:after="180"/>
      </w:pPr>
      <w:r>
        <w:rPr>
          <w:rFonts w:ascii="Times New Roman" w:cs="Times New Roman" w:eastAsia="Times New Roman" w:hAnsi="Times New Roman"/>
          <w:sz w:val="24"/>
          <w:szCs w:val="24"/>
        </w:rPr>
        <w:t xml:space="preserve">5.2 Student Authentication and Data Minimization</w:t>
      </w:r>
    </w:p>
    <w:p>
      <w:pPr>
        <w:spacing w:line="360" w:after="200"/>
      </w:pPr>
      <w:r>
        <w:rPr>
          <w:rFonts w:ascii="Times New Roman" w:cs="Times New Roman" w:eastAsia="Times New Roman" w:hAnsi="Times New Roman"/>
          <w:sz w:val="24"/>
          <w:szCs w:val="24"/>
        </w:rPr>
        <w:t xml:space="preserve">Students access the platform by entering their course code and student ID. The platform immediately transforms each student ID into a one-way cryptographic hash (SHA-256 with a per-course pepper) and discards the raw identifier; all subsequent data storage and analysis use only the hashed key. No raw student ID numbers, names, email addresses, or other personally identifiable information are stored in the research dataset. The per-course pepper isolates student hashes across courses, preventing cross-course linkage. Age is collected as a categorical range rather than exact date of birth, and geographic identifiers are not collected.</w:t>
      </w:r>
    </w:p>
    <w:p>
      <w:pPr>
        <w:pStyle w:val="Heading2"/>
        <w:spacing w:before="360" w:after="180"/>
      </w:pPr>
      <w:r>
        <w:rPr>
          <w:rFonts w:ascii="Times New Roman" w:cs="Times New Roman" w:eastAsia="Times New Roman" w:hAnsi="Times New Roman"/>
          <w:sz w:val="24"/>
          <w:szCs w:val="24"/>
        </w:rPr>
        <w:t xml:space="preserve">5.3 Consent Mechanics</w:t>
      </w:r>
    </w:p>
    <w:p>
      <w:pPr>
        <w:spacing w:line="360" w:after="200"/>
      </w:pPr>
      <w:r>
        <w:rPr>
          <w:rFonts w:ascii="Times New Roman" w:cs="Times New Roman" w:eastAsia="Times New Roman" w:hAnsi="Times New Roman"/>
          <w:sz w:val="24"/>
          <w:szCs w:val="24"/>
        </w:rPr>
        <w:t xml:space="preserve">The platform implements a two-part consent flow before data collection:</w:t>
      </w:r>
    </w:p>
    <w:p>
      <w:pPr>
        <w:pStyle w:val="ListParagraph"/>
        <w:numPr>
          <w:ilvl w:val="0"/>
          <w:numId w:val="2"/>
        </w:numPr>
        <w:spacing w:line="360" w:after="100"/>
      </w:pPr>
      <w:r>
        <w:rPr>
          <w:rFonts w:ascii="Times New Roman" w:cs="Times New Roman" w:eastAsia="Times New Roman" w:hAnsi="Times New Roman"/>
          <w:b/>
          <w:bCs/>
          <w:sz w:val="24"/>
          <w:szCs w:val="24"/>
        </w:rPr>
        <w:t xml:space="preserve">Course requirement acknowledgment (mandatory).</w:t>
      </w:r>
      <w:r>
        <w:rPr>
          <w:rFonts w:ascii="Times New Roman" w:cs="Times New Roman" w:eastAsia="Times New Roman" w:hAnsi="Times New Roman"/>
          <w:sz w:val="24"/>
          <w:szCs w:val="24"/>
        </w:rPr>
        <w:t xml:space="preserve"> Students review and acknowledge that the assessment is a required course assignment and that their answers are not graded for correctness.</w:t>
      </w:r>
    </w:p>
    <w:p>
      <w:pPr>
        <w:pStyle w:val="ListParagraph"/>
        <w:numPr>
          <w:ilvl w:val="0"/>
          <w:numId w:val="2"/>
        </w:numPr>
        <w:spacing w:line="360" w:after="100"/>
      </w:pPr>
      <w:r>
        <w:rPr>
          <w:rFonts w:ascii="Times New Roman" w:cs="Times New Roman" w:eastAsia="Times New Roman" w:hAnsi="Times New Roman"/>
          <w:b/>
          <w:bCs/>
          <w:sz w:val="24"/>
          <w:szCs w:val="24"/>
        </w:rPr>
        <w:t xml:space="preserve">Research consent (voluntary).</w:t>
      </w:r>
      <w:r>
        <w:rPr>
          <w:rFonts w:ascii="Times New Roman" w:cs="Times New Roman" w:eastAsia="Times New Roman" w:hAnsi="Times New Roman"/>
          <w:sz w:val="24"/>
          <w:szCs w:val="24"/>
        </w:rPr>
        <w:t xml:space="preserve"> Students are presented with a separate research consent screen asking whether their de-identified responses may be used for research evaluating course learning outcomes. The screen explicitly states that declining has no impact on grades, course standing, or access to feedback. The consent decision, timestamp, and version identifier are recorded. Students may withdraw research consent at any time by contacting the course instructor; withdrawn data are excluded from subsequent analyses.</w:t>
      </w:r>
    </w:p>
    <w:p>
      <w:pPr>
        <w:spacing w:line="360" w:after="200"/>
      </w:pPr>
      <w:r>
        <w:rPr>
          <w:rFonts w:ascii="Times New Roman" w:cs="Times New Roman" w:eastAsia="Times New Roman" w:hAnsi="Times New Roman"/>
          <w:sz w:val="24"/>
          <w:szCs w:val="24"/>
        </w:rPr>
        <w:t xml:space="preserve">The consent flow structurally separates the course requirement from the research opt-in: a student can complete the assessment (fulfilling the course obligation) without consenting to research use. This separation is the primary safeguard of voluntariness. Before the consent flow, students view a short orientation video explaining the purpose, structure, and non-graded nature of the assessment (see Appendix E). A privacy notice displayed during onboarding describes the hashing process, data separation, and the student's right to withdraw.</w:t>
      </w:r>
    </w:p>
    <w:p>
      <w:pPr>
        <w:spacing w:line="360" w:after="200"/>
      </w:pPr>
      <w:r>
        <w:rPr>
          <w:rFonts w:ascii="Times New Roman" w:cs="Times New Roman" w:eastAsia="Times New Roman" w:hAnsi="Times New Roman"/>
          <w:b/>
          <w:bCs/>
          <w:sz w:val="24"/>
          <w:szCs w:val="24"/>
        </w:rPr>
        <w:t xml:space="preserve">Consent accounting.</w:t>
      </w:r>
      <w:r>
        <w:rPr>
          <w:rFonts w:ascii="Times New Roman" w:cs="Times New Roman" w:eastAsia="Times New Roman" w:hAnsi="Times New Roman"/>
          <w:sz w:val="24"/>
          <w:szCs w:val="24"/>
        </w:rPr>
        <w:t xml:space="preserve"> Of the 431 students who submitted completed assessments, 354 (82.1%) provided affirmative research consent. Zero students explicitly declined. The remaining 77 (17.9%) have a NULL consent status because they completed the assessment during the first days of the assessment window before the research consent screen was deployed in the platform. Following standard research ethics practice, students with NULL consent are treated as non-consented for all research analyses -- absence of affirmative consent is treated as non-consent, regardless of the reason.</w:t>
      </w:r>
    </w:p>
    <w:p>
      <w:pPr>
        <w:spacing w:line="360" w:after="200"/>
      </w:pPr>
      <w:r>
        <w:rPr>
          <w:rFonts w:ascii="Times New Roman" w:cs="Times New Roman" w:eastAsia="Times New Roman" w:hAnsi="Times New Roman"/>
          <w:b/>
          <w:bCs/>
          <w:sz w:val="24"/>
          <w:szCs w:val="24"/>
        </w:rPr>
        <w:t xml:space="preserve">Representativeness check.</w:t>
      </w:r>
      <w:r>
        <w:rPr>
          <w:rFonts w:ascii="Times New Roman" w:cs="Times New Roman" w:eastAsia="Times New Roman" w:hAnsi="Times New Roman"/>
          <w:sz w:val="24"/>
          <w:szCs w:val="24"/>
        </w:rPr>
        <w:t xml:space="preserve"> The consented subsample (n = 354) closely mirrors the full cohort (N = 431). The consented group has a mean anchor score of 67.0% (full cohort: 67.4%), and diagnostic classification distributions within 1 percentage point of the full-cohort values across all categories. The 77 non-consented students are not systematically different on observable assessment characteristics, indicating that the NULL-consent cohort reflects deployment timing rather than a self-selected subgroup.</w:t>
      </w:r>
    </w:p>
    <w:p>
      <w:pPr>
        <w:spacing w:line="360" w:after="200"/>
      </w:pPr>
      <w:r>
        <w:rPr>
          <w:rFonts w:ascii="Times New Roman" w:cs="Times New Roman" w:eastAsia="Times New Roman" w:hAnsi="Times New Roman"/>
          <w:b/>
          <w:bCs/>
          <w:sz w:val="24"/>
          <w:szCs w:val="24"/>
        </w:rPr>
        <w:t xml:space="preserve">Default selection.</w:t>
      </w:r>
      <w:r>
        <w:rPr>
          <w:rFonts w:ascii="Times New Roman" w:cs="Times New Roman" w:eastAsia="Times New Roman" w:hAnsi="Times New Roman"/>
          <w:sz w:val="24"/>
          <w:szCs w:val="24"/>
        </w:rPr>
        <w:t xml:space="preserve"> The consent screen presented "Yes, I consent" as the default selection. While the 0% explicit decline rate is consistent with students having no objection to de-identified research use, the default-yes design may have inflated the consent rate through status quo bias. Paper 2 will mitigate this by implementing a forced active choice (no default selection) in the post-assessment consent screen.</w:t>
      </w:r>
    </w:p>
    <w:p>
      <w:pPr>
        <w:spacing w:line="360" w:after="200"/>
      </w:pPr>
      <w:r>
        <w:rPr>
          <w:rFonts w:ascii="Times New Roman" w:cs="Times New Roman" w:eastAsia="Times New Roman" w:hAnsi="Times New Roman"/>
          <w:sz w:val="24"/>
          <w:szCs w:val="24"/>
        </w:rPr>
        <w:t xml:space="preserve">All analyses in this paper use only the research-consented subset (n = 354). For instructional purposes, all 431 students receive SDM-10 diagnostics and dashboard feedback regardless of consent status; consent governs only research publication, not educational use.</w:t>
      </w:r>
    </w:p>
    <w:p>
      <w:r>
        <w:br w:type="page"/>
      </w:r>
    </w:p>
    <w:p>
      <w:pPr>
        <w:pStyle w:val="Heading1"/>
        <w:spacing w:before="480" w:after="240"/>
      </w:pPr>
      <w:r>
        <w:rPr>
          <w:rFonts w:ascii="Times New Roman" w:cs="Times New Roman" w:eastAsia="Times New Roman" w:hAnsi="Times New Roman"/>
          <w:sz w:val="24"/>
          <w:szCs w:val="24"/>
        </w:rPr>
        <w:t xml:space="preserve">6. Pilot Operations and Descriptive Statistics</w:t>
      </w:r>
    </w:p>
    <w:p>
      <w:pPr>
        <w:spacing w:line="360" w:after="200"/>
      </w:pPr>
      <w:r>
        <w:rPr>
          <w:rFonts w:ascii="Times New Roman" w:cs="Times New Roman" w:eastAsia="Times New Roman" w:hAnsi="Times New Roman"/>
          <w:sz w:val="24"/>
          <w:szCs w:val="24"/>
        </w:rPr>
        <w:t xml:space="preserve">This section reports operational statistics from the pre-course assessment window (February 2--9, 2026) as quality assurance context for interpreting the SDM-10 diagnostic findings. These are descriptive operational summaries of assessment administration, not inferential research results. No subgroup comparisons, hypothesis tests, or claims about population parameters are made in this section. Subgroup analyses are deferred to Paper 2, contingent on institutional review board approval for human-subjects research.</w:t>
      </w:r>
    </w:p>
    <w:p>
      <w:pPr>
        <w:pStyle w:val="Heading2"/>
        <w:spacing w:before="360" w:after="180"/>
      </w:pPr>
      <w:r>
        <w:rPr>
          <w:rFonts w:ascii="Times New Roman" w:cs="Times New Roman" w:eastAsia="Times New Roman" w:hAnsi="Times New Roman"/>
          <w:sz w:val="24"/>
          <w:szCs w:val="24"/>
        </w:rPr>
        <w:t xml:space="preserve">6.1 Participation and Completion</w:t>
      </w:r>
    </w:p>
    <w:p>
      <w:pPr>
        <w:spacing w:line="360" w:after="200"/>
      </w:pPr>
      <w:r>
        <w:rPr>
          <w:rFonts w:ascii="Times New Roman" w:cs="Times New Roman" w:eastAsia="Times New Roman" w:hAnsi="Times New Roman"/>
          <w:sz w:val="24"/>
          <w:szCs w:val="24"/>
        </w:rPr>
        <w:t xml:space="preserve">A total of 443 students onboarded onto the platform, of whom 431 submitted completed assessments, yielding a completion rate of 97.3%. Twelve students abandoned the assessment without submission; all abandoned sessions had been idle for more than 45 hours at the time of window closure. All 431 students who submitted the anchor assessment received SDM-10 items. Of these, 300 consented students (84.7%) received the full 10-item module; 54 received between 5 and 9 items due to insufficient high-Need subcategories in their anchor profile (the algorithm could not fill all 10 slots when a student's anchor performance was uniformly strong or weak across subcategories).</w:t>
      </w:r>
    </w:p>
    <w:p>
      <w:pPr>
        <w:spacing w:line="360" w:after="200"/>
      </w:pPr>
      <w:r>
        <w:rPr>
          <w:rFonts w:ascii="Times New Roman" w:cs="Times New Roman" w:eastAsia="Times New Roman" w:hAnsi="Times New Roman"/>
          <w:b/>
          <w:bCs/>
          <w:sz w:val="24"/>
          <w:szCs w:val="24"/>
        </w:rPr>
        <w:t xml:space="preserve">Table 6.0: Counts and Inclusion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Stage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Enrolled (onboarded)</w:t>
            </w:r>
          </w:p>
        </w:tc>
        <w:tc>
          <w:tcPr>
            <w:tcW w:type="dxa" w:w="3120"/>
            <w:vAlign w:val="center"/>
          </w:tcPr>
          <w:p>
            <w:pPr>
              <w:jc w:val="center"/>
            </w:pPr>
            <w:r>
              <w:rPr>
                <w:rFonts w:ascii="Times New Roman" w:cs="Times New Roman" w:eastAsia="Times New Roman" w:hAnsi="Times New Roman"/>
                <w:sz w:val="22"/>
                <w:szCs w:val="22"/>
              </w:rPr>
              <w:t xml:space="preserve">443</w:t>
            </w:r>
          </w:p>
        </w:tc>
        <w:tc>
          <w:tcPr>
            <w:tcW w:type="dxa" w:w="3120"/>
            <w:vAlign w:val="center"/>
          </w:tcPr>
          <w:p>
            <w:pPr>
              <w:jc w:val="center"/>
            </w:pPr>
            <w:r>
              <w:rPr>
                <w:rFonts w:ascii="Times New Roman" w:cs="Times New Roman" w:eastAsia="Times New Roman" w:hAnsi="Times New Roman"/>
                <w:sz w:val="22"/>
                <w:szCs w:val="22"/>
              </w:rPr>
              <w:t xml:space="preserve">Created platform account with hashed ID</w:t>
            </w:r>
          </w:p>
        </w:tc>
      </w:tr>
      <w:tr>
        <w:tc>
          <w:tcPr>
            <w:tcW w:type="dxa" w:w="3120"/>
            <w:vAlign w:val="center"/>
          </w:tcPr>
          <w:p>
            <w:pPr>
              <w:jc w:val="center"/>
            </w:pPr>
            <w:r>
              <w:rPr>
                <w:rFonts w:ascii="Times New Roman" w:cs="Times New Roman" w:eastAsia="Times New Roman" w:hAnsi="Times New Roman"/>
                <w:sz w:val="22"/>
                <w:szCs w:val="22"/>
              </w:rPr>
              <w:t xml:space="preserve">Completed (submitted)</w:t>
            </w:r>
          </w:p>
        </w:tc>
        <w:tc>
          <w:tcPr>
            <w:tcW w:type="dxa" w:w="3120"/>
            <w:vAlign w:val="center"/>
          </w:tcPr>
          <w:p>
            <w:pPr>
              <w:jc w:val="center"/>
            </w:pPr>
            <w:r>
              <w:rPr>
                <w:rFonts w:ascii="Times New Roman" w:cs="Times New Roman" w:eastAsia="Times New Roman" w:hAnsi="Times New Roman"/>
                <w:sz w:val="22"/>
                <w:szCs w:val="22"/>
              </w:rPr>
              <w:t xml:space="preserve">431</w:t>
            </w:r>
          </w:p>
        </w:tc>
        <w:tc>
          <w:tcPr>
            <w:tcW w:type="dxa" w:w="3120"/>
            <w:vAlign w:val="center"/>
          </w:tcPr>
          <w:p>
            <w:pPr>
              <w:jc w:val="center"/>
            </w:pPr>
            <w:r>
              <w:rPr>
                <w:rFonts w:ascii="Times New Roman" w:cs="Times New Roman" w:eastAsia="Times New Roman" w:hAnsi="Times New Roman"/>
                <w:sz w:val="22"/>
                <w:szCs w:val="22"/>
              </w:rPr>
              <w:t xml:space="preserve">Submitted anchor + SDM-10 before window close</w:t>
            </w:r>
          </w:p>
        </w:tc>
      </w:tr>
      <w:tr>
        <w:tc>
          <w:tcPr>
            <w:tcW w:type="dxa" w:w="3120"/>
            <w:vAlign w:val="center"/>
          </w:tcPr>
          <w:p>
            <w:pPr>
              <w:jc w:val="center"/>
            </w:pPr>
            <w:r>
              <w:rPr>
                <w:rFonts w:ascii="Times New Roman" w:cs="Times New Roman" w:eastAsia="Times New Roman" w:hAnsi="Times New Roman"/>
                <w:sz w:val="22"/>
                <w:szCs w:val="22"/>
              </w:rPr>
              <w:t xml:space="preserve">Abandoned</w:t>
            </w:r>
          </w:p>
        </w:tc>
        <w:tc>
          <w:tcPr>
            <w:tcW w:type="dxa" w:w="3120"/>
            <w:vAlign w:val="center"/>
          </w:tcPr>
          <w:p>
            <w:pPr>
              <w:jc w:val="center"/>
            </w:pPr>
            <w:r>
              <w:rPr>
                <w:rFonts w:ascii="Times New Roman" w:cs="Times New Roman" w:eastAsia="Times New Roman" w:hAnsi="Times New Roman"/>
                <w:sz w:val="22"/>
                <w:szCs w:val="22"/>
              </w:rPr>
              <w:t xml:space="preserve">12</w:t>
            </w:r>
          </w:p>
        </w:tc>
        <w:tc>
          <w:tcPr>
            <w:tcW w:type="dxa" w:w="3120"/>
            <w:vAlign w:val="center"/>
          </w:tcPr>
          <w:p>
            <w:pPr>
              <w:jc w:val="center"/>
            </w:pPr>
            <w:r>
              <w:rPr>
                <w:rFonts w:ascii="Times New Roman" w:cs="Times New Roman" w:eastAsia="Times New Roman" w:hAnsi="Times New Roman"/>
                <w:sz w:val="22"/>
                <w:szCs w:val="22"/>
              </w:rPr>
              <w:t xml:space="preserve">Onboarded but did not submit; idle &gt; 45 hours</w:t>
            </w:r>
          </w:p>
        </w:tc>
      </w:tr>
      <w:tr>
        <w:tc>
          <w:tcPr>
            <w:tcW w:type="dxa" w:w="3120"/>
            <w:vAlign w:val="center"/>
          </w:tcPr>
          <w:p>
            <w:pPr>
              <w:jc w:val="center"/>
            </w:pPr>
            <w:r>
              <w:rPr>
                <w:rFonts w:ascii="Times New Roman" w:cs="Times New Roman" w:eastAsia="Times New Roman" w:hAnsi="Times New Roman"/>
                <w:sz w:val="22"/>
                <w:szCs w:val="22"/>
              </w:rPr>
              <w:t xml:space="preserve">Consented (research)</w:t>
            </w:r>
          </w:p>
        </w:tc>
        <w:tc>
          <w:tcPr>
            <w:tcW w:type="dxa" w:w="3120"/>
            <w:vAlign w:val="center"/>
          </w:tcPr>
          <w:p>
            <w:pPr>
              <w:jc w:val="center"/>
            </w:pPr>
            <w:r>
              <w:rPr>
                <w:rFonts w:ascii="Times New Roman" w:cs="Times New Roman" w:eastAsia="Times New Roman" w:hAnsi="Times New Roman"/>
                <w:sz w:val="22"/>
                <w:szCs w:val="22"/>
              </w:rPr>
              <w:t xml:space="preserve">354</w:t>
            </w:r>
          </w:p>
        </w:tc>
        <w:tc>
          <w:tcPr>
            <w:tcW w:type="dxa" w:w="3120"/>
            <w:vAlign w:val="center"/>
          </w:tcPr>
          <w:p>
            <w:pPr>
              <w:jc w:val="center"/>
            </w:pPr>
            <w:r>
              <w:rPr>
                <w:rFonts w:ascii="Times New Roman" w:cs="Times New Roman" w:eastAsia="Times New Roman" w:hAnsi="Times New Roman"/>
                <w:sz w:val="22"/>
                <w:szCs w:val="22"/>
              </w:rPr>
              <w:t xml:space="preserve">Affirmative "Yes" on research consent screen</w:t>
            </w:r>
          </w:p>
        </w:tc>
      </w:tr>
      <w:tr>
        <w:tc>
          <w:tcPr>
            <w:tcW w:type="dxa" w:w="3120"/>
            <w:vAlign w:val="center"/>
          </w:tcPr>
          <w:p>
            <w:pPr>
              <w:jc w:val="center"/>
            </w:pPr>
            <w:r>
              <w:rPr>
                <w:rFonts w:ascii="Times New Roman" w:cs="Times New Roman" w:eastAsia="Times New Roman" w:hAnsi="Times New Roman"/>
                <w:sz w:val="22"/>
                <w:szCs w:val="22"/>
              </w:rPr>
              <w:t xml:space="preserve">Declined</w:t>
            </w:r>
          </w:p>
        </w:tc>
        <w:tc>
          <w:tcPr>
            <w:tcW w:type="dxa" w:w="3120"/>
            <w:vAlign w:val="center"/>
          </w:tcPr>
          <w:p>
            <w:pPr>
              <w:jc w:val="center"/>
            </w:pPr>
            <w:r>
              <w:rPr>
                <w:rFonts w:ascii="Times New Roman" w:cs="Times New Roman" w:eastAsia="Times New Roman" w:hAnsi="Times New Roman"/>
                <w:sz w:val="22"/>
                <w:szCs w:val="22"/>
              </w:rPr>
              <w:t xml:space="preserve">0</w:t>
            </w:r>
          </w:p>
        </w:tc>
        <w:tc>
          <w:tcPr>
            <w:tcW w:type="dxa" w:w="3120"/>
            <w:vAlign w:val="center"/>
          </w:tcPr>
          <w:p>
            <w:pPr>
              <w:jc w:val="center"/>
            </w:pPr>
            <w:r>
              <w:rPr>
                <w:rFonts w:ascii="Times New Roman" w:cs="Times New Roman" w:eastAsia="Times New Roman" w:hAnsi="Times New Roman"/>
                <w:sz w:val="22"/>
                <w:szCs w:val="22"/>
              </w:rPr>
              <w:t xml:space="preserve">Explicit "No" on research consent screen</w:t>
            </w:r>
          </w:p>
        </w:tc>
      </w:tr>
      <w:tr>
        <w:tc>
          <w:tcPr>
            <w:tcW w:type="dxa" w:w="3120"/>
            <w:vAlign w:val="center"/>
          </w:tcPr>
          <w:p>
            <w:pPr>
              <w:jc w:val="center"/>
            </w:pPr>
            <w:r>
              <w:rPr>
                <w:rFonts w:ascii="Times New Roman" w:cs="Times New Roman" w:eastAsia="Times New Roman" w:hAnsi="Times New Roman"/>
                <w:sz w:val="22"/>
                <w:szCs w:val="22"/>
              </w:rPr>
              <w:t xml:space="preserve">NULL consent</w:t>
            </w:r>
          </w:p>
        </w:tc>
        <w:tc>
          <w:tcPr>
            <w:tcW w:type="dxa" w:w="3120"/>
            <w:vAlign w:val="center"/>
          </w:tcPr>
          <w:p>
            <w:pPr>
              <w:jc w:val="center"/>
            </w:pPr>
            <w:r>
              <w:rPr>
                <w:rFonts w:ascii="Times New Roman" w:cs="Times New Roman" w:eastAsia="Times New Roman" w:hAnsi="Times New Roman"/>
                <w:sz w:val="22"/>
                <w:szCs w:val="22"/>
              </w:rPr>
              <w:t xml:space="preserve">77</w:t>
            </w:r>
          </w:p>
        </w:tc>
        <w:tc>
          <w:tcPr>
            <w:tcW w:type="dxa" w:w="3120"/>
            <w:vAlign w:val="center"/>
          </w:tcPr>
          <w:p>
            <w:pPr>
              <w:jc w:val="center"/>
            </w:pPr>
            <w:r>
              <w:rPr>
                <w:rFonts w:ascii="Times New Roman" w:cs="Times New Roman" w:eastAsia="Times New Roman" w:hAnsi="Times New Roman"/>
                <w:sz w:val="22"/>
                <w:szCs w:val="22"/>
              </w:rPr>
              <w:t xml:space="preserve">Completed before consent screen deployed; treated as non-consented</w:t>
            </w:r>
          </w:p>
        </w:tc>
      </w:tr>
      <w:tr>
        <w:tc>
          <w:tcPr>
            <w:tcW w:type="dxa" w:w="3120"/>
            <w:vAlign w:val="center"/>
          </w:tcPr>
          <w:p>
            <w:pPr>
              <w:jc w:val="center"/>
            </w:pPr>
            <w:r>
              <w:rPr>
                <w:rFonts w:ascii="Times New Roman" w:cs="Times New Roman" w:eastAsia="Times New Roman" w:hAnsi="Times New Roman"/>
                <w:sz w:val="22"/>
                <w:szCs w:val="22"/>
              </w:rPr>
              <w:t xml:space="preserve">Withdrawn</w:t>
            </w:r>
          </w:p>
        </w:tc>
        <w:tc>
          <w:tcPr>
            <w:tcW w:type="dxa" w:w="3120"/>
            <w:vAlign w:val="center"/>
          </w:tcPr>
          <w:p>
            <w:pPr>
              <w:jc w:val="center"/>
            </w:pPr>
            <w:r>
              <w:rPr>
                <w:rFonts w:ascii="Times New Roman" w:cs="Times New Roman" w:eastAsia="Times New Roman" w:hAnsi="Times New Roman"/>
                <w:sz w:val="22"/>
                <w:szCs w:val="22"/>
              </w:rPr>
              <w:t xml:space="preserve">0</w:t>
            </w:r>
          </w:p>
        </w:tc>
        <w:tc>
          <w:tcPr>
            <w:tcW w:type="dxa" w:w="3120"/>
            <w:vAlign w:val="center"/>
          </w:tcPr>
          <w:p>
            <w:pPr>
              <w:jc w:val="center"/>
            </w:pPr>
            <w:r>
              <w:rPr>
                <w:rFonts w:ascii="Times New Roman" w:cs="Times New Roman" w:eastAsia="Times New Roman" w:hAnsi="Times New Roman"/>
                <w:sz w:val="22"/>
                <w:szCs w:val="22"/>
              </w:rPr>
              <w:t xml:space="preserve">No withdrawals received during the study period</w:t>
            </w:r>
          </w:p>
        </w:tc>
      </w:tr>
      <w:tr>
        <w:tc>
          <w:tcPr>
            <w:tcW w:type="dxa" w:w="3120"/>
            <w:vAlign w:val="center"/>
          </w:tcPr>
          <w:p>
            <w:pPr>
              <w:jc w:val="center"/>
            </w:pPr>
            <w:r>
              <w:rPr>
                <w:rFonts w:ascii="Times New Roman" w:cs="Times New Roman" w:eastAsia="Times New Roman" w:hAnsi="Times New Roman"/>
                <w:b/>
                <w:bCs/>
                <w:sz w:val="22"/>
                <w:szCs w:val="22"/>
              </w:rPr>
              <w:t xml:space="preserve">Research-consented analysis set</w:t>
            </w:r>
          </w:p>
        </w:tc>
        <w:tc>
          <w:tcPr>
            <w:tcW w:type="dxa" w:w="3120"/>
            <w:vAlign w:val="center"/>
          </w:tcPr>
          <w:p>
            <w:pPr>
              <w:jc w:val="center"/>
            </w:pPr>
            <w:r>
              <w:rPr>
                <w:rFonts w:ascii="Times New Roman" w:cs="Times New Roman" w:eastAsia="Times New Roman" w:hAnsi="Times New Roman"/>
                <w:b/>
                <w:bCs/>
                <w:sz w:val="22"/>
                <w:szCs w:val="22"/>
              </w:rPr>
              <w:t xml:space="preserve">354</w:t>
            </w:r>
          </w:p>
        </w:tc>
        <w:tc>
          <w:tcPr>
            <w:tcW w:type="dxa" w:w="3120"/>
            <w:vAlign w:val="center"/>
          </w:tcPr>
          <w:p>
            <w:pPr>
              <w:jc w:val="center"/>
            </w:pPr>
            <w:r>
              <w:rPr>
                <w:rFonts w:ascii="Times New Roman" w:cs="Times New Roman" w:eastAsia="Times New Roman" w:hAnsi="Times New Roman"/>
                <w:b/>
                <w:bCs/>
                <w:sz w:val="22"/>
                <w:szCs w:val="22"/>
              </w:rPr>
              <w:t xml:space="preserve">Inclusion rule: research_consent = true AND submitted_at IS NOT NULL</w:t>
            </w:r>
          </w:p>
        </w:tc>
      </w:tr>
    </w:tbl>
    <w:p>
      <w:pPr>
        <w:spacing w:after="200"/>
      </w:pPr>
    </w:p>
    <w:p>
      <w:pPr>
        <w:spacing w:line="360" w:after="200"/>
      </w:pPr>
      <w:r>
        <w:rPr>
          <w:rFonts w:ascii="Times New Roman" w:cs="Times New Roman" w:eastAsia="Times New Roman" w:hAnsi="Times New Roman"/>
          <w:sz w:val="24"/>
          <w:szCs w:val="24"/>
        </w:rPr>
        <w:t xml:space="preserve">All tables and statistics in Sections 4 and 6 use the research-consented set (n = 354) unless explicitly noted otherwise. Instructional feedback is delivered to all 431 submitters regardless of consent status.</w:t>
      </w:r>
    </w:p>
    <w:p>
      <w:pPr>
        <w:spacing w:line="360" w:after="200"/>
      </w:pPr>
      <w:r>
        <w:rPr>
          <w:rFonts w:ascii="Times New Roman" w:cs="Times New Roman" w:eastAsia="Times New Roman" w:hAnsi="Times New Roman"/>
          <w:sz w:val="24"/>
          <w:szCs w:val="24"/>
        </w:rPr>
        <w:t xml:space="preserve">The following demographic summary describes the composition of the consented sample for operational context only. No subgroup performance comparisons are reported in Paper 1.</w:t>
      </w:r>
    </w:p>
    <w:p>
      <w:pPr>
        <w:spacing w:line="360" w:after="200"/>
      </w:pPr>
      <w:r>
        <w:rPr>
          <w:rFonts w:ascii="Times New Roman" w:cs="Times New Roman" w:eastAsia="Times New Roman" w:hAnsi="Times New Roman"/>
          <w:b/>
          <w:bCs/>
          <w:sz w:val="24"/>
          <w:szCs w:val="24"/>
        </w:rPr>
        <w:t xml:space="preserve">Table 6.1: Sample Demographics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Characteristic</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Female</w:t>
            </w:r>
          </w:p>
        </w:tc>
        <w:tc>
          <w:tcPr>
            <w:tcW w:type="dxa" w:w="3120"/>
            <w:vAlign w:val="center"/>
          </w:tcPr>
          <w:p>
            <w:pPr>
              <w:jc w:val="center"/>
            </w:pPr>
            <w:r>
              <w:rPr>
                <w:rFonts w:ascii="Times New Roman" w:cs="Times New Roman" w:eastAsia="Times New Roman" w:hAnsi="Times New Roman"/>
                <w:sz w:val="22"/>
                <w:szCs w:val="22"/>
              </w:rPr>
              <w:t xml:space="preserve">213</w:t>
            </w:r>
          </w:p>
        </w:tc>
        <w:tc>
          <w:tcPr>
            <w:tcW w:type="dxa" w:w="3120"/>
            <w:vAlign w:val="center"/>
          </w:tcPr>
          <w:p>
            <w:pPr>
              <w:jc w:val="center"/>
            </w:pPr>
            <w:r>
              <w:rPr>
                <w:rFonts w:ascii="Times New Roman" w:cs="Times New Roman" w:eastAsia="Times New Roman" w:hAnsi="Times New Roman"/>
                <w:sz w:val="22"/>
                <w:szCs w:val="22"/>
              </w:rPr>
              <w:t xml:space="preserve">60.2%</w:t>
            </w:r>
          </w:p>
        </w:tc>
      </w:tr>
      <w:tr>
        <w:tc>
          <w:tcPr>
            <w:tcW w:type="dxa" w:w="3120"/>
            <w:vAlign w:val="center"/>
          </w:tcPr>
          <w:p>
            <w:pPr>
              <w:jc w:val="center"/>
            </w:pPr>
            <w:r>
              <w:rPr>
                <w:rFonts w:ascii="Times New Roman" w:cs="Times New Roman" w:eastAsia="Times New Roman" w:hAnsi="Times New Roman"/>
                <w:sz w:val="22"/>
                <w:szCs w:val="22"/>
              </w:rPr>
              <w:t xml:space="preserve">Male</w:t>
            </w:r>
          </w:p>
        </w:tc>
        <w:tc>
          <w:tcPr>
            <w:tcW w:type="dxa" w:w="3120"/>
            <w:vAlign w:val="center"/>
          </w:tcPr>
          <w:p>
            <w:pPr>
              <w:jc w:val="center"/>
            </w:pPr>
            <w:r>
              <w:rPr>
                <w:rFonts w:ascii="Times New Roman" w:cs="Times New Roman" w:eastAsia="Times New Roman" w:hAnsi="Times New Roman"/>
                <w:sz w:val="22"/>
                <w:szCs w:val="22"/>
              </w:rPr>
              <w:t xml:space="preserve">139</w:t>
            </w:r>
          </w:p>
        </w:tc>
        <w:tc>
          <w:tcPr>
            <w:tcW w:type="dxa" w:w="3120"/>
            <w:vAlign w:val="center"/>
          </w:tcPr>
          <w:p>
            <w:pPr>
              <w:jc w:val="center"/>
            </w:pPr>
            <w:r>
              <w:rPr>
                <w:rFonts w:ascii="Times New Roman" w:cs="Times New Roman" w:eastAsia="Times New Roman" w:hAnsi="Times New Roman"/>
                <w:sz w:val="22"/>
                <w:szCs w:val="22"/>
              </w:rPr>
              <w:t xml:space="preserve">39.3%</w:t>
            </w:r>
          </w:p>
        </w:tc>
      </w:tr>
      <w:tr>
        <w:tc>
          <w:tcPr>
            <w:tcW w:type="dxa" w:w="3120"/>
            <w:vAlign w:val="center"/>
          </w:tcPr>
          <w:p>
            <w:pPr>
              <w:jc w:val="center"/>
            </w:pPr>
            <w:r>
              <w:rPr>
                <w:rFonts w:ascii="Times New Roman" w:cs="Times New Roman" w:eastAsia="Times New Roman" w:hAnsi="Times New Roman"/>
                <w:sz w:val="22"/>
                <w:szCs w:val="22"/>
              </w:rPr>
              <w:t xml:space="preserve">Prefer not to say</w:t>
            </w:r>
          </w:p>
        </w:tc>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0.6%</w:t>
            </w:r>
          </w:p>
        </w:tc>
      </w:tr>
      <w:tr>
        <w:tc>
          <w:tcPr>
            <w:tcW w:type="dxa" w:w="3120"/>
            <w:vAlign w:val="center"/>
          </w:tcPr>
          <w:p>
            <w:pPr>
              <w:jc w:val="center"/>
            </w:pPr>
            <w:r>
              <w:rPr>
                <w:rFonts w:ascii="Times New Roman" w:cs="Times New Roman" w:eastAsia="Times New Roman" w:hAnsi="Times New Roman"/>
                <w:sz w:val="22"/>
                <w:szCs w:val="22"/>
              </w:rPr>
              <w:t xml:space="preserve">English first language</w:t>
            </w:r>
          </w:p>
        </w:tc>
        <w:tc>
          <w:tcPr>
            <w:tcW w:type="dxa" w:w="3120"/>
            <w:vAlign w:val="center"/>
          </w:tcPr>
          <w:p>
            <w:pPr>
              <w:jc w:val="center"/>
            </w:pPr>
            <w:r>
              <w:rPr>
                <w:rFonts w:ascii="Times New Roman" w:cs="Times New Roman" w:eastAsia="Times New Roman" w:hAnsi="Times New Roman"/>
                <w:sz w:val="22"/>
                <w:szCs w:val="22"/>
              </w:rPr>
              <w:t xml:space="preserve">278</w:t>
            </w:r>
          </w:p>
        </w:tc>
        <w:tc>
          <w:tcPr>
            <w:tcW w:type="dxa" w:w="3120"/>
            <w:vAlign w:val="center"/>
          </w:tcPr>
          <w:p>
            <w:pPr>
              <w:jc w:val="center"/>
            </w:pPr>
            <w:r>
              <w:rPr>
                <w:rFonts w:ascii="Times New Roman" w:cs="Times New Roman" w:eastAsia="Times New Roman" w:hAnsi="Times New Roman"/>
                <w:sz w:val="22"/>
                <w:szCs w:val="22"/>
              </w:rPr>
              <w:t xml:space="preserve">78.5%</w:t>
            </w:r>
          </w:p>
        </w:tc>
      </w:tr>
      <w:tr>
        <w:tc>
          <w:tcPr>
            <w:tcW w:type="dxa" w:w="3120"/>
            <w:vAlign w:val="center"/>
          </w:tcPr>
          <w:p>
            <w:pPr>
              <w:jc w:val="center"/>
            </w:pPr>
            <w:r>
              <w:rPr>
                <w:rFonts w:ascii="Times New Roman" w:cs="Times New Roman" w:eastAsia="Times New Roman" w:hAnsi="Times New Roman"/>
                <w:sz w:val="22"/>
                <w:szCs w:val="22"/>
              </w:rPr>
              <w:t xml:space="preserve">Spanish first language</w:t>
            </w:r>
          </w:p>
        </w:tc>
        <w:tc>
          <w:tcPr>
            <w:tcW w:type="dxa" w:w="3120"/>
            <w:vAlign w:val="center"/>
          </w:tcPr>
          <w:p>
            <w:pPr>
              <w:jc w:val="center"/>
            </w:pPr>
            <w:r>
              <w:rPr>
                <w:rFonts w:ascii="Times New Roman" w:cs="Times New Roman" w:eastAsia="Times New Roman" w:hAnsi="Times New Roman"/>
                <w:sz w:val="22"/>
                <w:szCs w:val="22"/>
              </w:rPr>
              <w:t xml:space="preserve">44</w:t>
            </w:r>
          </w:p>
        </w:tc>
        <w:tc>
          <w:tcPr>
            <w:tcW w:type="dxa" w:w="3120"/>
            <w:vAlign w:val="center"/>
          </w:tcPr>
          <w:p>
            <w:pPr>
              <w:jc w:val="center"/>
            </w:pPr>
            <w:r>
              <w:rPr>
                <w:rFonts w:ascii="Times New Roman" w:cs="Times New Roman" w:eastAsia="Times New Roman" w:hAnsi="Times New Roman"/>
                <w:sz w:val="22"/>
                <w:szCs w:val="22"/>
              </w:rPr>
              <w:t xml:space="preserve">12.4%</w:t>
            </w:r>
          </w:p>
        </w:tc>
      </w:tr>
      <w:tr>
        <w:tc>
          <w:tcPr>
            <w:tcW w:type="dxa" w:w="3120"/>
            <w:vAlign w:val="center"/>
          </w:tcPr>
          <w:p>
            <w:pPr>
              <w:jc w:val="center"/>
            </w:pPr>
            <w:r>
              <w:rPr>
                <w:rFonts w:ascii="Times New Roman" w:cs="Times New Roman" w:eastAsia="Times New Roman" w:hAnsi="Times New Roman"/>
                <w:sz w:val="22"/>
                <w:szCs w:val="22"/>
              </w:rPr>
              <w:t xml:space="preserve">Other languages</w:t>
            </w:r>
          </w:p>
        </w:tc>
        <w:tc>
          <w:tcPr>
            <w:tcW w:type="dxa" w:w="3120"/>
            <w:vAlign w:val="center"/>
          </w:tcPr>
          <w:p>
            <w:pPr>
              <w:jc w:val="center"/>
            </w:pPr>
            <w:r>
              <w:rPr>
                <w:rFonts w:ascii="Times New Roman" w:cs="Times New Roman" w:eastAsia="Times New Roman" w:hAnsi="Times New Roman"/>
                <w:sz w:val="22"/>
                <w:szCs w:val="22"/>
              </w:rPr>
              <w:t xml:space="preserve">32</w:t>
            </w:r>
          </w:p>
        </w:tc>
        <w:tc>
          <w:tcPr>
            <w:tcW w:type="dxa" w:w="3120"/>
            <w:vAlign w:val="center"/>
          </w:tcPr>
          <w:p>
            <w:pPr>
              <w:jc w:val="center"/>
            </w:pPr>
            <w:r>
              <w:rPr>
                <w:rFonts w:ascii="Times New Roman" w:cs="Times New Roman" w:eastAsia="Times New Roman" w:hAnsi="Times New Roman"/>
                <w:sz w:val="22"/>
                <w:szCs w:val="22"/>
              </w:rPr>
              <w:t xml:space="preserve">9.0%</w:t>
            </w:r>
          </w:p>
        </w:tc>
      </w:tr>
    </w:tbl>
    <w:p>
      <w:pPr>
        <w:spacing w:after="200"/>
      </w:pPr>
    </w:p>
    <w:p>
      <w:pPr>
        <w:pStyle w:val="Heading2"/>
        <w:spacing w:before="360" w:after="180"/>
      </w:pPr>
      <w:r>
        <w:rPr>
          <w:rFonts w:ascii="Times New Roman" w:cs="Times New Roman" w:eastAsia="Times New Roman" w:hAnsi="Times New Roman"/>
          <w:sz w:val="24"/>
          <w:szCs w:val="24"/>
        </w:rPr>
        <w:t xml:space="preserve">6.2 Anchor Score Context</w:t>
      </w:r>
    </w:p>
    <w:p>
      <w:pPr>
        <w:spacing w:line="360" w:after="200"/>
      </w:pPr>
      <w:r>
        <w:rPr>
          <w:rFonts w:ascii="Times New Roman" w:cs="Times New Roman" w:eastAsia="Times New Roman" w:hAnsi="Times New Roman"/>
          <w:sz w:val="24"/>
          <w:szCs w:val="24"/>
        </w:rPr>
        <w:t xml:space="preserve">The following score summaries provide operational context for interpreting SDM-10 diagnostic patterns. They are not inferential claims about population-level financial literacy.</w:t>
      </w:r>
    </w:p>
    <w:p>
      <w:pPr>
        <w:spacing w:line="360" w:after="200"/>
      </w:pPr>
      <w:r>
        <w:rPr>
          <w:rFonts w:ascii="Times New Roman" w:cs="Times New Roman" w:eastAsia="Times New Roman" w:hAnsi="Times New Roman"/>
          <w:sz w:val="24"/>
          <w:szCs w:val="24"/>
        </w:rPr>
        <w:t xml:space="preserve">For the consented subset (n = 354), the mean anchor score was 67.0% (SD = 17.9%, median = 69.2%) across 26 scored knowledge items. Domain-level means were:</w:t>
      </w:r>
    </w:p>
    <w:p>
      <w:pPr>
        <w:spacing w:line="360" w:after="200"/>
      </w:pPr>
      <w:r>
        <w:rPr>
          <w:rFonts w:ascii="Times New Roman" w:cs="Times New Roman" w:eastAsia="Times New Roman" w:hAnsi="Times New Roman"/>
          <w:b/>
          <w:bCs/>
          <w:sz w:val="24"/>
          <w:szCs w:val="24"/>
        </w:rPr>
        <w:t xml:space="preserve">Table 6.2: Mean Accuracy by Domain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r>
      <w:tr>
        <w:tc>
          <w:tcPr>
            <w:tcW w:type="dxa" w:w="3120"/>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72.4%</w:t>
            </w:r>
          </w:p>
        </w:tc>
      </w:tr>
      <w:tr>
        <w:tc>
          <w:tcPr>
            <w:tcW w:type="dxa" w:w="3120"/>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3120"/>
            <w:vAlign w:val="center"/>
          </w:tcPr>
          <w:p>
            <w:pPr>
              <w:jc w:val="center"/>
            </w:pPr>
            <w:r>
              <w:rPr>
                <w:rFonts w:ascii="Times New Roman" w:cs="Times New Roman" w:eastAsia="Times New Roman" w:hAnsi="Times New Roman"/>
                <w:sz w:val="22"/>
                <w:szCs w:val="22"/>
              </w:rPr>
              <w:t xml:space="preserve">10</w:t>
            </w:r>
          </w:p>
        </w:tc>
        <w:tc>
          <w:tcPr>
            <w:tcW w:type="dxa" w:w="3120"/>
            <w:vAlign w:val="center"/>
          </w:tcPr>
          <w:p>
            <w:pPr>
              <w:jc w:val="center"/>
            </w:pPr>
            <w:r>
              <w:rPr>
                <w:rFonts w:ascii="Times New Roman" w:cs="Times New Roman" w:eastAsia="Times New Roman" w:hAnsi="Times New Roman"/>
                <w:sz w:val="22"/>
                <w:szCs w:val="22"/>
              </w:rPr>
              <w:t xml:space="preserve">69.2%</w:t>
            </w:r>
          </w:p>
        </w:tc>
      </w:tr>
      <w:tr>
        <w:tc>
          <w:tcPr>
            <w:tcW w:type="dxa" w:w="3120"/>
            <w:vAlign w:val="center"/>
          </w:tcPr>
          <w:p>
            <w:pPr>
              <w:jc w:val="center"/>
            </w:pPr>
            <w:r>
              <w:rPr>
                <w:rFonts w:ascii="Times New Roman" w:cs="Times New Roman" w:eastAsia="Times New Roman" w:hAnsi="Times New Roman"/>
                <w:sz w:val="22"/>
                <w:szCs w:val="22"/>
              </w:rPr>
              <w:t xml:space="preserve">Risk and Return Knowledge</w:t>
            </w:r>
          </w:p>
        </w:tc>
        <w:tc>
          <w:tcPr>
            <w:tcW w:type="dxa" w:w="3120"/>
            <w:vAlign w:val="center"/>
          </w:tcPr>
          <w:p>
            <w:pPr>
              <w:jc w:val="center"/>
            </w:pPr>
            <w:r>
              <w:rPr>
                <w:rFonts w:ascii="Times New Roman" w:cs="Times New Roman" w:eastAsia="Times New Roman" w:hAnsi="Times New Roman"/>
                <w:sz w:val="22"/>
                <w:szCs w:val="22"/>
              </w:rPr>
              <w:t xml:space="preserve">12</w:t>
            </w:r>
          </w:p>
        </w:tc>
        <w:tc>
          <w:tcPr>
            <w:tcW w:type="dxa" w:w="3120"/>
            <w:vAlign w:val="center"/>
          </w:tcPr>
          <w:p>
            <w:pPr>
              <w:jc w:val="center"/>
            </w:pPr>
            <w:r>
              <w:rPr>
                <w:rFonts w:ascii="Times New Roman" w:cs="Times New Roman" w:eastAsia="Times New Roman" w:hAnsi="Times New Roman"/>
                <w:sz w:val="22"/>
                <w:szCs w:val="22"/>
              </w:rPr>
              <w:t xml:space="preserve">63.4%</w:t>
            </w:r>
          </w:p>
        </w:tc>
      </w:tr>
    </w:tbl>
    <w:p>
      <w:pPr>
        <w:spacing w:after="200"/>
      </w:pPr>
    </w:p>
    <w:p>
      <w:pPr>
        <w:spacing w:line="360" w:after="200"/>
      </w:pPr>
      <w:r>
        <w:rPr>
          <w:rFonts w:ascii="Times New Roman" w:cs="Times New Roman" w:eastAsia="Times New Roman" w:hAnsi="Times New Roman"/>
          <w:sz w:val="24"/>
          <w:szCs w:val="24"/>
        </w:rPr>
        <w:t xml:space="preserve">Investment and Risk was the weakest domain, driven primarily by low performance on Q38 (Inflation Protection) and Q6 (Inflation Lowering). However, Investment and Risk also has the highest selection error count (56), suggesting some of this weakness is artefactual.</w:t>
      </w:r>
    </w:p>
    <w:p>
      <w:pPr>
        <w:spacing w:line="360" w:after="200"/>
      </w:pPr>
      <w:r>
        <w:rPr>
          <w:rFonts w:ascii="Times New Roman" w:cs="Times New Roman" w:eastAsia="Times New Roman" w:hAnsi="Times New Roman"/>
          <w:b/>
          <w:bCs/>
          <w:sz w:val="24"/>
          <w:szCs w:val="24"/>
        </w:rPr>
        <w:t xml:space="preserve">Table 6.3: Score Distribution by Performance Band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 of Sample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Status</w:t>
            </w:r>
          </w:p>
        </w:tc>
      </w:tr>
      <w:tr>
        <w:tc>
          <w:tcPr>
            <w:tcW w:type="dxa" w:w="2340"/>
            <w:vAlign w:val="center"/>
          </w:tcPr>
          <w:p>
            <w:pPr>
              <w:jc w:val="center"/>
            </w:pPr>
            <w:r>
              <w:rPr>
                <w:rFonts w:ascii="Times New Roman" w:cs="Times New Roman" w:eastAsia="Times New Roman" w:hAnsi="Times New Roman"/>
                <w:sz w:val="22"/>
                <w:szCs w:val="22"/>
              </w:rPr>
              <w:t xml:space="preserve">Below 50%</w:t>
            </w:r>
          </w:p>
        </w:tc>
        <w:tc>
          <w:tcPr>
            <w:tcW w:type="dxa" w:w="2340"/>
            <w:vAlign w:val="center"/>
          </w:tcPr>
          <w:p>
            <w:pPr>
              <w:jc w:val="center"/>
            </w:pPr>
            <w:r>
              <w:rPr>
                <w:rFonts w:ascii="Times New Roman" w:cs="Times New Roman" w:eastAsia="Times New Roman" w:hAnsi="Times New Roman"/>
                <w:sz w:val="22"/>
                <w:szCs w:val="22"/>
              </w:rPr>
              <w:t xml:space="preserve">45</w:t>
            </w:r>
          </w:p>
        </w:tc>
        <w:tc>
          <w:tcPr>
            <w:tcW w:type="dxa" w:w="2340"/>
            <w:vAlign w:val="center"/>
          </w:tcPr>
          <w:p>
            <w:pPr>
              <w:jc w:val="center"/>
            </w:pPr>
            <w:r>
              <w:rPr>
                <w:rFonts w:ascii="Times New Roman" w:cs="Times New Roman" w:eastAsia="Times New Roman" w:hAnsi="Times New Roman"/>
                <w:sz w:val="22"/>
                <w:szCs w:val="22"/>
              </w:rPr>
              <w:t xml:space="preserve">12.7%</w:t>
            </w:r>
          </w:p>
        </w:tc>
        <w:tc>
          <w:tcPr>
            <w:tcW w:type="dxa" w:w="2340"/>
            <w:vAlign w:val="center"/>
          </w:tcPr>
          <w:p>
            <w:pPr>
              <w:jc w:val="center"/>
            </w:pPr>
            <w:r>
              <w:rPr>
                <w:rFonts w:ascii="Times New Roman" w:cs="Times New Roman" w:eastAsia="Times New Roman" w:hAnsi="Times New Roman"/>
                <w:sz w:val="22"/>
                <w:szCs w:val="22"/>
              </w:rPr>
              <w:t xml:space="preserve">At risk</w:t>
            </w:r>
          </w:p>
        </w:tc>
      </w:tr>
      <w:tr>
        <w:tc>
          <w:tcPr>
            <w:tcW w:type="dxa" w:w="2340"/>
            <w:vAlign w:val="center"/>
          </w:tcPr>
          <w:p>
            <w:pPr>
              <w:jc w:val="center"/>
            </w:pPr>
            <w:r>
              <w:rPr>
                <w:rFonts w:ascii="Times New Roman" w:cs="Times New Roman" w:eastAsia="Times New Roman" w:hAnsi="Times New Roman"/>
                <w:sz w:val="22"/>
                <w:szCs w:val="22"/>
              </w:rPr>
              <w:t xml:space="preserve">50--69%</w:t>
            </w:r>
          </w:p>
        </w:tc>
        <w:tc>
          <w:tcPr>
            <w:tcW w:type="dxa" w:w="2340"/>
            <w:vAlign w:val="center"/>
          </w:tcPr>
          <w:p>
            <w:pPr>
              <w:jc w:val="center"/>
            </w:pPr>
            <w:r>
              <w:rPr>
                <w:rFonts w:ascii="Times New Roman" w:cs="Times New Roman" w:eastAsia="Times New Roman" w:hAnsi="Times New Roman"/>
                <w:sz w:val="22"/>
                <w:szCs w:val="22"/>
              </w:rPr>
              <w:t xml:space="preserve">161</w:t>
            </w:r>
          </w:p>
        </w:tc>
        <w:tc>
          <w:tcPr>
            <w:tcW w:type="dxa" w:w="2340"/>
            <w:vAlign w:val="center"/>
          </w:tcPr>
          <w:p>
            <w:pPr>
              <w:jc w:val="center"/>
            </w:pPr>
            <w:r>
              <w:rPr>
                <w:rFonts w:ascii="Times New Roman" w:cs="Times New Roman" w:eastAsia="Times New Roman" w:hAnsi="Times New Roman"/>
                <w:sz w:val="22"/>
                <w:szCs w:val="22"/>
              </w:rPr>
              <w:t xml:space="preserve">45.5%</w:t>
            </w:r>
          </w:p>
        </w:tc>
        <w:tc>
          <w:tcPr>
            <w:tcW w:type="dxa" w:w="2340"/>
            <w:vAlign w:val="center"/>
          </w:tcPr>
          <w:p>
            <w:pPr>
              <w:jc w:val="center"/>
            </w:pPr>
            <w:r>
              <w:rPr>
                <w:rFonts w:ascii="Times New Roman" w:cs="Times New Roman" w:eastAsia="Times New Roman" w:hAnsi="Times New Roman"/>
                <w:sz w:val="22"/>
                <w:szCs w:val="22"/>
              </w:rPr>
              <w:t xml:space="preserve">Developing</w:t>
            </w:r>
          </w:p>
        </w:tc>
      </w:tr>
      <w:tr>
        <w:tc>
          <w:tcPr>
            <w:tcW w:type="dxa" w:w="2340"/>
            <w:vAlign w:val="center"/>
          </w:tcPr>
          <w:p>
            <w:pPr>
              <w:jc w:val="center"/>
            </w:pPr>
            <w:r>
              <w:rPr>
                <w:rFonts w:ascii="Times New Roman" w:cs="Times New Roman" w:eastAsia="Times New Roman" w:hAnsi="Times New Roman"/>
                <w:sz w:val="22"/>
                <w:szCs w:val="22"/>
              </w:rPr>
              <w:t xml:space="preserve">70--79%</w:t>
            </w:r>
          </w:p>
        </w:tc>
        <w:tc>
          <w:tcPr>
            <w:tcW w:type="dxa" w:w="2340"/>
            <w:vAlign w:val="center"/>
          </w:tcPr>
          <w:p>
            <w:pPr>
              <w:jc w:val="center"/>
            </w:pPr>
            <w:r>
              <w:rPr>
                <w:rFonts w:ascii="Times New Roman" w:cs="Times New Roman" w:eastAsia="Times New Roman" w:hAnsi="Times New Roman"/>
                <w:sz w:val="22"/>
                <w:szCs w:val="22"/>
              </w:rPr>
              <w:t xml:space="preserve">60</w:t>
            </w:r>
          </w:p>
        </w:tc>
        <w:tc>
          <w:tcPr>
            <w:tcW w:type="dxa" w:w="2340"/>
            <w:vAlign w:val="center"/>
          </w:tcPr>
          <w:p>
            <w:pPr>
              <w:jc w:val="center"/>
            </w:pPr>
            <w:r>
              <w:rPr>
                <w:rFonts w:ascii="Times New Roman" w:cs="Times New Roman" w:eastAsia="Times New Roman" w:hAnsi="Times New Roman"/>
                <w:sz w:val="22"/>
                <w:szCs w:val="22"/>
              </w:rPr>
              <w:t xml:space="preserve">16.9%</w:t>
            </w:r>
          </w:p>
        </w:tc>
        <w:tc>
          <w:tcPr>
            <w:tcW w:type="dxa" w:w="2340"/>
            <w:vAlign w:val="center"/>
          </w:tcPr>
          <w:p>
            <w:pPr>
              <w:jc w:val="center"/>
            </w:pPr>
            <w:r>
              <w:rPr>
                <w:rFonts w:ascii="Times New Roman" w:cs="Times New Roman" w:eastAsia="Times New Roman" w:hAnsi="Times New Roman"/>
                <w:sz w:val="22"/>
                <w:szCs w:val="22"/>
              </w:rPr>
              <w:t xml:space="preserve">Proficient</w:t>
            </w:r>
          </w:p>
        </w:tc>
      </w:tr>
      <w:tr>
        <w:tc>
          <w:tcPr>
            <w:tcW w:type="dxa" w:w="2340"/>
            <w:vAlign w:val="center"/>
          </w:tcPr>
          <w:p>
            <w:pPr>
              <w:jc w:val="center"/>
            </w:pPr>
            <w:r>
              <w:rPr>
                <w:rFonts w:ascii="Times New Roman" w:cs="Times New Roman" w:eastAsia="Times New Roman" w:hAnsi="Times New Roman"/>
                <w:sz w:val="22"/>
                <w:szCs w:val="22"/>
              </w:rPr>
              <w:t xml:space="preserve">80% and above</w:t>
            </w:r>
          </w:p>
        </w:tc>
        <w:tc>
          <w:tcPr>
            <w:tcW w:type="dxa" w:w="2340"/>
            <w:vAlign w:val="center"/>
          </w:tcPr>
          <w:p>
            <w:pPr>
              <w:jc w:val="center"/>
            </w:pPr>
            <w:r>
              <w:rPr>
                <w:rFonts w:ascii="Times New Roman" w:cs="Times New Roman" w:eastAsia="Times New Roman" w:hAnsi="Times New Roman"/>
                <w:sz w:val="22"/>
                <w:szCs w:val="22"/>
              </w:rPr>
              <w:t xml:space="preserve">88</w:t>
            </w:r>
          </w:p>
        </w:tc>
        <w:tc>
          <w:tcPr>
            <w:tcW w:type="dxa" w:w="2340"/>
            <w:vAlign w:val="center"/>
          </w:tcPr>
          <w:p>
            <w:pPr>
              <w:jc w:val="center"/>
            </w:pPr>
            <w:r>
              <w:rPr>
                <w:rFonts w:ascii="Times New Roman" w:cs="Times New Roman" w:eastAsia="Times New Roman" w:hAnsi="Times New Roman"/>
                <w:sz w:val="22"/>
                <w:szCs w:val="22"/>
              </w:rPr>
              <w:t xml:space="preserve">24.9%</w:t>
            </w:r>
          </w:p>
        </w:tc>
        <w:tc>
          <w:tcPr>
            <w:tcW w:type="dxa" w:w="2340"/>
            <w:vAlign w:val="center"/>
          </w:tcPr>
          <w:p>
            <w:pPr>
              <w:jc w:val="center"/>
            </w:pPr>
            <w:r>
              <w:rPr>
                <w:rFonts w:ascii="Times New Roman" w:cs="Times New Roman" w:eastAsia="Times New Roman" w:hAnsi="Times New Roman"/>
                <w:sz w:val="22"/>
                <w:szCs w:val="22"/>
              </w:rPr>
              <w:t xml:space="preserve">Strong</w:t>
            </w:r>
          </w:p>
        </w:tc>
      </w:tr>
    </w:tbl>
    <w:p>
      <w:pPr>
        <w:spacing w:after="200"/>
      </w:pPr>
    </w:p>
    <w:p>
      <w:pPr>
        <w:spacing w:line="360" w:after="200"/>
      </w:pPr>
      <w:r>
        <w:rPr>
          <w:rFonts w:ascii="Times New Roman" w:cs="Times New Roman" w:eastAsia="Times New Roman" w:hAnsi="Times New Roman"/>
          <w:sz w:val="24"/>
          <w:szCs w:val="24"/>
        </w:rPr>
        <w:t xml:space="preserve">The largest segment (45.5%) falls in the 50--69% band. Combined with the 12.7% below 50%, over half the consented sample has partial or incomplete financial literacy knowledge.</w:t>
      </w:r>
    </w:p>
    <w:p>
      <w:pPr>
        <w:spacing w:line="360" w:after="200"/>
      </w:pPr>
      <w:r>
        <w:rPr>
          <w:rFonts w:ascii="Times New Roman" w:cs="Times New Roman" w:eastAsia="Times New Roman" w:hAnsi="Times New Roman"/>
          <w:sz w:val="24"/>
          <w:szCs w:val="24"/>
        </w:rPr>
        <w:t xml:space="preserve">The consented SDM-10 mean score (64.4% across 3,340 responses) was lower than the anchor mean (67.0%), confirming that the adaptive selection algorithm appropriately targeted subcategories where students demonstrated weaker performance. These scores provide context for interpreting the SDM-10 diagnostic findings but are not the primary analytical contribution of this paper.</w:t>
      </w:r>
    </w:p>
    <w:p>
      <w:pPr>
        <w:pStyle w:val="Heading2"/>
        <w:spacing w:before="360" w:after="180"/>
      </w:pPr>
      <w:r>
        <w:rPr>
          <w:rFonts w:ascii="Times New Roman" w:cs="Times New Roman" w:eastAsia="Times New Roman" w:hAnsi="Times New Roman"/>
          <w:sz w:val="24"/>
          <w:szCs w:val="24"/>
        </w:rPr>
        <w:t xml:space="preserve">6.3 Assessment Duration</w:t>
      </w:r>
    </w:p>
    <w:p>
      <w:pPr>
        <w:spacing w:line="360" w:after="200"/>
      </w:pPr>
      <w:r>
        <w:rPr>
          <w:rFonts w:ascii="Times New Roman" w:cs="Times New Roman" w:eastAsia="Times New Roman" w:hAnsi="Times New Roman"/>
          <w:sz w:val="24"/>
          <w:szCs w:val="24"/>
        </w:rPr>
        <w:t xml:space="preserve">The median assessment duration was 18.1 minutes (consented subset). The mean duration (217.2 minutes) was heavily skewed by a small number of sessions left open without completion, including sessions that remained idle for multiple days. The median is the more representative measure of active assessment time.</w:t>
      </w:r>
    </w:p>
    <w:p>
      <w:r>
        <w:br w:type="page"/>
      </w:r>
    </w:p>
    <w:p>
      <w:pPr>
        <w:pStyle w:val="Heading1"/>
        <w:spacing w:before="480" w:after="240"/>
      </w:pPr>
      <w:r>
        <w:rPr>
          <w:rFonts w:ascii="Times New Roman" w:cs="Times New Roman" w:eastAsia="Times New Roman" w:hAnsi="Times New Roman"/>
          <w:sz w:val="24"/>
          <w:szCs w:val="24"/>
        </w:rPr>
        <w:t xml:space="preserve">7. Discussion</w:t>
      </w:r>
    </w:p>
    <w:p>
      <w:pPr>
        <w:spacing w:line="360" w:after="200"/>
      </w:pPr>
      <w:r>
        <w:rPr>
          <w:rFonts w:ascii="Times New Roman" w:cs="Times New Roman" w:eastAsia="Times New Roman" w:hAnsi="Times New Roman"/>
          <w:sz w:val="24"/>
          <w:szCs w:val="24"/>
        </w:rPr>
        <w:t xml:space="preserve">The SDM-10 diagnostic findings reveal that standard multiple-choice assessment scores both overstate and understate student financial literacy knowledge in systematic, measurable ways. As noted in Section 4.4, all SDM-10 prevalence rates reported below reflect conditioned subsamples -- diagnose items target students who answered incorrectly with high confidence, and confirm items target students who answered correctly with low confidence -- not random cross-sections of the class. The rates characterize what happens within those tails, not class-wide misconception prevalence.</w:t>
      </w:r>
    </w:p>
    <w:p>
      <w:pPr>
        <w:spacing w:line="360" w:after="200"/>
      </w:pPr>
      <w:r>
        <w:rPr>
          <w:rFonts w:ascii="Times New Roman" w:cs="Times New Roman" w:eastAsia="Times New Roman" w:hAnsi="Times New Roman"/>
          <w:b/>
          <w:bCs/>
          <w:sz w:val="24"/>
          <w:szCs w:val="24"/>
        </w:rPr>
        <w:t xml:space="preserve">Selection errors materially distort MCQ scoring.</w:t>
      </w:r>
      <w:r>
        <w:rPr>
          <w:rFonts w:ascii="Times New Roman" w:cs="Times New Roman" w:eastAsia="Times New Roman" w:hAnsi="Times New Roman"/>
          <w:sz w:val="24"/>
          <w:szCs w:val="24"/>
        </w:rPr>
        <w:t xml:space="preserve"> The most striking finding is the magnitude of selection errors: among students who answered incorrectly with high confidence, 31.9% of classified responses demonstrated correct understanding of the underlying concept in their open-ended explanation. On individual items, selection error rates reached 81% (Q36, diversification principle), 41% (Q10, credit reports), and 32% (Q2, mortgages). These students would receive a score of zero on the anchor assessment despite possessing the targeted knowledge. Without the open-ended diagnostic follow-up, these errors would be indistinguishable from genuine misconceptions, leading to misallocation of instructional resources toward remediation that students do not need. The pattern is concentrated on True/False items and negation-framed MCQ items, suggesting that item format rather than student knowledge drives the errors. This finding has direct implications for instrument revision: Q36 should be rewritten in multiple-choice format, and Q10's "which is FALSE" framing should be reconsidered.</w:t>
      </w:r>
    </w:p>
    <w:p>
      <w:pPr>
        <w:spacing w:line="360" w:after="200"/>
      </w:pPr>
      <w:r>
        <w:rPr>
          <w:rFonts w:ascii="Times New Roman" w:cs="Times New Roman" w:eastAsia="Times New Roman" w:hAnsi="Times New Roman"/>
          <w:b/>
          <w:bCs/>
          <w:sz w:val="24"/>
          <w:szCs w:val="24"/>
        </w:rPr>
        <w:t xml:space="preserve">"False correct" guesses inflate anchor scores.</w:t>
      </w:r>
      <w:r>
        <w:rPr>
          <w:rFonts w:ascii="Times New Roman" w:cs="Times New Roman" w:eastAsia="Times New Roman" w:hAnsi="Times New Roman"/>
          <w:sz w:val="24"/>
          <w:szCs w:val="24"/>
        </w:rPr>
        <w:t xml:space="preserve"> On the confirm side, among students who answered correctly but with low confidence (the SDM-10 confirm trigger), 13.7% were classified as likely guesses -- they could not articulate any understanding of the concept they ostensibly answered correctly. This rate applies to the low-confidence-correct tail, not to all correct responses, but it demonstrates that a non-trivial fraction of ostensibly correct answers do not reflect genuine understanding. On individual items with high guessing probability, anchor scores overestimate true comprehension.</w:t>
      </w:r>
    </w:p>
    <w:p>
      <w:pPr>
        <w:spacing w:line="360" w:after="200"/>
      </w:pPr>
      <w:r>
        <w:rPr>
          <w:rFonts w:ascii="Times New Roman" w:cs="Times New Roman" w:eastAsia="Times New Roman" w:hAnsi="Times New Roman"/>
          <w:b/>
          <w:bCs/>
          <w:sz w:val="24"/>
          <w:szCs w:val="24"/>
        </w:rPr>
        <w:t xml:space="preserve">Misconception patterns are domain-specific and instructionally actionable.</w:t>
      </w:r>
      <w:r>
        <w:rPr>
          <w:rFonts w:ascii="Times New Roman" w:cs="Times New Roman" w:eastAsia="Times New Roman" w:hAnsi="Times New Roman"/>
          <w:sz w:val="24"/>
          <w:szCs w:val="24"/>
        </w:rPr>
        <w:t xml:space="preserve"> Within the high-confidence-incorrect subsample targeted by the SDM-10, five dominant misconception clusters emerged (inflation mechanics confusion, risk-return reasoning from exceptions, insurance purpose confusion, empathy-driven reasoning, and format-induced errors). These clusters are specific enough to inform targeted instructional interventions. For example, the finding that students who were confident and wrong on Q6 systematically confuse "lower inflation" with "falling prices" (INF-01, the most frequent misconception) suggests that QUIN 102 should dedicate explicit instructional time to distinguishing rate of change from level -- a distinction that is foundational to understanding monetary policy but counter-intuitive to many students. Because the SDM-10 selects for high-Need responses, these misconception rates should not be extrapolated to the full class without adjusting for item-level coverage (see Limitation 2).</w:t>
      </w:r>
    </w:p>
    <w:p>
      <w:pPr>
        <w:spacing w:line="360" w:after="200"/>
      </w:pPr>
      <w:r>
        <w:rPr>
          <w:rFonts w:ascii="Times New Roman" w:cs="Times New Roman" w:eastAsia="Times New Roman" w:hAnsi="Times New Roman"/>
          <w:b/>
          <w:bCs/>
          <w:sz w:val="24"/>
          <w:szCs w:val="24"/>
        </w:rPr>
        <w:t xml:space="preserve">The three-way classification adds diagnostic value beyond MCQ scores.</w:t>
      </w:r>
      <w:r>
        <w:rPr>
          <w:rFonts w:ascii="Times New Roman" w:cs="Times New Roman" w:eastAsia="Times New Roman" w:hAnsi="Times New Roman"/>
          <w:sz w:val="24"/>
          <w:szCs w:val="24"/>
        </w:rPr>
        <w:t xml:space="preserve"> Traditional MCQ instruments classify responses into only two categories (correct/incorrect). The SDM-10's three-way classification (misconception/knowledge gap/selection error for diagnose; verified/partial/likely guess for confirm) provides the diagnostic specificity needed to differentiate students who need conceptual correction from those who need format remediation or foundational instruction. This distinction is not available from the anchor score alone and represents the instrument's primary contribution to measurement methodology in financial literacy evaluation.</w:t>
      </w:r>
    </w:p>
    <w:p>
      <w:pPr>
        <w:spacing w:line="360" w:after="200"/>
      </w:pPr>
      <w:r>
        <w:rPr>
          <w:rFonts w:ascii="Times New Roman" w:cs="Times New Roman" w:eastAsia="Times New Roman" w:hAnsi="Times New Roman"/>
          <w:b/>
          <w:bCs/>
          <w:sz w:val="24"/>
          <w:szCs w:val="24"/>
        </w:rPr>
        <w:t xml:space="preserve">Instructional targeting.</w:t>
      </w:r>
      <w:r>
        <w:rPr>
          <w:rFonts w:ascii="Times New Roman" w:cs="Times New Roman" w:eastAsia="Times New Roman" w:hAnsi="Times New Roman"/>
          <w:sz w:val="24"/>
          <w:szCs w:val="24"/>
        </w:rPr>
        <w:t xml:space="preserve"> The item-level diagnostic data enable prioritized instructional interventions. The following rates are conditional on the SDM-10 trigger (incorrect + high confidence) and reflect the composition of errors within that subsample, not class-wide misconception prevalence. Critical priority targets include inflation mechanics (Q6, Q7), where 79% and 63% of diagnosed responses respectively revealed active misconceptions centered on the rate-versus-level confusion, and health insurance purpose (Q12), where 82% of diagnosed responses reflected the misconception that routine care is the primary function of insurance. High priority targets include risk-return reasoning (Q30, Q35), where the exceptions-disprove-rule pattern indicates a reasoning error about statistical relationships rather than a content knowledge gap, and auto loan factors (Q8), where students recognize individual factors but do not understand their interaction. Items with high selection error rates (Q36, Q9, Q14) require item revision rather than instructional intervention -- the students already understand the material.</w:t>
      </w:r>
    </w:p>
    <w:p>
      <w:pPr>
        <w:spacing w:line="360" w:after="200"/>
      </w:pPr>
      <w:r>
        <w:rPr>
          <w:rFonts w:ascii="Times New Roman" w:cs="Times New Roman" w:eastAsia="Times New Roman" w:hAnsi="Times New Roman"/>
          <w:b/>
          <w:bCs/>
          <w:sz w:val="24"/>
          <w:szCs w:val="24"/>
        </w:rPr>
        <w:t xml:space="preserve">Implications for risk literacy measurement.</w:t>
      </w:r>
      <w:r>
        <w:rPr>
          <w:rFonts w:ascii="Times New Roman" w:cs="Times New Roman" w:eastAsia="Times New Roman" w:hAnsi="Times New Roman"/>
          <w:sz w:val="24"/>
          <w:szCs w:val="24"/>
        </w:rPr>
        <w:t xml:space="preserve"> The instrument's emphasis on risk-related items (diversification, insurance, risk-return tradeoffs, crisis awareness) combined with the SDM-10 diagnostic layer provides a richer assessment of risk literacy than traditional knowledge-only measures. The finding that students can often articulate correct risk reasoning but select wrong answers (particularly on diversification items) suggests that the gap between students' conceptual understanding and their ability to translate that understanding into correct MCQ responses is larger in the risk domain than in other domains.</w:t>
      </w:r>
    </w:p>
    <w:p>
      <w:r>
        <w:br w:type="page"/>
      </w:r>
    </w:p>
    <w:p>
      <w:pPr>
        <w:pStyle w:val="Heading1"/>
        <w:spacing w:before="480" w:after="240"/>
      </w:pPr>
      <w:r>
        <w:rPr>
          <w:rFonts w:ascii="Times New Roman" w:cs="Times New Roman" w:eastAsia="Times New Roman" w:hAnsi="Times New Roman"/>
          <w:sz w:val="24"/>
          <w:szCs w:val="24"/>
        </w:rPr>
        <w:t xml:space="preserve">8. Limitations</w:t>
      </w:r>
    </w:p>
    <w:p>
      <w:pPr>
        <w:spacing w:line="360" w:after="200"/>
      </w:pPr>
      <w:r>
        <w:rPr>
          <w:rFonts w:ascii="Times New Roman" w:cs="Times New Roman" w:eastAsia="Times New Roman" w:hAnsi="Times New Roman"/>
          <w:sz w:val="24"/>
          <w:szCs w:val="24"/>
        </w:rPr>
        <w:t xml:space="preserve">Several limitations should be noted when interpreting these findings.</w:t>
      </w:r>
    </w:p>
    <w:p>
      <w:pPr>
        <w:pStyle w:val="ListParagraph"/>
        <w:numPr>
          <w:ilvl w:val="0"/>
          <w:numId w:val="2"/>
        </w:numPr>
        <w:spacing w:line="360" w:after="100"/>
      </w:pPr>
      <w:r>
        <w:rPr>
          <w:rFonts w:ascii="Times New Roman" w:cs="Times New Roman" w:eastAsia="Times New Roman" w:hAnsi="Times New Roman"/>
          <w:b/>
          <w:bCs/>
          <w:sz w:val="24"/>
          <w:szCs w:val="24"/>
        </w:rPr>
        <w:t xml:space="preserve">No causal claims.</w:t>
      </w:r>
      <w:r>
        <w:rPr>
          <w:rFonts w:ascii="Times New Roman" w:cs="Times New Roman" w:eastAsia="Times New Roman" w:hAnsi="Times New Roman"/>
          <w:sz w:val="24"/>
          <w:szCs w:val="24"/>
        </w:rPr>
        <w:t xml:space="preserve"> This paper reports instrument design and pilot diagnostic outputs from a single pre-course assessment. No causal claims about instructional effectiveness can be made from Paper 1. Causal analysis requires paired pre-post data, which will be reported in Paper 2.</w:t>
      </w:r>
    </w:p>
    <w:p>
      <w:pPr>
        <w:pStyle w:val="ListParagraph"/>
        <w:numPr>
          <w:ilvl w:val="0"/>
          <w:numId w:val="2"/>
        </w:numPr>
        <w:spacing w:line="360" w:after="100"/>
      </w:pPr>
      <w:r>
        <w:rPr>
          <w:rFonts w:ascii="Times New Roman" w:cs="Times New Roman" w:eastAsia="Times New Roman" w:hAnsi="Times New Roman"/>
          <w:b/>
          <w:bCs/>
          <w:sz w:val="24"/>
          <w:szCs w:val="24"/>
        </w:rPr>
        <w:t xml:space="preserve">SDM subsample conditioning.</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or correct + low confidence). Misconception prevalence estimates reflect the tails of the confidence-accuracy distribution, not a random cross-section. Per-item coverage ranges from approximately 20% (Q32) to 90% (Q7). Extrapolation to the full cohort is only appropriate when item-level coverage exceeds 50%.</w:t>
      </w:r>
    </w:p>
    <w:p>
      <w:pPr>
        <w:pStyle w:val="ListParagraph"/>
        <w:numPr>
          <w:ilvl w:val="0"/>
          <w:numId w:val="2"/>
        </w:numPr>
        <w:spacing w:line="360" w:after="100"/>
      </w:pPr>
      <w:r>
        <w:rPr>
          <w:rFonts w:ascii="Times New Roman" w:cs="Times New Roman" w:eastAsia="Times New Roman" w:hAnsi="Times New Roman"/>
          <w:b/>
          <w:bCs/>
          <w:sz w:val="24"/>
          <w:szCs w:val="24"/>
        </w:rPr>
        <w:t xml:space="preserve">Single scoring model.</w:t>
      </w:r>
      <w:r>
        <w:rPr>
          <w:rFonts w:ascii="Times New Roman" w:cs="Times New Roman" w:eastAsia="Times New Roman" w:hAnsi="Times New Roman"/>
          <w:sz w:val="24"/>
          <w:szCs w:val="24"/>
        </w:rPr>
        <w:t xml:space="preserve"> All open-ended responses were classified by a single LLM (GPT-4.1). While the model was selected through an 11-model concordance protocol (Appendix D) and achieved zero schema violations and zero parse errors across the 778 scored consented responses, automated classification may diverge from human judgment on borderline cases. The model assigned "high" confidence to 96.8% of classifications, which may indicate underutilization of the uncertainty channel. A human-AI agreement study on a stratified subsample would strengthen reliability evidence.</w:t>
      </w:r>
    </w:p>
    <w:p>
      <w:pPr>
        <w:pStyle w:val="ListParagraph"/>
        <w:numPr>
          <w:ilvl w:val="0"/>
          <w:numId w:val="2"/>
        </w:numPr>
        <w:spacing w:line="360" w:after="100"/>
      </w:pPr>
      <w:r>
        <w:rPr>
          <w:rFonts w:ascii="Times New Roman" w:cs="Times New Roman" w:eastAsia="Times New Roman" w:hAnsi="Times New Roman"/>
          <w:b/>
          <w:bCs/>
          <w:sz w:val="24"/>
          <w:szCs w:val="24"/>
        </w:rPr>
        <w:t xml:space="preserve">No publishable subgroup claims.</w:t>
      </w:r>
      <w:r>
        <w:rPr>
          <w:rFonts w:ascii="Times New Roman" w:cs="Times New Roman" w:eastAsia="Times New Roman" w:hAnsi="Times New Roman"/>
          <w:sz w:val="24"/>
          <w:szCs w:val="24"/>
        </w:rPr>
        <w:t xml:space="preserve"> The pre-course assessment collected demographic and financial background data, but subgroup analyses (e.g., by gender, race/ethnicity, first-generation status) are deferred to Paper 2. We plan to submit an IRB application for human-subjects research; until approval is obtained, no subgroup comparisons or inferential claims are reported.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Possible lookup between anchor and SDM.</w:t>
      </w:r>
      <w:r>
        <w:rPr>
          <w:rFonts w:ascii="Times New Roman" w:cs="Times New Roman" w:eastAsia="Times New Roman" w:hAnsi="Times New Roman"/>
          <w:sz w:val="24"/>
          <w:szCs w:val="24"/>
        </w:rPr>
        <w:t xml:space="preserve"> The SDM-10 is administered immediately after the anchor assessment in the same session. Students may look up answers between the anchor and SDM items, potentially inflating SDM scores. The 100% SDM completion rate and the lower SDM mean score (64.4% vs. 67.0% anchor) provide some evidence against widespread lookup behavior, but the possibility cannot be excluded.</w:t>
      </w:r>
    </w:p>
    <w:p>
      <w:pPr>
        <w:pStyle w:val="ListParagraph"/>
        <w:numPr>
          <w:ilvl w:val="0"/>
          <w:numId w:val="2"/>
        </w:numPr>
        <w:spacing w:line="360" w:after="100"/>
      </w:pPr>
      <w:r>
        <w:rPr>
          <w:rFonts w:ascii="Times New Roman" w:cs="Times New Roman" w:eastAsia="Times New Roman" w:hAnsi="Times New Roman"/>
          <w:b/>
          <w:bCs/>
          <w:sz w:val="24"/>
          <w:szCs w:val="24"/>
        </w:rPr>
        <w:t xml:space="preserve">Consent attrition.</w:t>
      </w:r>
      <w:r>
        <w:rPr>
          <w:rFonts w:ascii="Times New Roman" w:cs="Times New Roman" w:eastAsia="Times New Roman" w:hAnsi="Times New Roman"/>
          <w:sz w:val="24"/>
          <w:szCs w:val="24"/>
        </w:rPr>
        <w:t xml:space="preserve"> Seventy-seven students (17.9% of the cohort) have NULL consent status because they completed the assessment before the research consent screen was deployed. Zero students explicitly declined. The NULL cohort is excluded from all research analyses per standard practice (absence of affirmative consent is treated as non-consent). A representativeness check (Section 5.3) shows the consented sample is similar to the full cohort on score distribution and classification distributions, so consent-related selection bias is unlikely. However, the reduction from 431 to 354 students slightly reduces statistical power for item-level analyses with small cell sizes.</w:t>
      </w:r>
    </w:p>
    <w:p>
      <w:pPr>
        <w:pStyle w:val="ListParagraph"/>
        <w:numPr>
          <w:ilvl w:val="0"/>
          <w:numId w:val="2"/>
        </w:numPr>
        <w:spacing w:line="360" w:after="100"/>
      </w:pPr>
      <w:r>
        <w:rPr>
          <w:rFonts w:ascii="Times New Roman" w:cs="Times New Roman" w:eastAsia="Times New Roman" w:hAnsi="Times New Roman"/>
          <w:b/>
          <w:bCs/>
          <w:sz w:val="24"/>
          <w:szCs w:val="24"/>
        </w:rPr>
        <w:t xml:space="preserve">Legacy submission types.</w:t>
      </w:r>
      <w:r>
        <w:rPr>
          <w:rFonts w:ascii="Times New Roman" w:cs="Times New Roman" w:eastAsia="Times New Roman" w:hAnsi="Times New Roman"/>
          <w:sz w:val="24"/>
          <w:szCs w:val="24"/>
        </w:rPr>
        <w:t xml:space="preserve"> Legacy submission types resulting from technical adjustments during the first days of the assessment window account for approximately 20% of submissions. These were reviewed and retained but may affect comparability for a subset of respondents.</w:t>
      </w:r>
    </w:p>
    <w:p>
      <w:pPr>
        <w:pStyle w:val="ListParagraph"/>
        <w:numPr>
          <w:ilvl w:val="0"/>
          <w:numId w:val="2"/>
        </w:numPr>
        <w:spacing w:line="360" w:after="100"/>
      </w:pPr>
      <w:r>
        <w:rPr>
          <w:rFonts w:ascii="Times New Roman" w:cs="Times New Roman" w:eastAsia="Times New Roman" w:hAnsi="Times New Roman"/>
          <w:b/>
          <w:bCs/>
          <w:sz w:val="24"/>
          <w:szCs w:val="24"/>
        </w:rPr>
        <w:t xml:space="preserve">Variant assignment mismatch.</w:t>
      </w:r>
      <w:r>
        <w:rPr>
          <w:rFonts w:ascii="Times New Roman" w:cs="Times New Roman" w:eastAsia="Times New Roman" w:hAnsi="Times New Roman"/>
          <w:sz w:val="24"/>
          <w:szCs w:val="24"/>
        </w:rPr>
        <w:t xml:space="preserve"> A software defect caused 40 mismatched SDM variant assignments across 36 students due to a stale anchor score synchronization issue. The mismatched responses were identified and filtered from the analysis using an anchor_score and confidence cross-check. The bug was subsequently fixed, and the misconception taxonomy is unaffected because all analyzed responses were verified to correspond to correctly triggered variants.</w:t>
      </w:r>
    </w:p>
    <w:p>
      <w:pPr>
        <w:pStyle w:val="ListParagraph"/>
        <w:numPr>
          <w:ilvl w:val="0"/>
          <w:numId w:val="2"/>
        </w:numPr>
        <w:spacing w:line="360" w:after="100"/>
      </w:pPr>
      <w:r>
        <w:rPr>
          <w:rFonts w:ascii="Times New Roman" w:cs="Times New Roman" w:eastAsia="Times New Roman" w:hAnsi="Times New Roman"/>
          <w:b/>
          <w:bCs/>
          <w:sz w:val="24"/>
          <w:szCs w:val="24"/>
        </w:rPr>
        <w:t xml:space="preserve">Default consent selection.</w:t>
      </w:r>
      <w:r>
        <w:rPr>
          <w:rFonts w:ascii="Times New Roman" w:cs="Times New Roman" w:eastAsia="Times New Roman" w:hAnsi="Times New Roman"/>
          <w:sz w:val="24"/>
          <w:szCs w:val="24"/>
        </w:rPr>
        <w:t xml:space="preserve"> The research consent screen presented "Yes, I consent" as the default selection. While zero students explicitly declined, the default-yes design may have inflated the consent rate through status quo bias. The consent rate (82.1%) should be interpreted with this limitation in mind. Paper 2 will use a forced active choice design with no default selection.</w:t>
      </w:r>
    </w:p>
    <w:p>
      <w:r>
        <w:br w:type="page"/>
      </w:r>
    </w:p>
    <w:p>
      <w:pPr>
        <w:pStyle w:val="Heading1"/>
        <w:spacing w:before="480" w:after="240"/>
      </w:pPr>
      <w:r>
        <w:rPr>
          <w:rFonts w:ascii="Times New Roman" w:cs="Times New Roman" w:eastAsia="Times New Roman" w:hAnsi="Times New Roman"/>
          <w:sz w:val="24"/>
          <w:szCs w:val="24"/>
        </w:rPr>
        <w:t xml:space="preserve">9. Planned Validation Study (Paper 2 Protocol Preview)</w:t>
      </w:r>
    </w:p>
    <w:p>
      <w:pPr>
        <w:spacing w:line="360" w:after="200"/>
      </w:pPr>
      <w:r>
        <w:rPr>
          <w:rFonts w:ascii="Times New Roman" w:cs="Times New Roman" w:eastAsia="Times New Roman" w:hAnsi="Times New Roman"/>
          <w:b/>
          <w:bCs/>
          <w:sz w:val="24"/>
          <w:szCs w:val="24"/>
        </w:rPr>
        <w:t xml:space="preserve">Scope boundary.</w:t>
      </w:r>
      <w:r>
        <w:rPr>
          <w:rFonts w:ascii="Times New Roman" w:cs="Times New Roman" w:eastAsia="Times New Roman" w:hAnsi="Times New Roman"/>
          <w:sz w:val="24"/>
          <w:szCs w:val="24"/>
        </w:rPr>
        <w:t xml:space="preserve"> This independent study paper documents instrument and platform development and pilot operations. Confirmatory evaluation and publishable analyses are planned for a subsequent IRB-reviewed study. Nothing in this section should be read as asserting that IRB approval has been obtained or that the described analyses will necessarily be conducted.</w:t>
      </w:r>
    </w:p>
    <w:p>
      <w:pPr>
        <w:pStyle w:val="Heading2"/>
        <w:spacing w:before="360" w:after="180"/>
      </w:pPr>
      <w:r>
        <w:rPr>
          <w:rFonts w:ascii="Times New Roman" w:cs="Times New Roman" w:eastAsia="Times New Roman" w:hAnsi="Times New Roman"/>
          <w:sz w:val="24"/>
          <w:szCs w:val="24"/>
        </w:rPr>
        <w:t xml:space="preserve">9.1 How Paper 1 Informs the Planned Study</w:t>
      </w:r>
    </w:p>
    <w:p>
      <w:pPr>
        <w:spacing w:line="360" w:after="200"/>
      </w:pPr>
      <w:r>
        <w:rPr>
          <w:rFonts w:ascii="Times New Roman" w:cs="Times New Roman" w:eastAsia="Times New Roman" w:hAnsi="Times New Roman"/>
          <w:sz w:val="24"/>
          <w:szCs w:val="24"/>
        </w:rPr>
        <w:t xml:space="preserve">The pilot deployment reported in Sections 4--6 produced several outputs that directly shape the Paper 2 design:</w:t>
      </w:r>
    </w:p>
    <w:p>
      <w:pPr>
        <w:pStyle w:val="ListParagraph"/>
        <w:numPr>
          <w:ilvl w:val="0"/>
          <w:numId w:val="3"/>
        </w:numPr>
        <w:spacing w:line="360" w:after="100"/>
      </w:pPr>
      <w:r>
        <w:rPr>
          <w:rFonts w:ascii="Times New Roman" w:cs="Times New Roman" w:eastAsia="Times New Roman" w:hAnsi="Times New Roman"/>
          <w:b/>
          <w:bCs/>
          <w:sz w:val="24"/>
          <w:szCs w:val="24"/>
        </w:rPr>
        <w:t xml:space="preserve">Instrument revision targets.</w:t>
      </w:r>
      <w:r>
        <w:rPr>
          <w:rFonts w:ascii="Times New Roman" w:cs="Times New Roman" w:eastAsia="Times New Roman" w:hAnsi="Times New Roman"/>
          <w:sz w:val="24"/>
          <w:szCs w:val="24"/>
        </w:rPr>
        <w:t xml:space="preserve"> The SDM-10 diagnostic findings identified items requiring revision before the post-assessment. Q36 (81% selection error) will be rewritten in multiple-choice format; Q10's "which is FALSE" framing will be reconsidered; and items with high guess rates (Q32, Q29) will receive improved distractor sets. These revisions will be completed before the post-assessment window.</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 taxonomy as outcome framework.</w:t>
      </w:r>
      <w:r>
        <w:rPr>
          <w:rFonts w:ascii="Times New Roman" w:cs="Times New Roman" w:eastAsia="Times New Roman" w:hAnsi="Times New Roman"/>
          <w:sz w:val="24"/>
          <w:szCs w:val="24"/>
        </w:rPr>
        <w:t xml:space="preserve"> The 62-entry misconception taxonomy (Appendix C) provides a pre-registered coding scheme for the post-assessment open-ended responses, enabling direct pre-post comparison of misconception prevalence within specific clusters.</w:t>
      </w:r>
    </w:p>
    <w:p>
      <w:pPr>
        <w:pStyle w:val="ListParagraph"/>
        <w:numPr>
          <w:ilvl w:val="0"/>
          <w:numId w:val="3"/>
        </w:numPr>
        <w:spacing w:line="360" w:after="100"/>
      </w:pPr>
      <w:r>
        <w:rPr>
          <w:rFonts w:ascii="Times New Roman" w:cs="Times New Roman" w:eastAsia="Times New Roman" w:hAnsi="Times New Roman"/>
          <w:b/>
          <w:bCs/>
          <w:sz w:val="24"/>
          <w:szCs w:val="24"/>
        </w:rPr>
        <w:t xml:space="preserve">Governance and consent infrastructure.</w:t>
      </w:r>
      <w:r>
        <w:rPr>
          <w:rFonts w:ascii="Times New Roman" w:cs="Times New Roman" w:eastAsia="Times New Roman" w:hAnsi="Times New Roman"/>
          <w:sz w:val="24"/>
          <w:szCs w:val="24"/>
        </w:rPr>
        <w:t xml:space="preserve"> The consent mechanics, data minimization architecture, and privacy-preserving authentication documented in Section 5 will carry forward unchanged, ensuring consistent data governance across both assessments.</w:t>
      </w:r>
    </w:p>
    <w:p>
      <w:pPr>
        <w:pStyle w:val="ListParagraph"/>
        <w:numPr>
          <w:ilvl w:val="0"/>
          <w:numId w:val="3"/>
        </w:numPr>
        <w:spacing w:line="360" w:after="100"/>
      </w:pPr>
      <w:r>
        <w:rPr>
          <w:rFonts w:ascii="Times New Roman" w:cs="Times New Roman" w:eastAsia="Times New Roman" w:hAnsi="Times New Roman"/>
          <w:b/>
          <w:bCs/>
          <w:sz w:val="24"/>
          <w:szCs w:val="24"/>
        </w:rPr>
        <w:t xml:space="preserve">Baseline coverage estimates.</w:t>
      </w:r>
      <w:r>
        <w:rPr>
          <w:rFonts w:ascii="Times New Roman" w:cs="Times New Roman" w:eastAsia="Times New Roman" w:hAnsi="Times New Roman"/>
          <w:sz w:val="24"/>
          <w:szCs w:val="24"/>
        </w:rPr>
        <w:t xml:space="preserve"> Item-level SDM coverage rates (Table 4.5) inform the statistical power available for pre-post misconception comparisons. Items with coverage below 30% may require alternative analysis strategies.</w:t>
      </w:r>
    </w:p>
    <w:p>
      <w:pPr>
        <w:pStyle w:val="Heading2"/>
        <w:spacing w:before="360" w:after="180"/>
      </w:pPr>
      <w:r>
        <w:rPr>
          <w:rFonts w:ascii="Times New Roman" w:cs="Times New Roman" w:eastAsia="Times New Roman" w:hAnsi="Times New Roman"/>
          <w:sz w:val="24"/>
          <w:szCs w:val="24"/>
        </w:rPr>
        <w:t xml:space="preserve">9.2 Planned Study Design</w:t>
      </w:r>
    </w:p>
    <w:p>
      <w:pPr>
        <w:spacing w:line="360" w:after="200"/>
      </w:pPr>
      <w:r>
        <w:rPr>
          <w:rFonts w:ascii="Times New Roman" w:cs="Times New Roman" w:eastAsia="Times New Roman" w:hAnsi="Times New Roman"/>
          <w:sz w:val="24"/>
          <w:szCs w:val="24"/>
        </w:rPr>
        <w:t xml:space="preserve">We plan to submit an IRB application to Loyola University Chicago to evaluate the association between QUIN 102 instruction and changes in student financial literacy. If approved, the following analyses are planned: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Post-course assessment administration.</w:t>
      </w:r>
      <w:r>
        <w:rPr>
          <w:rFonts w:ascii="Times New Roman" w:cs="Times New Roman" w:eastAsia="Times New Roman" w:hAnsi="Times New Roman"/>
          <w:sz w:val="24"/>
          <w:szCs w:val="24"/>
        </w:rPr>
        <w:t xml:space="preserve"> The post-course assessment will be administered during the last week of the Spring 2026 semester, using the same 40-item anchor assessment and SDM-10 module. If approved, the post-assessment will include an IRB-reviewed consent process for human-subjects research.</w:t>
      </w:r>
    </w:p>
    <w:p>
      <w:pPr>
        <w:pStyle w:val="ListParagraph"/>
        <w:numPr>
          <w:ilvl w:val="0"/>
          <w:numId w:val="2"/>
        </w:numPr>
        <w:spacing w:line="360" w:after="100"/>
      </w:pPr>
      <w:r>
        <w:rPr>
          <w:rFonts w:ascii="Times New Roman" w:cs="Times New Roman" w:eastAsia="Times New Roman" w:hAnsi="Times New Roman"/>
          <w:b/>
          <w:bCs/>
          <w:sz w:val="24"/>
          <w:szCs w:val="24"/>
        </w:rPr>
        <w:t xml:space="preserve">Pre-post paired analyses.</w:t>
      </w:r>
      <w:r>
        <w:rPr>
          <w:rFonts w:ascii="Times New Roman" w:cs="Times New Roman" w:eastAsia="Times New Roman" w:hAnsi="Times New Roman"/>
          <w:sz w:val="24"/>
          <w:szCs w:val="24"/>
        </w:rPr>
        <w:t xml:space="preserve"> Learning gains will be computed as the difference between post-course and pre-course scores for each student, overall and by domain. Paired t-tests (or nonparametric equivalents) will assess the statistical significance of mean gains. Standardized effect sizes (within-student Cohen's d) will be reported.</w:t>
      </w:r>
    </w:p>
    <w:p>
      <w:pPr>
        <w:pStyle w:val="ListParagraph"/>
        <w:numPr>
          <w:ilvl w:val="0"/>
          <w:numId w:val="2"/>
        </w:numPr>
        <w:spacing w:line="360" w:after="100"/>
      </w:pPr>
      <w:r>
        <w:rPr>
          <w:rFonts w:ascii="Times New Roman" w:cs="Times New Roman" w:eastAsia="Times New Roman" w:hAnsi="Times New Roman"/>
          <w:b/>
          <w:bCs/>
          <w:sz w:val="24"/>
          <w:szCs w:val="24"/>
        </w:rPr>
        <w:t xml:space="preserve">Multivariable regression.</w:t>
      </w:r>
      <w:r>
        <w:rPr>
          <w:rFonts w:ascii="Times New Roman" w:cs="Times New Roman" w:eastAsia="Times New Roman" w:hAnsi="Times New Roman"/>
          <w:sz w:val="24"/>
          <w:szCs w:val="24"/>
        </w:rPr>
        <w:t xml:space="preserve"> Heterogeneity in learning gains will be modeled as a function of baseline covariates, including demographics, financial background, work status, financial stress, self-rated knowledge, prior product experience, and preference-item responses (Q15--Q28). Domain-specific models will identify whether predictors of learning gains differ across borrowing, investment, and risk management.</w:t>
      </w:r>
    </w:p>
    <w:p>
      <w:pPr>
        <w:pStyle w:val="ListParagraph"/>
        <w:numPr>
          <w:ilvl w:val="0"/>
          <w:numId w:val="2"/>
        </w:numPr>
        <w:spacing w:line="360" w:after="100"/>
      </w:pPr>
      <w:r>
        <w:rPr>
          <w:rFonts w:ascii="Times New Roman" w:cs="Times New Roman" w:eastAsia="Times New Roman" w:hAnsi="Times New Roman"/>
          <w:b/>
          <w:bCs/>
          <w:sz w:val="24"/>
          <w:szCs w:val="24"/>
        </w:rPr>
        <w:t xml:space="preserve">Psychometric validation.</w:t>
      </w:r>
      <w:r>
        <w:rPr>
          <w:rFonts w:ascii="Times New Roman" w:cs="Times New Roman" w:eastAsia="Times New Roman" w:hAnsi="Times New Roman"/>
          <w:sz w:val="24"/>
          <w:szCs w:val="24"/>
        </w:rPr>
        <w:t xml:space="preserve"> Exploratory Factor Analysis will assess dimensionality within and across domains. Cronbach's alpha will evaluate internal consistency. Item-level statistics will identify items for refinement in future administrations.</w:t>
      </w:r>
    </w:p>
    <w:p>
      <w:pPr>
        <w:pStyle w:val="ListParagraph"/>
        <w:numPr>
          <w:ilvl w:val="0"/>
          <w:numId w:val="2"/>
        </w:numPr>
        <w:spacing w:line="360" w:after="100"/>
      </w:pPr>
      <w:r>
        <w:rPr>
          <w:rFonts w:ascii="Times New Roman" w:cs="Times New Roman" w:eastAsia="Times New Roman" w:hAnsi="Times New Roman"/>
          <w:b/>
          <w:bCs/>
          <w:sz w:val="24"/>
          <w:szCs w:val="24"/>
        </w:rPr>
        <w:t xml:space="preserve">Subgroup analyses.</w:t>
      </w:r>
      <w:r>
        <w:rPr>
          <w:rFonts w:ascii="Times New Roman" w:cs="Times New Roman" w:eastAsia="Times New Roman" w:hAnsi="Times New Roman"/>
          <w:sz w:val="24"/>
          <w:szCs w:val="24"/>
        </w:rPr>
        <w:t xml:space="preserve"> If IRB-approved, demographic and financial background subgroup comparisons (by gender, race/ethnicity, first-generation status, work experience, financial stress) will be reported with appropriate transparency practices for multiple comparisons.</w:t>
      </w:r>
    </w:p>
    <w:p>
      <w:pPr>
        <w:pStyle w:val="ListParagraph"/>
        <w:numPr>
          <w:ilvl w:val="0"/>
          <w:numId w:val="2"/>
        </w:numPr>
        <w:spacing w:line="360" w:after="100"/>
      </w:pPr>
      <w:r>
        <w:rPr>
          <w:rFonts w:ascii="Times New Roman" w:cs="Times New Roman" w:eastAsia="Times New Roman" w:hAnsi="Times New Roman"/>
          <w:b/>
          <w:bCs/>
          <w:sz w:val="24"/>
          <w:szCs w:val="24"/>
        </w:rPr>
        <w:t xml:space="preserve">SDM-10 pre-post comparison.</w:t>
      </w:r>
      <w:r>
        <w:rPr>
          <w:rFonts w:ascii="Times New Roman" w:cs="Times New Roman" w:eastAsia="Times New Roman" w:hAnsi="Times New Roman"/>
          <w:sz w:val="24"/>
          <w:szCs w:val="24"/>
        </w:rPr>
        <w:t xml:space="preserve"> Pre-post changes in misconception prevalence, selection error rates, and the distribution of three-way classifications will be analyzed to assess whether instruction reduces specific misconception clusters and improves the alignment between student knowledge and item responses. Paper 2 will pre-specify which misconception codes from the taxonomy are expected to change, based on QUIN 102 curriculum coverage.</w:t>
      </w:r>
    </w:p>
    <w:p>
      <w:pPr>
        <w:pStyle w:val="Heading2"/>
        <w:spacing w:before="360" w:after="180"/>
      </w:pPr>
      <w:r>
        <w:rPr>
          <w:rFonts w:ascii="Times New Roman" w:cs="Times New Roman" w:eastAsia="Times New Roman" w:hAnsi="Times New Roman"/>
          <w:sz w:val="24"/>
          <w:szCs w:val="24"/>
        </w:rPr>
        <w:t xml:space="preserve">9.3 Consent and Privacy</w:t>
      </w:r>
    </w:p>
    <w:p>
      <w:pPr>
        <w:spacing w:line="360" w:after="200"/>
      </w:pPr>
      <w:r>
        <w:rPr>
          <w:rFonts w:ascii="Times New Roman" w:cs="Times New Roman" w:eastAsia="Times New Roman" w:hAnsi="Times New Roman"/>
          <w:sz w:val="24"/>
          <w:szCs w:val="24"/>
        </w:rPr>
        <w:t xml:space="preserve">The publishable evaluation will be conducted only on IRB-consented data. The existing consent infrastructure (Section 5.3) separates instructional use from research use; this separation will be maintained in the post-assessment. All student data will remain de-identified using the one-way hashing architecture described in Section 5.2. No raw student identifiers will appear in any dataset or publication.</w:t>
      </w:r>
    </w:p>
    <w:p>
      <w:pPr>
        <w:spacing w:line="360" w:after="200"/>
      </w:pPr>
      <w:r>
        <w:rPr>
          <w:rFonts w:ascii="Times New Roman" w:cs="Times New Roman" w:eastAsia="Times New Roman" w:hAnsi="Times New Roman"/>
          <w:b/>
          <w:bCs/>
          <w:sz w:val="24"/>
          <w:szCs w:val="24"/>
        </w:rPr>
        <w:t xml:space="preserve">Suppression rules.</w:t>
      </w:r>
      <w:r>
        <w:rPr>
          <w:rFonts w:ascii="Times New Roman" w:cs="Times New Roman" w:eastAsia="Times New Roman" w:hAnsi="Times New Roman"/>
          <w:sz w:val="24"/>
          <w:szCs w:val="24"/>
        </w:rPr>
        <w:t xml:space="preserve"> To protect student privacy in subgroup analyses, Paper 2 will suppress any demographic cell with fewer than 10 observations. Intersectional cells (e.g., gender x race/ethnicity) that fall below this threshold will be reported only in aggregate or omitted. These thresholds follow standard practices for small-sample educational research and are consistent with FERPA de-identification guidance.</w:t>
      </w:r>
    </w:p>
    <w:p>
      <w:pPr>
        <w:pStyle w:val="Heading2"/>
        <w:spacing w:before="360" w:after="180"/>
      </w:pPr>
      <w:r>
        <w:rPr>
          <w:rFonts w:ascii="Times New Roman" w:cs="Times New Roman" w:eastAsia="Times New Roman" w:hAnsi="Times New Roman"/>
          <w:sz w:val="24"/>
          <w:szCs w:val="24"/>
        </w:rPr>
        <w:t xml:space="preserve">9.4 Intended Use and Prohibited Use</w:t>
      </w:r>
    </w:p>
    <w:p>
      <w:pPr>
        <w:spacing w:line="360" w:after="200"/>
      </w:pPr>
      <w:r>
        <w:rPr>
          <w:rFonts w:ascii="Times New Roman" w:cs="Times New Roman" w:eastAsia="Times New Roman" w:hAnsi="Times New Roman"/>
          <w:sz w:val="24"/>
          <w:szCs w:val="24"/>
        </w:rPr>
        <w:t xml:space="preserve">The instrument and platform described in this paper are designed for educational assessment and learning outcome measurement within QUIN 102. The following uses are intended and supported:</w:t>
      </w:r>
    </w:p>
    <w:p>
      <w:pPr>
        <w:pStyle w:val="ListParagraph"/>
        <w:numPr>
          <w:ilvl w:val="0"/>
          <w:numId w:val="3"/>
        </w:numPr>
        <w:spacing w:line="360" w:after="100"/>
      </w:pPr>
      <w:r>
        <w:rPr>
          <w:rFonts w:ascii="Times New Roman" w:cs="Times New Roman" w:eastAsia="Times New Roman" w:hAnsi="Times New Roman"/>
          <w:sz w:val="24"/>
          <w:szCs w:val="24"/>
        </w:rPr>
        <w:t xml:space="preserve">Pre-post measurement of financial literacy knowledge gains</w:t>
      </w:r>
    </w:p>
    <w:p>
      <w:pPr>
        <w:pStyle w:val="ListParagraph"/>
        <w:numPr>
          <w:ilvl w:val="0"/>
          <w:numId w:val="3"/>
        </w:numPr>
        <w:spacing w:line="360" w:after="100"/>
      </w:pPr>
      <w:r>
        <w:rPr>
          <w:rFonts w:ascii="Times New Roman" w:cs="Times New Roman" w:eastAsia="Times New Roman" w:hAnsi="Times New Roman"/>
          <w:sz w:val="24"/>
          <w:szCs w:val="24"/>
        </w:rPr>
        <w:t xml:space="preserve">Identification of domain-specific misconceptions for instructional targeting</w:t>
      </w:r>
    </w:p>
    <w:p>
      <w:pPr>
        <w:pStyle w:val="ListParagraph"/>
        <w:numPr>
          <w:ilvl w:val="0"/>
          <w:numId w:val="3"/>
        </w:numPr>
        <w:spacing w:line="360" w:after="100"/>
      </w:pPr>
      <w:r>
        <w:rPr>
          <w:rFonts w:ascii="Times New Roman" w:cs="Times New Roman" w:eastAsia="Times New Roman" w:hAnsi="Times New Roman"/>
          <w:sz w:val="24"/>
          <w:szCs w:val="24"/>
        </w:rPr>
        <w:t xml:space="preserve">Adaptive diagnostic follow-up for students with confidence-accuracy misalignment</w:t>
      </w:r>
    </w:p>
    <w:p>
      <w:pPr>
        <w:spacing w:line="360" w:after="200"/>
      </w:pPr>
      <w:r>
        <w:rPr>
          <w:rFonts w:ascii="Times New Roman" w:cs="Times New Roman" w:eastAsia="Times New Roman" w:hAnsi="Times New Roman"/>
          <w:sz w:val="24"/>
          <w:szCs w:val="24"/>
        </w:rPr>
        <w:t xml:space="preserve">The following uses are explicitly outside the scope of this instrument and are not supported by the evidence presented:</w:t>
      </w:r>
    </w:p>
    <w:p>
      <w:pPr>
        <w:pStyle w:val="ListParagraph"/>
        <w:numPr>
          <w:ilvl w:val="0"/>
          <w:numId w:val="3"/>
        </w:numPr>
        <w:spacing w:line="360" w:after="100"/>
      </w:pPr>
      <w:r>
        <w:rPr>
          <w:rFonts w:ascii="Times New Roman" w:cs="Times New Roman" w:eastAsia="Times New Roman" w:hAnsi="Times New Roman"/>
          <w:sz w:val="24"/>
          <w:szCs w:val="24"/>
        </w:rPr>
        <w:t xml:space="preserve">Credit, lending, or financial eligibility decisions</w:t>
      </w:r>
    </w:p>
    <w:p>
      <w:pPr>
        <w:pStyle w:val="ListParagraph"/>
        <w:numPr>
          <w:ilvl w:val="0"/>
          <w:numId w:val="3"/>
        </w:numPr>
        <w:spacing w:line="360" w:after="100"/>
      </w:pPr>
      <w:r>
        <w:rPr>
          <w:rFonts w:ascii="Times New Roman" w:cs="Times New Roman" w:eastAsia="Times New Roman" w:hAnsi="Times New Roman"/>
          <w:sz w:val="24"/>
          <w:szCs w:val="24"/>
        </w:rPr>
        <w:t xml:space="preserve">Employment screening or hiring decisions</w:t>
      </w:r>
    </w:p>
    <w:p>
      <w:pPr>
        <w:pStyle w:val="ListParagraph"/>
        <w:numPr>
          <w:ilvl w:val="0"/>
          <w:numId w:val="3"/>
        </w:numPr>
        <w:spacing w:line="360" w:after="100"/>
      </w:pPr>
      <w:r>
        <w:rPr>
          <w:rFonts w:ascii="Times New Roman" w:cs="Times New Roman" w:eastAsia="Times New Roman" w:hAnsi="Times New Roman"/>
          <w:sz w:val="24"/>
          <w:szCs w:val="24"/>
        </w:rPr>
        <w:t xml:space="preserve">High-stakes individual assessment with consequences beyond course feedback</w:t>
      </w:r>
    </w:p>
    <w:p>
      <w:pPr>
        <w:pStyle w:val="ListParagraph"/>
        <w:numPr>
          <w:ilvl w:val="0"/>
          <w:numId w:val="3"/>
        </w:numPr>
        <w:spacing w:line="360" w:after="100"/>
      </w:pPr>
      <w:r>
        <w:rPr>
          <w:rFonts w:ascii="Times New Roman" w:cs="Times New Roman" w:eastAsia="Times New Roman" w:hAnsi="Times New Roman"/>
          <w:sz w:val="24"/>
          <w:szCs w:val="24"/>
        </w:rPr>
        <w:t xml:space="preserve">Population-level claims about financial literacy without appropriate sampling</w:t>
      </w:r>
    </w:p>
    <w:p>
      <w:pPr>
        <w:spacing w:line="360" w:after="200"/>
      </w:pPr>
      <w:r>
        <w:rPr>
          <w:rFonts w:ascii="Times New Roman" w:cs="Times New Roman" w:eastAsia="Times New Roman" w:hAnsi="Times New Roman"/>
          <w:sz w:val="24"/>
          <w:szCs w:val="24"/>
        </w:rPr>
        <w:t xml:space="preserve">Paper 2 will combine the pre-course baseline with post-course results, learning gains analysis, heterogeneity models, and psychometric validation into a comprehensive evaluation of QUIN 102's association with student financial literacy outcomes -- contingent on IRB approval and successful post-assessment administration.</w:t>
      </w:r>
    </w:p>
    <w:p>
      <w:r>
        <w:br w:type="page"/>
      </w:r>
    </w:p>
    <w:p>
      <w:pPr>
        <w:pStyle w:val="Heading1"/>
        <w:spacing w:before="480" w:after="240"/>
      </w:pPr>
      <w:r>
        <w:rPr>
          <w:rFonts w:ascii="Times New Roman" w:cs="Times New Roman" w:eastAsia="Times New Roman" w:hAnsi="Times New Roman"/>
          <w:sz w:val="24"/>
          <w:szCs w:val="24"/>
        </w:rPr>
        <w:t xml:space="preserve">References</w:t>
      </w:r>
    </w:p>
    <w:p>
      <w:pPr>
        <w:spacing w:line="360" w:after="200"/>
      </w:pPr>
      <w:r>
        <w:rPr>
          <w:rFonts w:ascii="Times New Roman" w:cs="Times New Roman" w:eastAsia="Times New Roman" w:hAnsi="Times New Roman"/>
          <w:sz w:val="24"/>
          <w:szCs w:val="24"/>
        </w:rPr>
        <w:t xml:space="preserve">Akers, B., &amp; Chingos, M. M. (2014). </w:t>
      </w:r>
      <w:r>
        <w:rPr>
          <w:rFonts w:ascii="Times New Roman" w:cs="Times New Roman" w:eastAsia="Times New Roman" w:hAnsi="Times New Roman"/>
          <w:i/>
          <w:iCs/>
          <w:sz w:val="24"/>
          <w:szCs w:val="24"/>
        </w:rPr>
        <w:t xml:space="preserve">Are college students borrowing blindly?</w:t>
      </w:r>
      <w:r>
        <w:rPr>
          <w:rFonts w:ascii="Times New Roman" w:cs="Times New Roman" w:eastAsia="Times New Roman" w:hAnsi="Times New Roman"/>
          <w:sz w:val="24"/>
          <w:szCs w:val="24"/>
        </w:rPr>
        <w:t xml:space="preserve"> Brookings Institution.</w:t>
      </w:r>
    </w:p>
    <w:p>
      <w:pPr>
        <w:spacing w:line="360" w:after="200"/>
      </w:pPr>
      <w:r>
        <w:rPr>
          <w:rFonts w:ascii="Times New Roman" w:cs="Times New Roman" w:eastAsia="Times New Roman" w:hAnsi="Times New Roman"/>
          <w:sz w:val="24"/>
          <w:szCs w:val="24"/>
        </w:rPr>
        <w:t xml:space="preserve">Allgood, S., &amp; Walstad, W. B. (2016). The effects of perceived and actual financial literacy on financial behaviors. </w:t>
      </w:r>
      <w:r>
        <w:rPr>
          <w:rFonts w:ascii="Times New Roman" w:cs="Times New Roman" w:eastAsia="Times New Roman" w:hAnsi="Times New Roman"/>
          <w:i/>
          <w:iCs/>
          <w:sz w:val="24"/>
          <w:szCs w:val="24"/>
        </w:rPr>
        <w:t xml:space="preserve">Economic Inquiry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 675--697.</w:t>
      </w:r>
    </w:p>
    <w:p>
      <w:pPr>
        <w:spacing w:line="360" w:after="200"/>
      </w:pPr>
      <w:r>
        <w:rPr>
          <w:rFonts w:ascii="Times New Roman" w:cs="Times New Roman" w:eastAsia="Times New Roman" w:hAnsi="Times New Roman"/>
          <w:sz w:val="24"/>
          <w:szCs w:val="24"/>
        </w:rPr>
        <w:t xml:space="preserve">Chen, H., &amp; Volpe, R. P. (1998). An analysis of personal financial literacy among college students. </w:t>
      </w:r>
      <w:r>
        <w:rPr>
          <w:rFonts w:ascii="Times New Roman" w:cs="Times New Roman" w:eastAsia="Times New Roman" w:hAnsi="Times New Roman"/>
          <w:i/>
          <w:iCs/>
          <w:sz w:val="24"/>
          <w:szCs w:val="24"/>
        </w:rPr>
        <w:t xml:space="preserve">Financial Services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(2), 107--128.</w:t>
      </w:r>
    </w:p>
    <w:p>
      <w:pPr>
        <w:spacing w:line="360" w:after="200"/>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(8), 1861--1883.</w:t>
      </w:r>
    </w:p>
    <w:p>
      <w:pPr>
        <w:spacing w:line="360" w:after="200"/>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w:t>
      </w:r>
      <w:r>
        <w:rPr>
          <w:rFonts w:ascii="Times New Roman" w:cs="Times New Roman" w:eastAsia="Times New Roman" w:hAnsi="Times New Roman"/>
          <w:i/>
          <w:iCs/>
          <w:sz w:val="24"/>
          <w:szCs w:val="24"/>
        </w:rPr>
        <w:t xml:space="preserve">British Educational Research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201--224.</w:t>
      </w:r>
    </w:p>
    <w:p>
      <w:pPr>
        <w:spacing w:line="360" w:after="200"/>
      </w:pPr>
      <w:r>
        <w:rPr>
          <w:rFonts w:ascii="Times New Roman" w:cs="Times New Roman" w:eastAsia="Times New Roman" w:hAnsi="Times New Roman"/>
          <w:sz w:val="24"/>
          <w:szCs w:val="24"/>
        </w:rPr>
        <w:t xml:space="preserve">Goyal, K., &amp; Kumar, S. (2021). Financial literacy: A systematic review and bibliometric analysis. </w:t>
      </w:r>
      <w:r>
        <w:rPr>
          <w:rFonts w:ascii="Times New Roman" w:cs="Times New Roman" w:eastAsia="Times New Roman" w:hAnsi="Times New Roman"/>
          <w:i/>
          <w:iCs/>
          <w:sz w:val="24"/>
          <w:szCs w:val="24"/>
        </w:rPr>
        <w:t xml:space="preserve">International Journal of Consumer Studies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 80--105.</w:t>
      </w:r>
    </w:p>
    <w:p>
      <w:pPr>
        <w:spacing w:line="360" w:after="200"/>
      </w:pPr>
      <w:r>
        <w:rPr>
          <w:rFonts w:ascii="Times New Roman" w:cs="Times New Roman" w:eastAsia="Times New Roman" w:hAnsi="Times New Roman"/>
          <w:sz w:val="24"/>
          <w:szCs w:val="24"/>
        </w:rPr>
        <w:t xml:space="preserve">Hastings, J. S., Madrian, B. C., &amp; Skimmyhorn, W. L. (2013). Financial literacy, financial education, and economic outcomes. </w:t>
      </w:r>
      <w:r>
        <w:rPr>
          <w:rFonts w:ascii="Times New Roman" w:cs="Times New Roman" w:eastAsia="Times New Roman" w:hAnsi="Times New Roman"/>
          <w:i/>
          <w:iCs/>
          <w:sz w:val="24"/>
          <w:szCs w:val="24"/>
        </w:rPr>
        <w:t xml:space="preserve">Annual Review of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347--373.</w:t>
      </w:r>
    </w:p>
    <w:p>
      <w:pPr>
        <w:spacing w:line="360" w:after="200"/>
      </w:pPr>
      <w:r>
        <w:rPr>
          <w:rFonts w:ascii="Times New Roman" w:cs="Times New Roman" w:eastAsia="Times New Roman" w:hAnsi="Times New Roman"/>
          <w:sz w:val="24"/>
          <w:szCs w:val="24"/>
        </w:rPr>
        <w:t xml:space="preserve">Huston, S. J. (2010). Measuring financial literacy.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44</w:t>
      </w:r>
      <w:r>
        <w:rPr>
          <w:rFonts w:ascii="Times New Roman" w:cs="Times New Roman" w:eastAsia="Times New Roman" w:hAnsi="Times New Roman"/>
          <w:sz w:val="24"/>
          <w:szCs w:val="24"/>
        </w:rPr>
        <w:t xml:space="preserve">(2), 296--316.</w:t>
      </w:r>
    </w:p>
    <w:p>
      <w:pPr>
        <w:spacing w:line="360" w:after="200"/>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pPr>
      <w:r>
        <w:rPr>
          <w:rFonts w:ascii="Times New Roman" w:cs="Times New Roman" w:eastAsia="Times New Roman" w:hAnsi="Times New Roman"/>
          <w:sz w:val="24"/>
          <w:szCs w:val="24"/>
        </w:rPr>
        <w:t xml:space="preserve">Kaiser, T., Lusardi, A., Menkhoff, L., &amp; Urban, C. (2022). Financial education affects financial knowledge and downstream behaviors.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145</w:t>
      </w:r>
      <w:r>
        <w:rPr>
          <w:rFonts w:ascii="Times New Roman" w:cs="Times New Roman" w:eastAsia="Times New Roman" w:hAnsi="Times New Roman"/>
          <w:sz w:val="24"/>
          <w:szCs w:val="24"/>
        </w:rPr>
        <w:t xml:space="preserve">(2), 255--272.</w:t>
      </w:r>
    </w:p>
    <w:p>
      <w:pPr>
        <w:spacing w:line="360" w:after="200"/>
      </w:pPr>
      <w:r>
        <w:rPr>
          <w:rFonts w:ascii="Times New Roman" w:cs="Times New Roman" w:eastAsia="Times New Roman" w:hAnsi="Times New Roman"/>
          <w:sz w:val="24"/>
          <w:szCs w:val="24"/>
        </w:rPr>
        <w:t xml:space="preserve">Kramer, M. M. (2016). Financial literacy, confidence and financial advice seeking. </w:t>
      </w:r>
      <w:r>
        <w:rPr>
          <w:rFonts w:ascii="Times New Roman" w:cs="Times New Roman" w:eastAsia="Times New Roman" w:hAnsi="Times New Roman"/>
          <w:i/>
          <w:iCs/>
          <w:sz w:val="24"/>
          <w:szCs w:val="24"/>
        </w:rPr>
        <w:t xml:space="preserve">Journal of Economic Behavior &amp; Organization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131</w:t>
      </w:r>
      <w:r>
        <w:rPr>
          <w:rFonts w:ascii="Times New Roman" w:cs="Times New Roman" w:eastAsia="Times New Roman" w:hAnsi="Times New Roman"/>
          <w:sz w:val="24"/>
          <w:szCs w:val="24"/>
        </w:rPr>
        <w:t xml:space="preserve">(Part A), 198--217.</w:t>
      </w:r>
    </w:p>
    <w:p>
      <w:pPr>
        <w:spacing w:line="360" w:after="200"/>
      </w:pPr>
      <w:r>
        <w:rPr>
          <w:rFonts w:ascii="Times New Roman" w:cs="Times New Roman" w:eastAsia="Times New Roman" w:hAnsi="Times New Roman"/>
          <w:sz w:val="24"/>
          <w:szCs w:val="24"/>
        </w:rPr>
        <w:t xml:space="preserve">Lusardi, A. (2019). Financial literacy and the need for financial education: Evidence and implications. </w:t>
      </w:r>
      <w:r>
        <w:rPr>
          <w:rFonts w:ascii="Times New Roman" w:cs="Times New Roman" w:eastAsia="Times New Roman" w:hAnsi="Times New Roman"/>
          <w:i/>
          <w:iCs/>
          <w:sz w:val="24"/>
          <w:szCs w:val="24"/>
        </w:rPr>
        <w:t xml:space="preserve">Swiss Journal of Economics and Statistics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Article 1.</w:t>
      </w:r>
    </w:p>
    <w:p>
      <w:pPr>
        <w:spacing w:line="360" w:after="200"/>
      </w:pPr>
      <w:r>
        <w:rPr>
          <w:rFonts w:ascii="Times New Roman" w:cs="Times New Roman" w:eastAsia="Times New Roman" w:hAnsi="Times New Roman"/>
          <w:sz w:val="24"/>
          <w:szCs w:val="24"/>
        </w:rPr>
        <w:t xml:space="preserve">Lusardi, A., &amp; Mitchell, O. S. (2014). The economic importance of financial literacy: Theory and evidence. </w:t>
      </w:r>
      <w:r>
        <w:rPr>
          <w:rFonts w:ascii="Times New Roman" w:cs="Times New Roman" w:eastAsia="Times New Roman" w:hAnsi="Times New Roman"/>
          <w:i/>
          <w:iCs/>
          <w:sz w:val="24"/>
          <w:szCs w:val="24"/>
        </w:rPr>
        <w:t xml:space="preserve">Journal of Economic Literature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52</w:t>
      </w:r>
      <w:r>
        <w:rPr>
          <w:rFonts w:ascii="Times New Roman" w:cs="Times New Roman" w:eastAsia="Times New Roman" w:hAnsi="Times New Roman"/>
          <w:sz w:val="24"/>
          <w:szCs w:val="24"/>
        </w:rPr>
        <w:t xml:space="preserve">(1), 5--44.</w:t>
      </w:r>
    </w:p>
    <w:p>
      <w:pPr>
        <w:spacing w:line="360" w:after="200"/>
      </w:pPr>
      <w:r>
        <w:rPr>
          <w:rFonts w:ascii="Times New Roman" w:cs="Times New Roman" w:eastAsia="Times New Roman" w:hAnsi="Times New Roman"/>
          <w:sz w:val="24"/>
          <w:szCs w:val="24"/>
        </w:rPr>
        <w:t xml:space="preserve">Lusardi, A., &amp; Tufano, P. (2015). Debt literacy, financial experiences, and overindebtedness. </w:t>
      </w:r>
      <w:r>
        <w:rPr>
          <w:rFonts w:ascii="Times New Roman" w:cs="Times New Roman" w:eastAsia="Times New Roman" w:hAnsi="Times New Roman"/>
          <w:i/>
          <w:iCs/>
          <w:sz w:val="24"/>
          <w:szCs w:val="24"/>
        </w:rPr>
        <w:t xml:space="preserve">Journal of Pension Economics and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(4), 332--368.</w:t>
      </w:r>
    </w:p>
    <w:p>
      <w:pPr>
        <w:spacing w:line="360" w:after="200"/>
      </w:pPr>
      <w:r>
        <w:rPr>
          <w:rFonts w:ascii="Times New Roman" w:cs="Times New Roman" w:eastAsia="Times New Roman" w:hAnsi="Times New Roman"/>
          <w:sz w:val="24"/>
          <w:szCs w:val="24"/>
        </w:rPr>
        <w:t xml:space="preserve">Mandell, L., &amp; Klein, L. S. (2009). The impact of financial literacy education on subsequent financial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(1), 15--24.</w:t>
      </w:r>
    </w:p>
    <w:p>
      <w:pPr>
        <w:spacing w:line="360" w:after="200"/>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 100208.</w:t>
      </w:r>
    </w:p>
    <w:p>
      <w:pPr>
        <w:spacing w:line="360" w:after="200"/>
      </w:pPr>
      <w:r>
        <w:rPr>
          <w:rFonts w:ascii="Times New Roman" w:cs="Times New Roman" w:eastAsia="Times New Roman" w:hAnsi="Times New Roman"/>
          <w:sz w:val="24"/>
          <w:szCs w:val="24"/>
        </w:rPr>
        <w:t xml:space="preserve">OECD. (2022). </w:t>
      </w:r>
      <w:r>
        <w:rPr>
          <w:rFonts w:ascii="Times New Roman" w:cs="Times New Roman" w:eastAsia="Times New Roman" w:hAnsi="Times New Roman"/>
          <w:i/>
          <w:iCs/>
          <w:sz w:val="24"/>
          <w:szCs w:val="24"/>
        </w:rPr>
        <w:t xml:space="preserve">OECD/INFE toolkit for measuring financial literacy and financial inclusion 2022</w:t>
      </w:r>
      <w:r>
        <w:rPr>
          <w:rFonts w:ascii="Times New Roman" w:cs="Times New Roman" w:eastAsia="Times New Roman" w:hAnsi="Times New Roman"/>
          <w:sz w:val="24"/>
          <w:szCs w:val="24"/>
        </w:rPr>
        <w:t xml:space="preserve">. OECD Publishing.</w:t>
      </w:r>
    </w:p>
    <w:p>
      <w:pPr>
        <w:spacing w:line="360" w:after="200"/>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w:t>
      </w:r>
      <w:r>
        <w:rPr>
          <w:rFonts w:ascii="Times New Roman" w:cs="Times New Roman" w:eastAsia="Times New Roman" w:hAnsi="Times New Roman"/>
          <w:i/>
          <w:iCs/>
          <w:sz w:val="24"/>
          <w:szCs w:val="24"/>
        </w:rPr>
        <w:t xml:space="preserve">Teaching Sociology</w:t>
      </w:r>
      <w:r>
        <w:rPr>
          <w:rFonts w:ascii="Times New Roman" w:cs="Times New Roman" w:eastAsia="Times New Roman" w:hAnsi="Times New Roman"/>
          <w:sz w:val="24"/>
          <w:szCs w:val="24"/>
        </w:rPr>
        <w:t xml:space="preserve">. Advance online publication. https://doi.org/10.1177/0092055X251397371</w:t>
      </w:r>
    </w:p>
    <w:p>
      <w:pPr>
        <w:spacing w:line="360" w:after="200"/>
      </w:pPr>
      <w:r>
        <w:rPr>
          <w:rFonts w:ascii="Times New Roman" w:cs="Times New Roman" w:eastAsia="Times New Roman" w:hAnsi="Times New Roman"/>
          <w:sz w:val="24"/>
          <w:szCs w:val="24"/>
        </w:rPr>
        <w:t xml:space="preserve">Porto, N., &amp; Xiao, J. J. (2016). Financial literacy overconfidence and financial advice seeking. </w:t>
      </w:r>
      <w:r>
        <w:rPr>
          <w:rFonts w:ascii="Times New Roman" w:cs="Times New Roman" w:eastAsia="Times New Roman" w:hAnsi="Times New Roman"/>
          <w:i/>
          <w:iCs/>
          <w:sz w:val="24"/>
          <w:szCs w:val="24"/>
        </w:rPr>
        <w:t xml:space="preserve">Journal of Financial Service Professionals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sz w:val="24"/>
          <w:szCs w:val="24"/>
        </w:rPr>
        <w:t xml:space="preserve">(4), 78--88.</w:t>
      </w:r>
    </w:p>
    <w:p>
      <w:pPr>
        <w:spacing w:line="360" w:after="200"/>
      </w:pPr>
      <w:r>
        <w:rPr>
          <w:rFonts w:ascii="Times New Roman" w:cs="Times New Roman" w:eastAsia="Times New Roman" w:hAnsi="Times New Roman"/>
          <w:sz w:val="24"/>
          <w:szCs w:val="24"/>
        </w:rPr>
        <w:t xml:space="preserve">Robb, C. A., &amp; Woodyard, A. (2011). Financial knowledge and best practice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 60--70.</w:t>
      </w:r>
    </w:p>
    <w:p>
      <w:pPr>
        <w:spacing w:line="360" w:after="200"/>
      </w:pPr>
      <w:r>
        <w:rPr>
          <w:rFonts w:ascii="Times New Roman" w:cs="Times New Roman" w:eastAsia="Times New Roman" w:hAnsi="Times New Roman"/>
          <w:sz w:val="24"/>
          <w:szCs w:val="24"/>
        </w:rPr>
        <w:t xml:space="preserve">Stango, V., &amp; Zinman, J. (2009). Exponential growth bias and household finance. </w:t>
      </w:r>
      <w:r>
        <w:rPr>
          <w:rFonts w:ascii="Times New Roman" w:cs="Times New Roman" w:eastAsia="Times New Roman" w:hAnsi="Times New Roman"/>
          <w:i/>
          <w:iCs/>
          <w:sz w:val="24"/>
          <w:szCs w:val="24"/>
        </w:rPr>
        <w:t xml:space="preserve">Journal of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64</w:t>
      </w:r>
      <w:r>
        <w:rPr>
          <w:rFonts w:ascii="Times New Roman" w:cs="Times New Roman" w:eastAsia="Times New Roman" w:hAnsi="Times New Roman"/>
          <w:sz w:val="24"/>
          <w:szCs w:val="24"/>
        </w:rPr>
        <w:t xml:space="preserve">(6), 2807--2849.</w:t>
      </w:r>
    </w:p>
    <w:p>
      <w:pPr>
        <w:spacing w:line="360" w:after="200"/>
      </w:pPr>
      <w:r>
        <w:rPr>
          <w:rFonts w:ascii="Times New Roman" w:cs="Times New Roman" w:eastAsia="Times New Roman" w:hAnsi="Times New Roman"/>
          <w:sz w:val="24"/>
          <w:szCs w:val="24"/>
        </w:rPr>
        <w:t xml:space="preserve">van Rooij, M., Lusardi, A., &amp; Alessie, R. (2011). Financial literacy and stock market participation.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(2), 449--472.</w:t>
      </w:r>
    </w:p>
    <w:p>
      <w:pPr>
        <w:spacing w:line="360" w:after="200"/>
      </w:pPr>
      <w:r>
        <w:rPr>
          <w:rFonts w:ascii="Times New Roman" w:cs="Times New Roman" w:eastAsia="Times New Roman" w:hAnsi="Times New Roman"/>
          <w:sz w:val="24"/>
          <w:szCs w:val="24"/>
        </w:rPr>
        <w:t xml:space="preserve">Wagner, J., &amp; Walstad, W. B. (2019). The effects of financial education on short-term and long-term financial behaviors.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53</w:t>
      </w:r>
      <w:r>
        <w:rPr>
          <w:rFonts w:ascii="Times New Roman" w:cs="Times New Roman" w:eastAsia="Times New Roman" w:hAnsi="Times New Roman"/>
          <w:sz w:val="24"/>
          <w:szCs w:val="24"/>
        </w:rPr>
        <w:t xml:space="preserve">(1), 234--259.</w:t>
      </w:r>
    </w:p>
    <w:p>
      <w:pPr>
        <w:spacing w:line="360" w:after="200"/>
      </w:pPr>
      <w:r>
        <w:rPr>
          <w:rFonts w:ascii="Times New Roman" w:cs="Times New Roman" w:eastAsia="Times New Roman" w:hAnsi="Times New Roman"/>
          <w:sz w:val="24"/>
          <w:szCs w:val="24"/>
        </w:rPr>
        <w:t xml:space="preserve">Willis, L. E. (2011). The financial education fallacy.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(3), 429--434.</w:t>
      </w:r>
    </w:p>
    <w:p>
      <w:pPr>
        <w:spacing w:line="360" w:after="200"/>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w:t>
      </w:r>
      <w:r>
        <w:rPr>
          <w:rFonts w:ascii="Times New Roman" w:cs="Times New Roman" w:eastAsia="Times New Roman" w:hAnsi="Times New Roman"/>
          <w:i/>
          <w:iCs/>
          <w:sz w:val="24"/>
          <w:szCs w:val="24"/>
        </w:rPr>
        <w:t xml:space="preserve">British Journal of Educational Technology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(2), 487--506.</w:t>
      </w:r>
    </w:p>
    <w:p>
      <w:r>
        <w:br w:type="page"/>
      </w:r>
    </w:p>
    <w:p>
      <w:pPr>
        <w:pStyle w:val="Heading1"/>
        <w:spacing w:before="480" w:after="240"/>
      </w:pPr>
      <w:r>
        <w:rPr>
          <w:rFonts w:ascii="Times New Roman" w:cs="Times New Roman" w:eastAsia="Times New Roman" w:hAnsi="Times New Roman"/>
          <w:sz w:val="24"/>
          <w:szCs w:val="24"/>
        </w:rPr>
        <w:t xml:space="preserve">Declaration of AI and AI-Assisted Technologies</w:t>
      </w:r>
    </w:p>
    <w:p>
      <w:pPr>
        <w:spacing w:line="360" w:after="200"/>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w:t>
      </w:r>
    </w:p>
    <w:p>
      <w:pPr>
        <w:pStyle w:val="ListParagraph"/>
        <w:numPr>
          <w:ilvl w:val="0"/>
          <w:numId w:val="2"/>
        </w:numPr>
        <w:spacing w:line="360" w:after="100"/>
      </w:pPr>
      <w:r>
        <w:rPr>
          <w:rFonts w:ascii="Times New Roman" w:cs="Times New Roman" w:eastAsia="Times New Roman" w:hAnsi="Times New Roman"/>
          <w:b/>
          <w:bCs/>
          <w:sz w:val="24"/>
          <w:szCs w:val="24"/>
        </w:rPr>
        <w:t xml:space="preserve">Assessment platform development.</w:t>
      </w:r>
      <w:r>
        <w:rPr>
          <w:rFonts w:ascii="Times New Roman" w:cs="Times New Roman" w:eastAsia="Times New Roman" w:hAnsi="Times New Roman"/>
          <w:sz w:val="24"/>
          <w:szCs w:val="24"/>
        </w:rPr>
        <w:t xml:space="preserve"> 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(Bolivard, 2026).</w:t>
      </w:r>
    </w:p>
    <w:p>
      <w:pPr>
        <w:pStyle w:val="ListParagraph"/>
        <w:numPr>
          <w:ilvl w:val="0"/>
          <w:numId w:val="2"/>
        </w:numPr>
        <w:spacing w:line="360" w:after="100"/>
      </w:pPr>
      <w:r>
        <w:rPr>
          <w:rFonts w:ascii="Times New Roman" w:cs="Times New Roman" w:eastAsia="Times New Roman" w:hAnsi="Times New Roman"/>
          <w:b/>
          <w:bCs/>
          <w:sz w:val="24"/>
          <w:szCs w:val="24"/>
        </w:rPr>
        <w:t xml:space="preserve">Open-ended response scoring.</w:t>
      </w:r>
      <w:r>
        <w:rPr>
          <w:rFonts w:ascii="Times New Roman" w:cs="Times New Roman" w:eastAsia="Times New Roman" w:hAnsi="Times New Roman"/>
          <w:sz w:val="24"/>
          <w:szCs w:val="24"/>
        </w:rPr>
        <w:t xml:space="preserve"> 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student responses. Low-confidence classifications were flagged for human adjudication by the course instructor. This methodological use of LLM-based scoring follows established practices in educational assessment (Mizumoto &amp; Eguchi, 2024; Yavuz, 2025) and is detailed in Section 4.3.</w:t>
      </w:r>
    </w:p>
    <w:p>
      <w:pPr>
        <w:pStyle w:val="ListParagraph"/>
        <w:numPr>
          <w:ilvl w:val="0"/>
          <w:numId w:val="2"/>
        </w:numPr>
        <w:spacing w:line="360" w:after="100"/>
      </w:pPr>
      <w:r>
        <w:rPr>
          <w:rFonts w:ascii="Times New Roman" w:cs="Times New Roman" w:eastAsia="Times New Roman" w:hAnsi="Times New Roman"/>
          <w:b/>
          <w:bCs/>
          <w:sz w:val="24"/>
          <w:szCs w:val="24"/>
        </w:rPr>
        <w:t xml:space="preserve">Manuscript preparation.</w:t>
      </w:r>
      <w:r>
        <w:rPr>
          <w:rFonts w:ascii="Times New Roman" w:cs="Times New Roman" w:eastAsia="Times New Roman" w:hAnsi="Times New Roman"/>
          <w:sz w:val="24"/>
          <w:szCs w:val="24"/>
        </w:rPr>
        <w:t xml:space="preserve"> 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spacing w:before="480" w:after="240"/>
      </w:pPr>
      <w:r>
        <w:rPr>
          <w:rFonts w:ascii="Times New Roman" w:cs="Times New Roman" w:eastAsia="Times New Roman" w:hAnsi="Times New Roman"/>
          <w:sz w:val="24"/>
          <w:szCs w:val="24"/>
        </w:rPr>
        <w:t xml:space="preserve">Appendix A: SDM-10 Selection Algorithm and Burden Controls</w:t>
      </w:r>
    </w:p>
    <w:p>
      <w:pPr>
        <w:pStyle w:val="Heading2"/>
        <w:spacing w:before="360" w:after="180"/>
      </w:pPr>
      <w:r>
        <w:rPr>
          <w:rFonts w:ascii="Times New Roman" w:cs="Times New Roman" w:eastAsia="Times New Roman" w:hAnsi="Times New Roman"/>
          <w:sz w:val="24"/>
          <w:szCs w:val="24"/>
        </w:rPr>
        <w:t xml:space="preserve">Table A.1: SDM-10 Selection and Burden Controls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4680"/>
            <w:vAlign w:val="center"/>
          </w:tcPr>
          <w:p>
            <w:pPr>
              <w:jc w:val="center"/>
            </w:pPr>
            <w:r>
              <w:rPr>
                <w:rFonts w:ascii="Times New Roman" w:cs="Times New Roman" w:eastAsia="Times New Roman" w:hAnsi="Times New Roman"/>
                <w:sz w:val="22"/>
                <w:szCs w:val="22"/>
              </w:rPr>
              <w:t xml:space="preserve">SDM size</w:t>
            </w:r>
          </w:p>
        </w:tc>
        <w:tc>
          <w:tcPr>
            <w:tcW w:type="dxa" w:w="4680"/>
            <w:vAlign w:val="center"/>
          </w:tcPr>
          <w:p>
            <w:pPr>
              <w:jc w:val="center"/>
            </w:pPr>
            <w:r>
              <w:rPr>
                <w:rFonts w:ascii="Times New Roman" w:cs="Times New Roman" w:eastAsia="Times New Roman" w:hAnsi="Times New Roman"/>
                <w:sz w:val="22"/>
                <w:szCs w:val="22"/>
              </w:rPr>
              <w:t xml:space="preserve">Fixed 10 items after the 40 anchor questions</w:t>
            </w:r>
          </w:p>
        </w:tc>
      </w:tr>
      <w:tr>
        <w:tc>
          <w:tcPr>
            <w:tcW w:type="dxa" w:w="4680"/>
            <w:vAlign w:val="center"/>
          </w:tcPr>
          <w:p>
            <w:pPr>
              <w:jc w:val="center"/>
            </w:pPr>
            <w:r>
              <w:rPr>
                <w:rFonts w:ascii="Times New Roman" w:cs="Times New Roman" w:eastAsia="Times New Roman" w:hAnsi="Times New Roman"/>
                <w:sz w:val="22"/>
                <w:szCs w:val="22"/>
              </w:rPr>
              <w:t xml:space="preserve">Selection basis</w:t>
            </w:r>
          </w:p>
        </w:tc>
        <w:tc>
          <w:tcPr>
            <w:tcW w:type="dxa" w:w="468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4680"/>
            <w:vAlign w:val="center"/>
          </w:tcPr>
          <w:p>
            <w:pPr>
              <w:jc w:val="center"/>
            </w:pPr>
            <w:r>
              <w:rPr>
                <w:rFonts w:ascii="Times New Roman" w:cs="Times New Roman" w:eastAsia="Times New Roman" w:hAnsi="Times New Roman"/>
                <w:sz w:val="22"/>
                <w:szCs w:val="22"/>
              </w:rPr>
              <w:t xml:space="preserve">Domain balance</w:t>
            </w:r>
          </w:p>
        </w:tc>
        <w:tc>
          <w:tcPr>
            <w:tcW w:type="dxa" w:w="4680"/>
            <w:vAlign w:val="center"/>
          </w:tcPr>
          <w:p>
            <w:pPr>
              <w:jc w:val="center"/>
            </w:pPr>
            <w:r>
              <w:rPr>
                <w:rFonts w:ascii="Times New Roman" w:cs="Times New Roman" w:eastAsia="Times New Roman" w:hAnsi="Times New Roman"/>
                <w:sz w:val="22"/>
                <w:szCs w:val="22"/>
              </w:rPr>
              <w:t xml:space="preserve">At least 2 items per domain (borrowing/credit, investment, risk management)</w:t>
            </w:r>
          </w:p>
        </w:tc>
      </w:tr>
      <w:tr>
        <w:tc>
          <w:tcPr>
            <w:tcW w:type="dxa" w:w="4680"/>
            <w:vAlign w:val="center"/>
          </w:tcPr>
          <w:p>
            <w:pPr>
              <w:jc w:val="center"/>
            </w:pPr>
            <w:r>
              <w:rPr>
                <w:rFonts w:ascii="Times New Roman" w:cs="Times New Roman" w:eastAsia="Times New Roman" w:hAnsi="Times New Roman"/>
                <w:sz w:val="22"/>
                <w:szCs w:val="22"/>
              </w:rPr>
              <w:t xml:space="preserve">Subcategory cap</w:t>
            </w:r>
          </w:p>
        </w:tc>
        <w:tc>
          <w:tcPr>
            <w:tcW w:type="dxa" w:w="468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4680"/>
            <w:vAlign w:val="center"/>
          </w:tcPr>
          <w:p>
            <w:pPr>
              <w:jc w:val="center"/>
            </w:pPr>
            <w:r>
              <w:rPr>
                <w:rFonts w:ascii="Times New Roman" w:cs="Times New Roman" w:eastAsia="Times New Roman" w:hAnsi="Times New Roman"/>
                <w:sz w:val="22"/>
                <w:szCs w:val="22"/>
              </w:rPr>
              <w:t xml:space="preserve">Open-ended cap</w:t>
            </w:r>
          </w:p>
        </w:tc>
        <w:tc>
          <w:tcPr>
            <w:tcW w:type="dxa" w:w="468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4680"/>
            <w:vAlign w:val="center"/>
          </w:tcPr>
          <w:p>
            <w:pPr>
              <w:jc w:val="center"/>
            </w:pPr>
            <w:r>
              <w:rPr>
                <w:rFonts w:ascii="Times New Roman" w:cs="Times New Roman" w:eastAsia="Times New Roman" w:hAnsi="Times New Roman"/>
                <w:sz w:val="22"/>
                <w:szCs w:val="22"/>
              </w:rPr>
              <w:t xml:space="preserve">Format fallback</w:t>
            </w:r>
          </w:p>
        </w:tc>
        <w:tc>
          <w:tcPr>
            <w:tcW w:type="dxa" w:w="4680"/>
            <w:vAlign w:val="center"/>
          </w:tcPr>
          <w:p>
            <w:pPr>
              <w:jc w:val="center"/>
            </w:pPr>
            <w:r>
              <w:rPr>
                <w:rFonts w:ascii="Times New Roman" w:cs="Times New Roman" w:eastAsia="Times New Roman" w:hAnsi="Times New Roman"/>
                <w:sz w:val="22"/>
                <w:szCs w:val="22"/>
              </w:rPr>
              <w:t xml:space="preserve">When open-ended cap reached: Open_Diagnose → Lower_MCQ, Open_Confirm → Same_MCQ</w:t>
            </w:r>
          </w:p>
        </w:tc>
      </w:tr>
      <w:tr>
        <w:tc>
          <w:tcPr>
            <w:tcW w:type="dxa" w:w="4680"/>
            <w:vAlign w:val="center"/>
          </w:tcPr>
          <w:p>
            <w:pPr>
              <w:jc w:val="center"/>
            </w:pPr>
            <w:r>
              <w:rPr>
                <w:rFonts w:ascii="Times New Roman" w:cs="Times New Roman" w:eastAsia="Times New Roman" w:hAnsi="Times New Roman"/>
                <w:sz w:val="22"/>
                <w:szCs w:val="22"/>
              </w:rPr>
              <w:t xml:space="preserve">Item source</w:t>
            </w:r>
          </w:p>
        </w:tc>
        <w:tc>
          <w:tcPr>
            <w:tcW w:type="dxa" w:w="4680"/>
            <w:vAlign w:val="center"/>
          </w:tcPr>
          <w:p>
            <w:pPr>
              <w:jc w:val="center"/>
            </w:pPr>
            <w:r>
              <w:rPr>
                <w:rFonts w:ascii="Times New Roman" w:cs="Times New Roman" w:eastAsia="Times New Roman" w:hAnsi="Times New Roman"/>
                <w:sz w:val="22"/>
                <w:szCs w:val="22"/>
              </w:rPr>
              <w:t xml:space="preserve">Pre-written 156-variant item bank only; no generated questions</w:t>
            </w:r>
          </w:p>
        </w:tc>
      </w:tr>
      <w:tr>
        <w:tc>
          <w:tcPr>
            <w:tcW w:type="dxa" w:w="4680"/>
            <w:vAlign w:val="center"/>
          </w:tcPr>
          <w:p>
            <w:pPr>
              <w:jc w:val="center"/>
            </w:pPr>
            <w:r>
              <w:rPr>
                <w:rFonts w:ascii="Times New Roman" w:cs="Times New Roman" w:eastAsia="Times New Roman" w:hAnsi="Times New Roman"/>
                <w:sz w:val="22"/>
                <w:szCs w:val="22"/>
              </w:rPr>
              <w:t xml:space="preserve">Grading</w:t>
            </w:r>
          </w:p>
        </w:tc>
        <w:tc>
          <w:tcPr>
            <w:tcW w:type="dxa" w:w="4680"/>
            <w:vAlign w:val="center"/>
          </w:tcPr>
          <w:p>
            <w:pPr>
              <w:jc w:val="center"/>
            </w:pPr>
            <w:r>
              <w:rPr>
                <w:rFonts w:ascii="Times New Roman" w:cs="Times New Roman" w:eastAsia="Times New Roman" w:hAnsi="Times New Roman"/>
                <w:sz w:val="22"/>
                <w:szCs w:val="22"/>
              </w:rPr>
              <w:t xml:space="preserve">SDM-10 is diagnostic only; grade from 40 anchors only</w:t>
            </w:r>
          </w:p>
        </w:tc>
      </w:tr>
      <w:tr>
        <w:tc>
          <w:tcPr>
            <w:tcW w:type="dxa" w:w="4680"/>
            <w:vAlign w:val="center"/>
          </w:tcPr>
          <w:p>
            <w:pPr>
              <w:jc w:val="center"/>
            </w:pPr>
            <w:r>
              <w:rPr>
                <w:rFonts w:ascii="Times New Roman" w:cs="Times New Roman" w:eastAsia="Times New Roman" w:hAnsi="Times New Roman"/>
                <w:sz w:val="22"/>
                <w:szCs w:val="22"/>
              </w:rPr>
              <w:t xml:space="preserve">Primary outcomes</w:t>
            </w:r>
          </w:p>
        </w:tc>
        <w:tc>
          <w:tcPr>
            <w:tcW w:type="dxa" w:w="4680"/>
            <w:vAlign w:val="center"/>
          </w:tcPr>
          <w:p>
            <w:pPr>
              <w:jc w:val="center"/>
            </w:pPr>
            <w:r>
              <w:rPr>
                <w:rFonts w:ascii="Times New Roman" w:cs="Times New Roman" w:eastAsia="Times New Roman" w:hAnsi="Times New Roman"/>
                <w:sz w:val="22"/>
                <w:szCs w:val="22"/>
              </w:rPr>
              <w:t xml:space="preserve">RQ1/RQ2 use 26 anchor knowledge items; SDM-10 is secondary diagnostic output</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A.2: Need Score Mapping (Correctness x Confidence x Format)</w:t>
      </w:r>
    </w:p>
    <w:p>
      <w:pPr>
        <w:spacing w:line="360" w:after="200"/>
      </w:pPr>
      <w:r>
        <w:rPr>
          <w:rFonts w:ascii="Times New Roman" w:cs="Times New Roman" w:eastAsia="Times New Roman" w:hAnsi="Times New Roman"/>
          <w:sz w:val="24"/>
          <w:szCs w:val="24"/>
        </w:rPr>
        <w:t xml:space="preserve">The Need score quantifies residual uncertainty about a student's understanding in each subcategory. Higher values indicate greater need for diagnostic follow-up. The format-aware adjustment reflects differential guessing probability (50% for True/False vs. ~25% for MCQ).</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2340"/>
            <w:vAlign w:val="center"/>
          </w:tcPr>
          <w:p>
            <w:pPr>
              <w:jc w:val="center"/>
            </w:pPr>
            <w:r>
              <w:rPr>
                <w:rFonts w:ascii="Times New Roman" w:cs="Times New Roman" w:eastAsia="Times New Roman" w:hAnsi="Times New Roman"/>
                <w:sz w:val="22"/>
                <w:szCs w:val="22"/>
              </w:rPr>
              <w:t xml:space="preserve">Incorrect + High confidence</w:t>
            </w:r>
          </w:p>
        </w:tc>
        <w:tc>
          <w:tcPr>
            <w:tcW w:type="dxa" w:w="2340"/>
            <w:vAlign w:val="center"/>
          </w:tcPr>
          <w:p>
            <w:pPr>
              <w:jc w:val="center"/>
            </w:pPr>
            <w:r>
              <w:rPr>
                <w:rFonts w:ascii="Times New Roman" w:cs="Times New Roman" w:eastAsia="Times New Roman" w:hAnsi="Times New Roman"/>
                <w:sz w:val="22"/>
                <w:szCs w:val="22"/>
              </w:rPr>
              <w:t xml:space="preserve">Open_Diagnose</w:t>
            </w:r>
          </w:p>
        </w:tc>
        <w:tc>
          <w:tcPr>
            <w:tcW w:type="dxa" w:w="2340"/>
            <w:vAlign w:val="center"/>
          </w:tcPr>
          <w:p>
            <w:pPr>
              <w:jc w:val="center"/>
            </w:pPr>
            <w:r>
              <w:rPr>
                <w:rFonts w:ascii="Times New Roman" w:cs="Times New Roman" w:eastAsia="Times New Roman" w:hAnsi="Times New Roman"/>
                <w:sz w:val="22"/>
                <w:szCs w:val="22"/>
              </w:rPr>
              <w:t xml:space="preserve">Open-ended</w:t>
            </w:r>
          </w:p>
        </w:tc>
        <w:tc>
          <w:tcPr>
            <w:tcW w:type="dxa" w:w="2340"/>
            <w:vAlign w:val="center"/>
          </w:tcPr>
          <w:p>
            <w:pPr>
              <w:jc w:val="center"/>
            </w:pPr>
            <w:r>
              <w:rPr>
                <w:rFonts w:ascii="Times New Roman" w:cs="Times New Roman" w:eastAsia="Times New Roman" w:hAnsi="Times New Roman"/>
                <w:sz w:val="22"/>
                <w:szCs w:val="22"/>
              </w:rPr>
              <w:t xml:space="preserve">Surface and classify misconception</w:t>
            </w:r>
          </w:p>
        </w:tc>
      </w:tr>
      <w:tr>
        <w:tc>
          <w:tcPr>
            <w:tcW w:type="dxa" w:w="2340"/>
            <w:vAlign w:val="center"/>
          </w:tcPr>
          <w:p>
            <w:pPr>
              <w:jc w:val="center"/>
            </w:pPr>
            <w:r>
              <w:rPr>
                <w:rFonts w:ascii="Times New Roman" w:cs="Times New Roman" w:eastAsia="Times New Roman" w:hAnsi="Times New Roman"/>
                <w:sz w:val="22"/>
                <w:szCs w:val="22"/>
              </w:rPr>
              <w:t xml:space="preserve">Incorrect + Mid confidence</w:t>
            </w:r>
          </w:p>
        </w:tc>
        <w:tc>
          <w:tcPr>
            <w:tcW w:type="dxa" w:w="2340"/>
            <w:vAlign w:val="center"/>
          </w:tcPr>
          <w:p>
            <w:pPr>
              <w:jc w:val="center"/>
            </w:pPr>
            <w:r>
              <w:rPr>
                <w:rFonts w:ascii="Times New Roman" w:cs="Times New Roman" w:eastAsia="Times New Roman" w:hAnsi="Times New Roman"/>
                <w:sz w:val="22"/>
                <w:szCs w:val="22"/>
              </w:rPr>
              <w:t xml:space="preserve">Lower_MCQ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2340"/>
            <w:vAlign w:val="center"/>
          </w:tcPr>
          <w:p>
            <w:pPr>
              <w:jc w:val="center"/>
            </w:pPr>
            <w:r>
              <w:rPr>
                <w:rFonts w:ascii="Times New Roman" w:cs="Times New Roman" w:eastAsia="Times New Roman" w:hAnsi="Times New Roman"/>
                <w:sz w:val="22"/>
                <w:szCs w:val="22"/>
              </w:rPr>
              <w:t xml:space="preserve">Incorrect + Low confidence</w:t>
            </w:r>
          </w:p>
        </w:tc>
        <w:tc>
          <w:tcPr>
            <w:tcW w:type="dxa" w:w="2340"/>
            <w:vAlign w:val="center"/>
          </w:tcPr>
          <w:p>
            <w:pPr>
              <w:jc w:val="center"/>
            </w:pPr>
            <w:r>
              <w:rPr>
                <w:rFonts w:ascii="Times New Roman" w:cs="Times New Roman" w:eastAsia="Times New Roman" w:hAnsi="Times New Roman"/>
                <w:sz w:val="22"/>
                <w:szCs w:val="22"/>
              </w:rPr>
              <w:t xml:space="preserve">Lower_TF</w:t>
            </w:r>
          </w:p>
        </w:tc>
        <w:tc>
          <w:tcPr>
            <w:tcW w:type="dxa" w:w="2340"/>
            <w:vAlign w:val="center"/>
          </w:tcPr>
          <w:p>
            <w:pPr>
              <w:jc w:val="center"/>
            </w:pPr>
            <w:r>
              <w:rPr>
                <w:rFonts w:ascii="Times New Roman" w:cs="Times New Roman" w:eastAsia="Times New Roman" w:hAnsi="Times New Roman"/>
                <w:sz w:val="22"/>
                <w:szCs w:val="22"/>
              </w:rPr>
              <w:t xml:space="preserve">True/False</w:t>
            </w:r>
          </w:p>
        </w:tc>
        <w:tc>
          <w:tcPr>
            <w:tcW w:type="dxa" w:w="2340"/>
            <w:vAlign w:val="center"/>
          </w:tcPr>
          <w:p>
            <w:pPr>
              <w:jc w:val="center"/>
            </w:pPr>
            <w:r>
              <w:rPr>
                <w:rFonts w:ascii="Times New Roman" w:cs="Times New Roman" w:eastAsia="Times New Roman" w:hAnsi="Times New Roman"/>
                <w:sz w:val="22"/>
                <w:szCs w:val="22"/>
              </w:rPr>
              <w:t xml:space="preserve">Confirm basic concept recognition</w:t>
            </w:r>
          </w:p>
        </w:tc>
      </w:tr>
      <w:tr>
        <w:tc>
          <w:tcPr>
            <w:tcW w:type="dxa" w:w="2340"/>
            <w:vAlign w:val="center"/>
          </w:tcPr>
          <w:p>
            <w:pPr>
              <w:jc w:val="center"/>
            </w:pPr>
            <w:r>
              <w:rPr>
                <w:rFonts w:ascii="Times New Roman" w:cs="Times New Roman" w:eastAsia="Times New Roman" w:hAnsi="Times New Roman"/>
                <w:sz w:val="22"/>
                <w:szCs w:val="22"/>
              </w:rPr>
              <w:t xml:space="preserve">Correct + Low confidence</w:t>
            </w:r>
          </w:p>
        </w:tc>
        <w:tc>
          <w:tcPr>
            <w:tcW w:type="dxa" w:w="2340"/>
            <w:vAlign w:val="center"/>
          </w:tcPr>
          <w:p>
            <w:pPr>
              <w:jc w:val="center"/>
            </w:pPr>
            <w:r>
              <w:rPr>
                <w:rFonts w:ascii="Times New Roman" w:cs="Times New Roman" w:eastAsia="Times New Roman" w:hAnsi="Times New Roman"/>
                <w:sz w:val="22"/>
                <w:szCs w:val="22"/>
              </w:rPr>
              <w:t xml:space="preserve">Open_Confirm</w:t>
            </w:r>
          </w:p>
        </w:tc>
        <w:tc>
          <w:tcPr>
            <w:tcW w:type="dxa" w:w="2340"/>
            <w:vAlign w:val="center"/>
          </w:tcPr>
          <w:p>
            <w:pPr>
              <w:jc w:val="center"/>
            </w:pPr>
            <w:r>
              <w:rPr>
                <w:rFonts w:ascii="Times New Roman" w:cs="Times New Roman" w:eastAsia="Times New Roman" w:hAnsi="Times New Roman"/>
                <w:sz w:val="22"/>
                <w:szCs w:val="22"/>
              </w:rPr>
              <w:t xml:space="preserve">Open-ended</w:t>
            </w:r>
          </w:p>
        </w:tc>
        <w:tc>
          <w:tcPr>
            <w:tcW w:type="dxa" w:w="2340"/>
            <w:vAlign w:val="center"/>
          </w:tcPr>
          <w:p>
            <w:pPr>
              <w:jc w:val="center"/>
            </w:pPr>
            <w:r>
              <w:rPr>
                <w:rFonts w:ascii="Times New Roman" w:cs="Times New Roman" w:eastAsia="Times New Roman" w:hAnsi="Times New Roman"/>
                <w:sz w:val="22"/>
                <w:szCs w:val="22"/>
              </w:rPr>
              <w:t xml:space="preserve">Verify understanding vs. lucky guess</w:t>
            </w:r>
          </w:p>
        </w:tc>
      </w:tr>
      <w:tr>
        <w:tc>
          <w:tcPr>
            <w:tcW w:type="dxa" w:w="2340"/>
            <w:vAlign w:val="center"/>
          </w:tcPr>
          <w:p>
            <w:pPr>
              <w:jc w:val="center"/>
            </w:pPr>
            <w:r>
              <w:rPr>
                <w:rFonts w:ascii="Times New Roman" w:cs="Times New Roman" w:eastAsia="Times New Roman" w:hAnsi="Times New Roman"/>
                <w:sz w:val="22"/>
                <w:szCs w:val="22"/>
              </w:rPr>
              <w:t xml:space="preserve">Correct + Mid confidence</w:t>
            </w:r>
          </w:p>
        </w:tc>
        <w:tc>
          <w:tcPr>
            <w:tcW w:type="dxa" w:w="2340"/>
            <w:vAlign w:val="center"/>
          </w:tcPr>
          <w:p>
            <w:pPr>
              <w:jc w:val="center"/>
            </w:pPr>
            <w:r>
              <w:rPr>
                <w:rFonts w:ascii="Times New Roman" w:cs="Times New Roman" w:eastAsia="Times New Roman" w:hAnsi="Times New Roman"/>
                <w:sz w:val="22"/>
                <w:szCs w:val="22"/>
              </w:rPr>
              <w:t xml:space="preserve">Same_MCQ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Confirm at parallel difficulty</w:t>
            </w:r>
          </w:p>
        </w:tc>
      </w:tr>
      <w:tr>
        <w:tc>
          <w:tcPr>
            <w:tcW w:type="dxa" w:w="2340"/>
            <w:vAlign w:val="center"/>
          </w:tcPr>
          <w:p>
            <w:pPr>
              <w:jc w:val="center"/>
            </w:pPr>
            <w:r>
              <w:rPr>
                <w:rFonts w:ascii="Times New Roman" w:cs="Times New Roman" w:eastAsia="Times New Roman" w:hAnsi="Times New Roman"/>
                <w:sz w:val="22"/>
                <w:szCs w:val="22"/>
              </w:rPr>
              <w:t xml:space="preserve">Correct + High confidence</w:t>
            </w:r>
          </w:p>
        </w:tc>
        <w:tc>
          <w:tcPr>
            <w:tcW w:type="dxa" w:w="2340"/>
            <w:vAlign w:val="center"/>
          </w:tcPr>
          <w:p>
            <w:pPr>
              <w:jc w:val="center"/>
            </w:pPr>
            <w:r>
              <w:rPr>
                <w:rFonts w:ascii="Times New Roman" w:cs="Times New Roman" w:eastAsia="Times New Roman" w:hAnsi="Times New Roman"/>
                <w:sz w:val="22"/>
                <w:szCs w:val="22"/>
              </w:rPr>
              <w:t xml:space="preserve">Higher_MCQ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3120"/>
            <w:vAlign w:val="center"/>
          </w:tcPr>
          <w:p>
            <w:pPr>
              <w:jc w:val="center"/>
            </w:pPr>
            <w:r>
              <w:rPr>
                <w:rFonts w:ascii="Times New Roman" w:cs="Times New Roman" w:eastAsia="Times New Roman" w:hAnsi="Times New Roman"/>
                <w:sz w:val="22"/>
                <w:szCs w:val="22"/>
              </w:rPr>
              <w:t xml:space="preserve">Phase 1: Domain minimums</w:t>
            </w:r>
          </w:p>
        </w:tc>
        <w:tc>
          <w:tcPr>
            <w:tcW w:type="dxa" w:w="3120"/>
            <w:vAlign w:val="center"/>
          </w:tcPr>
          <w:p>
            <w:pPr>
              <w:jc w:val="center"/>
            </w:pPr>
            <w:r>
              <w:rPr>
                <w:rFonts w:ascii="Times New Roman" w:cs="Times New Roman" w:eastAsia="Times New Roman" w:hAnsi="Times New Roman"/>
                <w:sz w:val="22"/>
                <w:szCs w:val="22"/>
              </w:rPr>
              <w:t xml:space="preserve">Ensure coverage</w:t>
            </w:r>
          </w:p>
        </w:tc>
        <w:tc>
          <w:tcPr>
            <w:tcW w:type="dxa" w:w="3120"/>
            <w:vAlign w:val="center"/>
          </w:tcPr>
          <w:p>
            <w:pPr>
              <w:jc w:val="center"/>
            </w:pPr>
            <w:r>
              <w:rPr>
                <w:rFonts w:ascii="Times New Roman" w:cs="Times New Roman" w:eastAsia="Times New Roman" w:hAnsi="Times New Roman"/>
                <w:sz w:val="22"/>
                <w:szCs w:val="22"/>
              </w:rPr>
              <w:t xml:space="preserve">Select top-Need item from each domain until each has &gt;= 2 items</w:t>
            </w:r>
          </w:p>
        </w:tc>
      </w:tr>
      <w:tr>
        <w:tc>
          <w:tcPr>
            <w:tcW w:type="dxa" w:w="3120"/>
            <w:vAlign w:val="center"/>
          </w:tcPr>
          <w:p>
            <w:pPr>
              <w:jc w:val="center"/>
            </w:pPr>
            <w:r>
              <w:rPr>
                <w:rFonts w:ascii="Times New Roman" w:cs="Times New Roman" w:eastAsia="Times New Roman" w:hAnsi="Times New Roman"/>
                <w:sz w:val="22"/>
                <w:szCs w:val="22"/>
              </w:rPr>
              <w:t xml:space="preserve">Phase 2: Need-based filling</w:t>
            </w:r>
          </w:p>
        </w:tc>
        <w:tc>
          <w:tcPr>
            <w:tcW w:type="dxa" w:w="3120"/>
            <w:vAlign w:val="center"/>
          </w:tcPr>
          <w:p>
            <w:pPr>
              <w:jc w:val="center"/>
            </w:pPr>
            <w:r>
              <w:rPr>
                <w:rFonts w:ascii="Times New Roman" w:cs="Times New Roman" w:eastAsia="Times New Roman" w:hAnsi="Times New Roman"/>
                <w:sz w:val="22"/>
                <w:szCs w:val="22"/>
              </w:rPr>
              <w:t xml:space="preserve">Maximize diagnostic value</w:t>
            </w:r>
          </w:p>
        </w:tc>
        <w:tc>
          <w:tcPr>
            <w:tcW w:type="dxa" w:w="3120"/>
            <w:vAlign w:val="center"/>
          </w:tcPr>
          <w:p>
            <w:pPr>
              <w:jc w:val="center"/>
            </w:pPr>
            <w:r>
              <w:rPr>
                <w:rFonts w:ascii="Times New Roman" w:cs="Times New Roman" w:eastAsia="Times New Roman" w:hAnsi="Times New Roman"/>
                <w:sz w:val="22"/>
                <w:szCs w:val="22"/>
              </w:rPr>
              <w:t xml:space="preserve">Fill remaining slots in descending Need order with 5-level tiebreaker</w:t>
            </w:r>
          </w:p>
        </w:tc>
      </w:tr>
      <w:tr>
        <w:tc>
          <w:tcPr>
            <w:tcW w:type="dxa" w:w="3120"/>
            <w:vAlign w:val="center"/>
          </w:tcPr>
          <w:p>
            <w:pPr>
              <w:jc w:val="center"/>
            </w:pPr>
            <w:r>
              <w:rPr>
                <w:rFonts w:ascii="Times New Roman" w:cs="Times New Roman" w:eastAsia="Times New Roman" w:hAnsi="Times New Roman"/>
                <w:sz w:val="22"/>
                <w:szCs w:val="22"/>
              </w:rPr>
              <w:t xml:space="preserve">Phase 3: Mastery fallback</w:t>
            </w:r>
          </w:p>
        </w:tc>
        <w:tc>
          <w:tcPr>
            <w:tcW w:type="dxa" w:w="3120"/>
            <w:vAlign w:val="center"/>
          </w:tcPr>
          <w:p>
            <w:pPr>
              <w:jc w:val="center"/>
            </w:pPr>
            <w:r>
              <w:rPr>
                <w:rFonts w:ascii="Times New Roman" w:cs="Times New Roman" w:eastAsia="Times New Roman" w:hAnsi="Times New Roman"/>
                <w:sz w:val="22"/>
                <w:szCs w:val="22"/>
              </w:rPr>
              <w:t xml:space="preserve">Avoid empty slots</w:t>
            </w:r>
          </w:p>
        </w:tc>
        <w:tc>
          <w:tcPr>
            <w:tcW w:type="dxa" w:w="3120"/>
            <w:vAlign w:val="center"/>
          </w:tcPr>
          <w:p>
            <w:pPr>
              <w:jc w:val="center"/>
            </w:pPr>
            <w:r>
              <w:rPr>
                <w:rFonts w:ascii="Times New Roman" w:cs="Times New Roman" w:eastAsia="Times New Roman" w:hAnsi="Times New Roman"/>
                <w:sz w:val="22"/>
                <w:szCs w:val="22"/>
              </w:rPr>
              <w:t xml:space="preserve">If fewer than 10 subcategories have Need &gt; 0, add mastery-probing items from strongest subcategories</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A.5: Tiebreaker Hierarchy (When Need Scores Are Equal)</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3120"/>
            <w:vAlign w:val="center"/>
          </w:tcPr>
          <w:p>
            <w:pPr>
              <w:jc w:val="center"/>
            </w:pPr>
            <w:r>
              <w:rPr>
                <w:rFonts w:ascii="Times New Roman" w:cs="Times New Roman" w:eastAsia="Times New Roman" w:hAnsi="Times New Roman"/>
                <w:sz w:val="22"/>
                <w:szCs w:val="22"/>
              </w:rPr>
              <w:t xml:space="preserve">Favor domain with fewer items already selected</w:t>
            </w:r>
          </w:p>
        </w:tc>
      </w:tr>
      <w:tr>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3120"/>
            <w:vAlign w:val="center"/>
          </w:tcPr>
          <w:p>
            <w:pPr>
              <w:jc w:val="center"/>
            </w:pPr>
            <w:r>
              <w:rPr>
                <w:rFonts w:ascii="Times New Roman" w:cs="Times New Roman" w:eastAsia="Times New Roman" w:hAnsi="Times New Roman"/>
                <w:sz w:val="22"/>
                <w:szCs w:val="22"/>
              </w:rPr>
              <w:t xml:space="preserve">True/False prioritized over MCQ (reduces guessing)</w:t>
            </w:r>
          </w:p>
        </w:tc>
      </w:tr>
      <w:tr>
        <w:tc>
          <w:tcPr>
            <w:tcW w:type="dxa" w:w="312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312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3120"/>
            <w:vAlign w:val="center"/>
          </w:tcPr>
          <w:p>
            <w:pPr>
              <w:jc w:val="center"/>
            </w:pPr>
            <w:r>
              <w:rPr>
                <w:rFonts w:ascii="Times New Roman" w:cs="Times New Roman" w:eastAsia="Times New Roman" w:hAnsi="Times New Roman"/>
                <w:sz w:val="22"/>
                <w:szCs w:val="22"/>
              </w:rPr>
              <w:t xml:space="preserve">Borrowing → Investment → Risk Management</w:t>
            </w:r>
          </w:p>
        </w:tc>
      </w:tr>
      <w:tr>
        <w:tc>
          <w:tcPr>
            <w:tcW w:type="dxa" w:w="312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3120"/>
            <w:vAlign w:val="center"/>
          </w:tcPr>
          <w:p>
            <w:pPr>
              <w:jc w:val="center"/>
            </w:pPr>
            <w:r>
              <w:rPr>
                <w:rFonts w:ascii="Times New Roman" w:cs="Times New Roman" w:eastAsia="Times New Roman" w:hAnsi="Times New Roman"/>
                <w:sz w:val="22"/>
                <w:szCs w:val="22"/>
              </w:rPr>
              <w:t xml:space="preserve">Deterministic tie resolution using student hash</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312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Blank, "I don't know," or too short to interpret?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Correct reasoning despite wrong anchor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312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Student self-corrects in explanation?</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Specific wrong mental model identified?</w:t>
            </w:r>
          </w:p>
        </w:tc>
        <w:tc>
          <w:tcPr>
            <w:tcW w:type="dxa" w:w="3120"/>
            <w:vAlign w:val="center"/>
          </w:tcPr>
          <w:p>
            <w:pPr>
              <w:jc w:val="center"/>
            </w:pPr>
            <w:r>
              <w:rPr>
                <w:rFonts w:ascii="Times New Roman" w:cs="Times New Roman" w:eastAsia="Times New Roman" w:hAnsi="Times New Roman"/>
                <w:sz w:val="22"/>
                <w:szCs w:val="22"/>
              </w:rPr>
              <w:t xml:space="preserve">Misconception (assign Layer 1 + Layer 2 codes)</w:t>
            </w:r>
          </w:p>
        </w:tc>
      </w:tr>
      <w:tr>
        <w:tc>
          <w:tcPr>
            <w:tcW w:type="dxa" w:w="312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Vague reasoning,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pPr>
        <w:spacing w:after="200"/>
      </w:pPr>
    </w:p>
    <w:p>
      <w:r>
        <w:br w:type="page"/>
      </w:r>
    </w:p>
    <w:p>
      <w:pPr>
        <w:pStyle w:val="Heading1"/>
        <w:spacing w:before="480" w:after="240"/>
      </w:pPr>
      <w:r>
        <w:rPr>
          <w:rFonts w:ascii="Times New Roman" w:cs="Times New Roman" w:eastAsia="Times New Roman" w:hAnsi="Times New Roman"/>
          <w:sz w:val="24"/>
          <w:szCs w:val="24"/>
        </w:rPr>
        <w:t xml:space="preserve">Appendix B: Assessment Items (Full Question Bank)</w:t>
      </w:r>
    </w:p>
    <w:p>
      <w:pPr>
        <w:pStyle w:val="Heading2"/>
        <w:spacing w:before="360" w:after="180"/>
      </w:pPr>
      <w:r>
        <w:rPr>
          <w:rFonts w:ascii="Times New Roman" w:cs="Times New Roman" w:eastAsia="Times New Roman" w:hAnsi="Times New Roman"/>
          <w:sz w:val="24"/>
          <w:szCs w:val="24"/>
        </w:rPr>
        <w:t xml:space="preserve">Table B.1: Assessment Questions with Categories and Subcategories</w:t>
      </w:r>
    </w:p>
    <w:p>
      <w:pPr>
        <w:spacing w:line="360" w:after="200"/>
      </w:pPr>
      <w:r>
        <w:rPr>
          <w:rFonts w:ascii="Times New Roman" w:cs="Times New Roman" w:eastAsia="Times New Roman" w:hAnsi="Times New Roman"/>
          <w:sz w:val="24"/>
          <w:szCs w:val="24"/>
        </w:rPr>
        <w:t xml:space="preserve">Q15--Q28 are preference items (unscored).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Subcategory</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Demographic Characteristics</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B1--B5</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Financial Background &amp; Context</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B6--B10</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Debt status</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B11--B13</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Compound Interest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Borrowing/Mortgages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Inflation</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Q3, Q6, Q7</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Borrowing/Interest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Saving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Q5</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Q8</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Earning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Q9</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Borrowing/Credit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Diversification</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Q11, Q14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Insurance</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Q12, Q13</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Allocation Preference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Q15</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Loss Aversion</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Q16</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Perception</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Q17</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Social Influence and Herding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Q18</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Retirement Risk Planning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Q19</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Emotional Response to Loss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Q20</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Decision Process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Q21</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Confidence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Q22</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Attitude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Q23</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Reaction to Underperformance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Q24</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Definition of Success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Q25</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Downside Awareness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Q26</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Preference in Income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Q27</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Scam Skepticism</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Q28</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Investing</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Q29, Q30, Q31, Q32</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Basic Probability -- Percentage to Frequency</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Q33</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Diversification Effect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Risk-Return Relationship</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Q35</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Risk Management -- Diversification Principle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Q36</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Risk Management -- Insurance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Q37</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Inflation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Q38</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Asset Class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Q39</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Crisis/Systemic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Q40</w:t>
            </w:r>
          </w:p>
        </w:tc>
        <w:tc>
          <w:tcPr>
            <w:tcW w:type="dxa" w:w="1872"/>
            <w:vAlign w:val="center"/>
          </w:tcPr>
          <w:p>
            <w:pPr>
              <w:jc w:val="center"/>
            </w:pPr>
            <w:r>
              <w:rPr>
                <w:rFonts w:ascii="Times New Roman" w:cs="Times New Roman" w:eastAsia="Times New Roman" w:hAnsi="Times New Roman"/>
                <w:sz w:val="22"/>
                <w:szCs w:val="22"/>
              </w:rPr>
              <w:t xml:space="preserve">Yes</w:t>
            </w:r>
          </w:p>
        </w:tc>
      </w:tr>
    </w:tbl>
    <w:p>
      <w:pPr>
        <w:spacing w:after="200"/>
      </w:pPr>
    </w:p>
    <w:p>
      <w:pPr>
        <w:spacing w:line="360" w:after="200"/>
      </w:pPr>
      <w:r>
        <w:rPr>
          <w:rFonts w:ascii="Times New Roman" w:cs="Times New Roman" w:eastAsia="Times New Roman" w:hAnsi="Times New Roman"/>
          <w:i/>
          <w:iCs/>
          <w:sz w:val="24"/>
          <w:szCs w:val="24"/>
        </w:rPr>
        <w:t xml:space="preserve">(Full question text with answer keys is available in the project repository.)</w:t>
      </w:r>
    </w:p>
    <w:p>
      <w:r>
        <w:br w:type="page"/>
      </w:r>
    </w:p>
    <w:p>
      <w:pPr>
        <w:pStyle w:val="Heading1"/>
        <w:spacing w:before="480" w:after="240"/>
      </w:pPr>
      <w:r>
        <w:rPr>
          <w:rFonts w:ascii="Times New Roman" w:cs="Times New Roman" w:eastAsia="Times New Roman" w:hAnsi="Times New Roman"/>
          <w:sz w:val="24"/>
          <w:szCs w:val="24"/>
        </w:rPr>
        <w:t xml:space="preserve">Appendix C: Financial Literacy Misconception Taxonomy (Layer 1)</w:t>
      </w:r>
    </w:p>
    <w:p>
      <w:pPr>
        <w:spacing w:line="360" w:after="200"/>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spacing w:before="360" w:after="180"/>
      </w:pPr>
      <w:r>
        <w:rPr>
          <w:rFonts w:ascii="Times New Roman" w:cs="Times New Roman" w:eastAsia="Times New Roman" w:hAnsi="Times New Roman"/>
          <w:sz w:val="24"/>
          <w:szCs w:val="24"/>
        </w:rPr>
        <w:t xml:space="preserve">Category 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INF-01</w:t>
            </w:r>
          </w:p>
        </w:tc>
        <w:tc>
          <w:tcPr>
            <w:tcW w:type="dxa" w:w="234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Confuses a decrease in the inflation rate with deflation</w:t>
            </w:r>
          </w:p>
        </w:tc>
        <w:tc>
          <w:tcPr>
            <w:tcW w:type="dxa" w:w="2340"/>
            <w:vAlign w:val="center"/>
          </w:tcPr>
          <w:p>
            <w:pPr>
              <w:jc w:val="center"/>
            </w:pPr>
            <w:r>
              <w:rPr>
                <w:rFonts w:ascii="Times New Roman" w:cs="Times New Roman" w:eastAsia="Times New Roman" w:hAnsi="Times New Roman"/>
                <w:sz w:val="22"/>
                <w:szCs w:val="22"/>
              </w:rPr>
              <w:t xml:space="preserve">Yes, Q6 (dominant)</w:t>
            </w:r>
          </w:p>
        </w:tc>
      </w:tr>
      <w:tr>
        <w:tc>
          <w:tcPr>
            <w:tcW w:type="dxa" w:w="2340"/>
            <w:vAlign w:val="center"/>
          </w:tcPr>
          <w:p>
            <w:pPr>
              <w:jc w:val="center"/>
            </w:pPr>
            <w:r>
              <w:rPr>
                <w:rFonts w:ascii="Times New Roman" w:cs="Times New Roman" w:eastAsia="Times New Roman" w:hAnsi="Times New Roman"/>
                <w:sz w:val="22"/>
                <w:szCs w:val="22"/>
              </w:rPr>
              <w:t xml:space="preserve">INF-02</w:t>
            </w:r>
          </w:p>
        </w:tc>
        <w:tc>
          <w:tcPr>
            <w:tcW w:type="dxa" w:w="234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Does not understand inflation as a general rise in price levels</w:t>
            </w:r>
          </w:p>
        </w:tc>
        <w:tc>
          <w:tcPr>
            <w:tcW w:type="dxa" w:w="2340"/>
            <w:vAlign w:val="center"/>
          </w:tcPr>
          <w:p>
            <w:pPr>
              <w:jc w:val="center"/>
            </w:pPr>
            <w:r>
              <w:rPr>
                <w:rFonts w:ascii="Times New Roman" w:cs="Times New Roman" w:eastAsia="Times New Roman" w:hAnsi="Times New Roman"/>
                <w:sz w:val="22"/>
                <w:szCs w:val="22"/>
              </w:rPr>
              <w:t xml:space="preserve">Yes, Q3</w:t>
            </w:r>
          </w:p>
        </w:tc>
      </w:tr>
      <w:tr>
        <w:tc>
          <w:tcPr>
            <w:tcW w:type="dxa" w:w="2340"/>
            <w:vAlign w:val="center"/>
          </w:tcPr>
          <w:p>
            <w:pPr>
              <w:jc w:val="center"/>
            </w:pPr>
            <w:r>
              <w:rPr>
                <w:rFonts w:ascii="Times New Roman" w:cs="Times New Roman" w:eastAsia="Times New Roman" w:hAnsi="Times New Roman"/>
                <w:sz w:val="22"/>
                <w:szCs w:val="22"/>
              </w:rPr>
              <w:t xml:space="preserve">INF-03</w:t>
            </w:r>
          </w:p>
        </w:tc>
        <w:tc>
          <w:tcPr>
            <w:tcW w:type="dxa" w:w="234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Does not understand why fixed income earners are most hurt</w:t>
            </w:r>
          </w:p>
        </w:tc>
        <w:tc>
          <w:tcPr>
            <w:tcW w:type="dxa" w:w="2340"/>
            <w:vAlign w:val="center"/>
          </w:tcPr>
          <w:p>
            <w:pPr>
              <w:jc w:val="center"/>
            </w:pPr>
            <w:r>
              <w:rPr>
                <w:rFonts w:ascii="Times New Roman" w:cs="Times New Roman" w:eastAsia="Times New Roman" w:hAnsi="Times New Roman"/>
                <w:sz w:val="22"/>
                <w:szCs w:val="22"/>
              </w:rPr>
              <w:t xml:space="preserve">Yes, Q7</w:t>
            </w:r>
          </w:p>
        </w:tc>
      </w:tr>
      <w:tr>
        <w:tc>
          <w:tcPr>
            <w:tcW w:type="dxa" w:w="2340"/>
            <w:vAlign w:val="center"/>
          </w:tcPr>
          <w:p>
            <w:pPr>
              <w:jc w:val="center"/>
            </w:pPr>
            <w:r>
              <w:rPr>
                <w:rFonts w:ascii="Times New Roman" w:cs="Times New Roman" w:eastAsia="Times New Roman" w:hAnsi="Times New Roman"/>
                <w:sz w:val="22"/>
                <w:szCs w:val="22"/>
              </w:rPr>
              <w:t xml:space="preserve">INF-04</w:t>
            </w:r>
          </w:p>
        </w:tc>
        <w:tc>
          <w:tcPr>
            <w:tcW w:type="dxa" w:w="234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Does not know which assets/contracts benefit from inflation</w:t>
            </w:r>
          </w:p>
        </w:tc>
        <w:tc>
          <w:tcPr>
            <w:tcW w:type="dxa" w:w="2340"/>
            <w:vAlign w:val="center"/>
          </w:tcPr>
          <w:p>
            <w:pPr>
              <w:jc w:val="center"/>
            </w:pPr>
            <w:r>
              <w:rPr>
                <w:rFonts w:ascii="Times New Roman" w:cs="Times New Roman" w:eastAsia="Times New Roman" w:hAnsi="Times New Roman"/>
                <w:sz w:val="22"/>
                <w:szCs w:val="22"/>
              </w:rPr>
              <w:t xml:space="preserve">Yes, Q38</w:t>
            </w:r>
          </w:p>
        </w:tc>
      </w:tr>
      <w:tr>
        <w:tc>
          <w:tcPr>
            <w:tcW w:type="dxa" w:w="2340"/>
            <w:vAlign w:val="center"/>
          </w:tcPr>
          <w:p>
            <w:pPr>
              <w:jc w:val="center"/>
            </w:pPr>
            <w:r>
              <w:rPr>
                <w:rFonts w:ascii="Times New Roman" w:cs="Times New Roman" w:eastAsia="Times New Roman" w:hAnsi="Times New Roman"/>
                <w:sz w:val="22"/>
                <w:szCs w:val="22"/>
              </w:rPr>
              <w:t xml:space="preserve">INF-05</w:t>
            </w:r>
          </w:p>
        </w:tc>
        <w:tc>
          <w:tcPr>
            <w:tcW w:type="dxa" w:w="234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Selects "who is hurt most" based on personal identification, not economic logic</w:t>
            </w:r>
          </w:p>
        </w:tc>
        <w:tc>
          <w:tcPr>
            <w:tcW w:type="dxa" w:w="2340"/>
            <w:vAlign w:val="center"/>
          </w:tcPr>
          <w:p>
            <w:pPr>
              <w:jc w:val="center"/>
            </w:pPr>
            <w:r>
              <w:rPr>
                <w:rFonts w:ascii="Times New Roman" w:cs="Times New Roman" w:eastAsia="Times New Roman" w:hAnsi="Times New Roman"/>
                <w:sz w:val="22"/>
                <w:szCs w:val="22"/>
              </w:rPr>
              <w:t xml:space="preserve">Yes, Q7</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INT-01</w:t>
            </w:r>
          </w:p>
        </w:tc>
        <w:tc>
          <w:tcPr>
            <w:tcW w:type="dxa" w:w="234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Believes saving money costs the saver through interest charges</w:t>
            </w:r>
          </w:p>
        </w:tc>
        <w:tc>
          <w:tcPr>
            <w:tcW w:type="dxa" w:w="2340"/>
            <w:vAlign w:val="center"/>
          </w:tcPr>
          <w:p>
            <w:pPr>
              <w:jc w:val="center"/>
            </w:pPr>
            <w:r>
              <w:rPr>
                <w:rFonts w:ascii="Times New Roman" w:cs="Times New Roman" w:eastAsia="Times New Roman" w:hAnsi="Times New Roman"/>
                <w:sz w:val="22"/>
                <w:szCs w:val="22"/>
              </w:rPr>
              <w:t xml:space="preserve">Yes, Q1</w:t>
            </w:r>
          </w:p>
        </w:tc>
      </w:tr>
      <w:tr>
        <w:tc>
          <w:tcPr>
            <w:tcW w:type="dxa" w:w="2340"/>
            <w:vAlign w:val="center"/>
          </w:tcPr>
          <w:p>
            <w:pPr>
              <w:jc w:val="center"/>
            </w:pPr>
            <w:r>
              <w:rPr>
                <w:rFonts w:ascii="Times New Roman" w:cs="Times New Roman" w:eastAsia="Times New Roman" w:hAnsi="Times New Roman"/>
                <w:sz w:val="22"/>
                <w:szCs w:val="22"/>
              </w:rPr>
              <w:t xml:space="preserve">INT-02</w:t>
            </w:r>
          </w:p>
        </w:tc>
        <w:tc>
          <w:tcPr>
            <w:tcW w:type="dxa" w:w="234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Calculates simple interest only</w:t>
            </w:r>
          </w:p>
        </w:tc>
        <w:tc>
          <w:tcPr>
            <w:tcW w:type="dxa" w:w="2340"/>
            <w:vAlign w:val="center"/>
          </w:tcPr>
          <w:p>
            <w:pPr>
              <w:jc w:val="center"/>
            </w:pPr>
            <w:r>
              <w:rPr>
                <w:rFonts w:ascii="Times New Roman" w:cs="Times New Roman" w:eastAsia="Times New Roman" w:hAnsi="Times New Roman"/>
                <w:sz w:val="22"/>
                <w:szCs w:val="22"/>
              </w:rPr>
              <w:t xml:space="preserve">Yes, Q1</w:t>
            </w:r>
          </w:p>
        </w:tc>
      </w:tr>
      <w:tr>
        <w:tc>
          <w:tcPr>
            <w:tcW w:type="dxa" w:w="2340"/>
            <w:vAlign w:val="center"/>
          </w:tcPr>
          <w:p>
            <w:pPr>
              <w:jc w:val="center"/>
            </w:pPr>
            <w:r>
              <w:rPr>
                <w:rFonts w:ascii="Times New Roman" w:cs="Times New Roman" w:eastAsia="Times New Roman" w:hAnsi="Times New Roman"/>
                <w:sz w:val="22"/>
                <w:szCs w:val="22"/>
              </w:rPr>
              <w:t xml:space="preserve">INT-03</w:t>
            </w:r>
          </w:p>
        </w:tc>
        <w:tc>
          <w:tcPr>
            <w:tcW w:type="dxa" w:w="234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Believes total interest is the same regardless of loan length</w:t>
            </w:r>
          </w:p>
        </w:tc>
        <w:tc>
          <w:tcPr>
            <w:tcW w:type="dxa" w:w="2340"/>
            <w:vAlign w:val="center"/>
          </w:tcPr>
          <w:p>
            <w:pPr>
              <w:jc w:val="center"/>
            </w:pPr>
            <w:r>
              <w:rPr>
                <w:rFonts w:ascii="Times New Roman" w:cs="Times New Roman" w:eastAsia="Times New Roman" w:hAnsi="Times New Roman"/>
                <w:sz w:val="22"/>
                <w:szCs w:val="22"/>
              </w:rPr>
              <w:t xml:space="preserve">Yes, Q2</w:t>
            </w:r>
          </w:p>
        </w:tc>
      </w:tr>
      <w:tr>
        <w:tc>
          <w:tcPr>
            <w:tcW w:type="dxa" w:w="2340"/>
            <w:vAlign w:val="center"/>
          </w:tcPr>
          <w:p>
            <w:pPr>
              <w:jc w:val="center"/>
            </w:pPr>
            <w:r>
              <w:rPr>
                <w:rFonts w:ascii="Times New Roman" w:cs="Times New Roman" w:eastAsia="Times New Roman" w:hAnsi="Times New Roman"/>
                <w:sz w:val="22"/>
                <w:szCs w:val="22"/>
              </w:rPr>
              <w:t xml:space="preserve">INT-04</w:t>
            </w:r>
          </w:p>
        </w:tc>
        <w:tc>
          <w:tcPr>
            <w:tcW w:type="dxa" w:w="234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Believes shorter loan terms cost more because payments are higher</w:t>
            </w:r>
          </w:p>
        </w:tc>
        <w:tc>
          <w:tcPr>
            <w:tcW w:type="dxa" w:w="2340"/>
            <w:vAlign w:val="center"/>
          </w:tcPr>
          <w:p>
            <w:pPr>
              <w:jc w:val="center"/>
            </w:pPr>
            <w:r>
              <w:rPr>
                <w:rFonts w:ascii="Times New Roman" w:cs="Times New Roman" w:eastAsia="Times New Roman" w:hAnsi="Times New Roman"/>
                <w:sz w:val="22"/>
                <w:szCs w:val="22"/>
              </w:rPr>
              <w:t xml:space="preserve">Yes, Q2</w:t>
            </w:r>
          </w:p>
        </w:tc>
      </w:tr>
      <w:tr>
        <w:tc>
          <w:tcPr>
            <w:tcW w:type="dxa" w:w="2340"/>
            <w:vAlign w:val="center"/>
          </w:tcPr>
          <w:p>
            <w:pPr>
              <w:jc w:val="center"/>
            </w:pPr>
            <w:r>
              <w:rPr>
                <w:rFonts w:ascii="Times New Roman" w:cs="Times New Roman" w:eastAsia="Times New Roman" w:hAnsi="Times New Roman"/>
                <w:sz w:val="22"/>
                <w:szCs w:val="22"/>
              </w:rPr>
              <w:t xml:space="preserve">INT-05</w:t>
            </w:r>
          </w:p>
        </w:tc>
        <w:tc>
          <w:tcPr>
            <w:tcW w:type="dxa" w:w="234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Believes consumer interest rates are fixed by authorities</w:t>
            </w:r>
          </w:p>
        </w:tc>
        <w:tc>
          <w:tcPr>
            <w:tcW w:type="dxa" w:w="2340"/>
            <w:vAlign w:val="center"/>
          </w:tcPr>
          <w:p>
            <w:pPr>
              <w:jc w:val="center"/>
            </w:pPr>
            <w:r>
              <w:rPr>
                <w:rFonts w:ascii="Times New Roman" w:cs="Times New Roman" w:eastAsia="Times New Roman" w:hAnsi="Times New Roman"/>
                <w:sz w:val="22"/>
                <w:szCs w:val="22"/>
              </w:rPr>
              <w:t xml:space="preserve">Yes, Q8</w:t>
            </w:r>
          </w:p>
        </w:tc>
      </w:tr>
      <w:tr>
        <w:tc>
          <w:tcPr>
            <w:tcW w:type="dxa" w:w="2340"/>
            <w:vAlign w:val="center"/>
          </w:tcPr>
          <w:p>
            <w:pPr>
              <w:jc w:val="center"/>
            </w:pPr>
            <w:r>
              <w:rPr>
                <w:rFonts w:ascii="Times New Roman" w:cs="Times New Roman" w:eastAsia="Times New Roman" w:hAnsi="Times New Roman"/>
                <w:sz w:val="22"/>
                <w:szCs w:val="22"/>
              </w:rPr>
              <w:t xml:space="preserve">INT-06</w:t>
            </w:r>
          </w:p>
        </w:tc>
        <w:tc>
          <w:tcPr>
            <w:tcW w:type="dxa" w:w="2340"/>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2340"/>
            <w:vAlign w:val="center"/>
          </w:tcPr>
          <w:p>
            <w:pPr>
              <w:jc w:val="center"/>
            </w:pPr>
            <w:r>
              <w:rPr>
                <w:rFonts w:ascii="Times New Roman" w:cs="Times New Roman" w:eastAsia="Times New Roman" w:hAnsi="Times New Roman"/>
                <w:sz w:val="22"/>
                <w:szCs w:val="22"/>
              </w:rPr>
              <w:t xml:space="preserve">Believes bond prices rise when interest rates rise</w:t>
            </w:r>
          </w:p>
        </w:tc>
        <w:tc>
          <w:tcPr>
            <w:tcW w:type="dxa" w:w="2340"/>
            <w:vAlign w:val="center"/>
          </w:tcPr>
          <w:p>
            <w:pPr>
              <w:jc w:val="center"/>
            </w:pPr>
            <w:r>
              <w:rPr>
                <w:rFonts w:ascii="Times New Roman" w:cs="Times New Roman" w:eastAsia="Times New Roman" w:hAnsi="Times New Roman"/>
                <w:sz w:val="22"/>
                <w:szCs w:val="22"/>
              </w:rPr>
              <w:t xml:space="preserve">Yes, Q29</w:t>
            </w:r>
          </w:p>
        </w:tc>
      </w:tr>
      <w:tr>
        <w:tc>
          <w:tcPr>
            <w:tcW w:type="dxa" w:w="2340"/>
            <w:vAlign w:val="center"/>
          </w:tcPr>
          <w:p>
            <w:pPr>
              <w:jc w:val="center"/>
            </w:pPr>
            <w:r>
              <w:rPr>
                <w:rFonts w:ascii="Times New Roman" w:cs="Times New Roman" w:eastAsia="Times New Roman" w:hAnsi="Times New Roman"/>
                <w:sz w:val="22"/>
                <w:szCs w:val="22"/>
              </w:rPr>
              <w:t xml:space="preserve">INT-07</w:t>
            </w:r>
          </w:p>
        </w:tc>
        <w:tc>
          <w:tcPr>
            <w:tcW w:type="dxa" w:w="234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Cannot calculate interest on a simple borrow/repay scenario</w:t>
            </w:r>
          </w:p>
        </w:tc>
        <w:tc>
          <w:tcPr>
            <w:tcW w:type="dxa" w:w="2340"/>
            <w:vAlign w:val="center"/>
          </w:tcPr>
          <w:p>
            <w:pPr>
              <w:jc w:val="center"/>
            </w:pPr>
            <w:r>
              <w:rPr>
                <w:rFonts w:ascii="Times New Roman" w:cs="Times New Roman" w:eastAsia="Times New Roman" w:hAnsi="Times New Roman"/>
                <w:sz w:val="22"/>
                <w:szCs w:val="22"/>
              </w:rPr>
              <w:t xml:space="preserve">Yes, Q4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RISK-01</w:t>
            </w:r>
          </w:p>
        </w:tc>
        <w:tc>
          <w:tcPr>
            <w:tcW w:type="dxa" w:w="234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Equates low risk with high returns</w:t>
            </w:r>
          </w:p>
        </w:tc>
        <w:tc>
          <w:tcPr>
            <w:tcW w:type="dxa" w:w="2340"/>
            <w:vAlign w:val="center"/>
          </w:tcPr>
          <w:p>
            <w:pPr>
              <w:jc w:val="center"/>
            </w:pPr>
            <w:r>
              <w:rPr>
                <w:rFonts w:ascii="Times New Roman" w:cs="Times New Roman" w:eastAsia="Times New Roman" w:hAnsi="Times New Roman"/>
                <w:sz w:val="22"/>
                <w:szCs w:val="22"/>
              </w:rPr>
              <w:t xml:space="preserve">Yes, Q32</w:t>
            </w:r>
          </w:p>
        </w:tc>
      </w:tr>
      <w:tr>
        <w:tc>
          <w:tcPr>
            <w:tcW w:type="dxa" w:w="2340"/>
            <w:vAlign w:val="center"/>
          </w:tcPr>
          <w:p>
            <w:pPr>
              <w:jc w:val="center"/>
            </w:pPr>
            <w:r>
              <w:rPr>
                <w:rFonts w:ascii="Times New Roman" w:cs="Times New Roman" w:eastAsia="Times New Roman" w:hAnsi="Times New Roman"/>
                <w:sz w:val="22"/>
                <w:szCs w:val="22"/>
              </w:rPr>
              <w:t xml:space="preserve">RISK-02</w:t>
            </w:r>
          </w:p>
        </w:tc>
        <w:tc>
          <w:tcPr>
            <w:tcW w:type="dxa" w:w="234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Believes specific exceptions invalidate the risk-return principle</w:t>
            </w:r>
          </w:p>
        </w:tc>
        <w:tc>
          <w:tcPr>
            <w:tcW w:type="dxa" w:w="2340"/>
            <w:vAlign w:val="center"/>
          </w:tcPr>
          <w:p>
            <w:pPr>
              <w:jc w:val="center"/>
            </w:pPr>
            <w:r>
              <w:rPr>
                <w:rFonts w:ascii="Times New Roman" w:cs="Times New Roman" w:eastAsia="Times New Roman" w:hAnsi="Times New Roman"/>
                <w:sz w:val="22"/>
                <w:szCs w:val="22"/>
              </w:rPr>
              <w:t xml:space="preserve">Yes, Q30, Q35</w:t>
            </w:r>
          </w:p>
        </w:tc>
      </w:tr>
      <w:tr>
        <w:tc>
          <w:tcPr>
            <w:tcW w:type="dxa" w:w="2340"/>
            <w:vAlign w:val="center"/>
          </w:tcPr>
          <w:p>
            <w:pPr>
              <w:jc w:val="center"/>
            </w:pPr>
            <w:r>
              <w:rPr>
                <w:rFonts w:ascii="Times New Roman" w:cs="Times New Roman" w:eastAsia="Times New Roman" w:hAnsi="Times New Roman"/>
                <w:sz w:val="22"/>
                <w:szCs w:val="22"/>
              </w:rPr>
              <w:t xml:space="preserve">RISK-03</w:t>
            </w:r>
          </w:p>
        </w:tc>
        <w:tc>
          <w:tcPr>
            <w:tcW w:type="dxa" w:w="234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Believes spreading across assets increases complexity and risk</w:t>
            </w:r>
          </w:p>
        </w:tc>
        <w:tc>
          <w:tcPr>
            <w:tcW w:type="dxa" w:w="2340"/>
            <w:vAlign w:val="center"/>
          </w:tcPr>
          <w:p>
            <w:pPr>
              <w:jc w:val="center"/>
            </w:pPr>
            <w:r>
              <w:rPr>
                <w:rFonts w:ascii="Times New Roman" w:cs="Times New Roman" w:eastAsia="Times New Roman" w:hAnsi="Times New Roman"/>
                <w:sz w:val="22"/>
                <w:szCs w:val="22"/>
              </w:rPr>
              <w:t xml:space="preserve">Yes, Q14, Q34</w:t>
            </w:r>
          </w:p>
        </w:tc>
      </w:tr>
      <w:tr>
        <w:tc>
          <w:tcPr>
            <w:tcW w:type="dxa" w:w="2340"/>
            <w:vAlign w:val="center"/>
          </w:tcPr>
          <w:p>
            <w:pPr>
              <w:jc w:val="center"/>
            </w:pPr>
            <w:r>
              <w:rPr>
                <w:rFonts w:ascii="Times New Roman" w:cs="Times New Roman" w:eastAsia="Times New Roman" w:hAnsi="Times New Roman"/>
                <w:sz w:val="22"/>
                <w:szCs w:val="22"/>
              </w:rPr>
              <w:t xml:space="preserve">RISK-04</w:t>
            </w:r>
          </w:p>
        </w:tc>
        <w:tc>
          <w:tcPr>
            <w:tcW w:type="dxa" w:w="234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Correct reasoning but wrong answer (selection error)</w:t>
            </w:r>
          </w:p>
        </w:tc>
        <w:tc>
          <w:tcPr>
            <w:tcW w:type="dxa" w:w="2340"/>
            <w:vAlign w:val="center"/>
          </w:tcPr>
          <w:p>
            <w:pPr>
              <w:jc w:val="center"/>
            </w:pPr>
            <w:r>
              <w:rPr>
                <w:rFonts w:ascii="Times New Roman" w:cs="Times New Roman" w:eastAsia="Times New Roman" w:hAnsi="Times New Roman"/>
                <w:sz w:val="22"/>
                <w:szCs w:val="22"/>
              </w:rPr>
              <w:t xml:space="preserve">Yes, Q36</w:t>
            </w:r>
          </w:p>
        </w:tc>
      </w:tr>
      <w:tr>
        <w:tc>
          <w:tcPr>
            <w:tcW w:type="dxa" w:w="2340"/>
            <w:vAlign w:val="center"/>
          </w:tcPr>
          <w:p>
            <w:pPr>
              <w:jc w:val="center"/>
            </w:pPr>
            <w:r>
              <w:rPr>
                <w:rFonts w:ascii="Times New Roman" w:cs="Times New Roman" w:eastAsia="Times New Roman" w:hAnsi="Times New Roman"/>
                <w:sz w:val="22"/>
                <w:szCs w:val="22"/>
              </w:rPr>
              <w:t xml:space="preserve">RISK-05</w:t>
            </w:r>
          </w:p>
        </w:tc>
        <w:tc>
          <w:tcPr>
            <w:tcW w:type="dxa" w:w="234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Believes concentrated investment is safer</w:t>
            </w:r>
          </w:p>
        </w:tc>
        <w:tc>
          <w:tcPr>
            <w:tcW w:type="dxa" w:w="2340"/>
            <w:vAlign w:val="center"/>
          </w:tcPr>
          <w:p>
            <w:pPr>
              <w:jc w:val="center"/>
            </w:pPr>
            <w:r>
              <w:rPr>
                <w:rFonts w:ascii="Times New Roman" w:cs="Times New Roman" w:eastAsia="Times New Roman" w:hAnsi="Times New Roman"/>
                <w:sz w:val="22"/>
                <w:szCs w:val="22"/>
              </w:rPr>
              <w:t xml:space="preserve">Yes, Q11</w:t>
            </w:r>
          </w:p>
        </w:tc>
      </w:tr>
      <w:tr>
        <w:tc>
          <w:tcPr>
            <w:tcW w:type="dxa" w:w="2340"/>
            <w:vAlign w:val="center"/>
          </w:tcPr>
          <w:p>
            <w:pPr>
              <w:jc w:val="center"/>
            </w:pPr>
            <w:r>
              <w:rPr>
                <w:rFonts w:ascii="Times New Roman" w:cs="Times New Roman" w:eastAsia="Times New Roman" w:hAnsi="Times New Roman"/>
                <w:sz w:val="22"/>
                <w:szCs w:val="22"/>
              </w:rPr>
              <w:t xml:space="preserve">RISK-06</w:t>
            </w:r>
          </w:p>
        </w:tc>
        <w:tc>
          <w:tcPr>
            <w:tcW w:type="dxa" w:w="234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Does not know what a mutual fund is</w:t>
            </w:r>
          </w:p>
        </w:tc>
        <w:tc>
          <w:tcPr>
            <w:tcW w:type="dxa" w:w="2340"/>
            <w:vAlign w:val="center"/>
          </w:tcPr>
          <w:p>
            <w:pPr>
              <w:jc w:val="center"/>
            </w:pPr>
            <w:r>
              <w:rPr>
                <w:rFonts w:ascii="Times New Roman" w:cs="Times New Roman" w:eastAsia="Times New Roman" w:hAnsi="Times New Roman"/>
                <w:sz w:val="22"/>
                <w:szCs w:val="22"/>
              </w:rPr>
              <w:t xml:space="preserve">Yes, Q11 (KG)</w:t>
            </w:r>
          </w:p>
        </w:tc>
      </w:tr>
      <w:tr>
        <w:tc>
          <w:tcPr>
            <w:tcW w:type="dxa" w:w="2340"/>
            <w:vAlign w:val="center"/>
          </w:tcPr>
          <w:p>
            <w:pPr>
              <w:jc w:val="center"/>
            </w:pPr>
            <w:r>
              <w:rPr>
                <w:rFonts w:ascii="Times New Roman" w:cs="Times New Roman" w:eastAsia="Times New Roman" w:hAnsi="Times New Roman"/>
                <w:sz w:val="22"/>
                <w:szCs w:val="22"/>
              </w:rPr>
              <w:t xml:space="preserve">RISK-07</w:t>
            </w:r>
          </w:p>
        </w:tc>
        <w:tc>
          <w:tcPr>
            <w:tcW w:type="dxa" w:w="234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Believes the stock market guarantees profit</w:t>
            </w:r>
          </w:p>
        </w:tc>
        <w:tc>
          <w:tcPr>
            <w:tcW w:type="dxa" w:w="2340"/>
            <w:vAlign w:val="center"/>
          </w:tcPr>
          <w:p>
            <w:pPr>
              <w:jc w:val="center"/>
            </w:pPr>
            <w:r>
              <w:rPr>
                <w:rFonts w:ascii="Times New Roman" w:cs="Times New Roman" w:eastAsia="Times New Roman" w:hAnsi="Times New Roman"/>
                <w:sz w:val="22"/>
                <w:szCs w:val="22"/>
              </w:rPr>
              <w:t xml:space="preserve">Yes, Q31</w:t>
            </w:r>
          </w:p>
        </w:tc>
      </w:tr>
      <w:tr>
        <w:tc>
          <w:tcPr>
            <w:tcW w:type="dxa" w:w="2340"/>
            <w:vAlign w:val="center"/>
          </w:tcPr>
          <w:p>
            <w:pPr>
              <w:jc w:val="center"/>
            </w:pPr>
            <w:r>
              <w:rPr>
                <w:rFonts w:ascii="Times New Roman" w:cs="Times New Roman" w:eastAsia="Times New Roman" w:hAnsi="Times New Roman"/>
                <w:sz w:val="22"/>
                <w:szCs w:val="22"/>
              </w:rPr>
              <w:t xml:space="preserve">RISK-08</w:t>
            </w:r>
          </w:p>
        </w:tc>
        <w:tc>
          <w:tcPr>
            <w:tcW w:type="dxa" w:w="234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Does not know stocks are generally riskier than bonds</w:t>
            </w:r>
          </w:p>
        </w:tc>
        <w:tc>
          <w:tcPr>
            <w:tcW w:type="dxa" w:w="2340"/>
            <w:vAlign w:val="center"/>
          </w:tcPr>
          <w:p>
            <w:pPr>
              <w:jc w:val="center"/>
            </w:pPr>
            <w:r>
              <w:rPr>
                <w:rFonts w:ascii="Times New Roman" w:cs="Times New Roman" w:eastAsia="Times New Roman" w:hAnsi="Times New Roman"/>
                <w:sz w:val="22"/>
                <w:szCs w:val="22"/>
              </w:rPr>
              <w:t xml:space="preserve">Yes, Q39</w:t>
            </w:r>
          </w:p>
        </w:tc>
      </w:tr>
      <w:tr>
        <w:tc>
          <w:tcPr>
            <w:tcW w:type="dxa" w:w="2340"/>
            <w:vAlign w:val="center"/>
          </w:tcPr>
          <w:p>
            <w:pPr>
              <w:jc w:val="center"/>
            </w:pPr>
            <w:r>
              <w:rPr>
                <w:rFonts w:ascii="Times New Roman" w:cs="Times New Roman" w:eastAsia="Times New Roman" w:hAnsi="Times New Roman"/>
                <w:sz w:val="22"/>
                <w:szCs w:val="22"/>
              </w:rPr>
              <w:t xml:space="preserve">RISK-09</w:t>
            </w:r>
          </w:p>
        </w:tc>
        <w:tc>
          <w:tcPr>
            <w:tcW w:type="dxa" w:w="234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Does not know stocks have historically highest long-term returns</w:t>
            </w:r>
          </w:p>
        </w:tc>
        <w:tc>
          <w:tcPr>
            <w:tcW w:type="dxa" w:w="2340"/>
            <w:vAlign w:val="center"/>
          </w:tcPr>
          <w:p>
            <w:pPr>
              <w:jc w:val="center"/>
            </w:pPr>
            <w:r>
              <w:rPr>
                <w:rFonts w:ascii="Times New Roman" w:cs="Times New Roman" w:eastAsia="Times New Roman" w:hAnsi="Times New Roman"/>
                <w:sz w:val="22"/>
                <w:szCs w:val="22"/>
              </w:rPr>
              <w:t xml:space="preserve">Yes, Q32</w:t>
            </w:r>
          </w:p>
        </w:tc>
      </w:tr>
      <w:tr>
        <w:tc>
          <w:tcPr>
            <w:tcW w:type="dxa" w:w="2340"/>
            <w:vAlign w:val="center"/>
          </w:tcPr>
          <w:p>
            <w:pPr>
              <w:jc w:val="center"/>
            </w:pPr>
            <w:r>
              <w:rPr>
                <w:rFonts w:ascii="Times New Roman" w:cs="Times New Roman" w:eastAsia="Times New Roman" w:hAnsi="Times New Roman"/>
                <w:sz w:val="22"/>
                <w:szCs w:val="22"/>
              </w:rPr>
              <w:t xml:space="preserve">RISK-10</w:t>
            </w:r>
          </w:p>
        </w:tc>
        <w:tc>
          <w:tcPr>
            <w:tcW w:type="dxa" w:w="234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Uses non-financial scenarios to disprove financial principles</w:t>
            </w:r>
          </w:p>
        </w:tc>
        <w:tc>
          <w:tcPr>
            <w:tcW w:type="dxa" w:w="2340"/>
            <w:vAlign w:val="center"/>
          </w:tcPr>
          <w:p>
            <w:pPr>
              <w:jc w:val="center"/>
            </w:pPr>
            <w:r>
              <w:rPr>
                <w:rFonts w:ascii="Times New Roman" w:cs="Times New Roman" w:eastAsia="Times New Roman" w:hAnsi="Times New Roman"/>
                <w:sz w:val="22"/>
                <w:szCs w:val="22"/>
              </w:rPr>
              <w:t xml:space="preserve">Yes, Q35</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INS-01</w:t>
            </w:r>
          </w:p>
        </w:tc>
        <w:tc>
          <w:tcPr>
            <w:tcW w:type="dxa" w:w="234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Believes health insurance exists mainly for checkups</w:t>
            </w:r>
          </w:p>
        </w:tc>
        <w:tc>
          <w:tcPr>
            <w:tcW w:type="dxa" w:w="2340"/>
            <w:vAlign w:val="center"/>
          </w:tcPr>
          <w:p>
            <w:pPr>
              <w:jc w:val="center"/>
            </w:pPr>
            <w:r>
              <w:rPr>
                <w:rFonts w:ascii="Times New Roman" w:cs="Times New Roman" w:eastAsia="Times New Roman" w:hAnsi="Times New Roman"/>
                <w:sz w:val="22"/>
                <w:szCs w:val="22"/>
              </w:rPr>
              <w:t xml:space="preserve">Yes, Q12</w:t>
            </w:r>
          </w:p>
        </w:tc>
      </w:tr>
      <w:tr>
        <w:tc>
          <w:tcPr>
            <w:tcW w:type="dxa" w:w="2340"/>
            <w:vAlign w:val="center"/>
          </w:tcPr>
          <w:p>
            <w:pPr>
              <w:jc w:val="center"/>
            </w:pPr>
            <w:r>
              <w:rPr>
                <w:rFonts w:ascii="Times New Roman" w:cs="Times New Roman" w:eastAsia="Times New Roman" w:hAnsi="Times New Roman"/>
                <w:sz w:val="22"/>
                <w:szCs w:val="22"/>
              </w:rPr>
              <w:t xml:space="preserve">INS-02</w:t>
            </w:r>
          </w:p>
        </w:tc>
        <w:tc>
          <w:tcPr>
            <w:tcW w:type="dxa" w:w="234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Because routine care is used more often, it must be primary</w:t>
            </w:r>
          </w:p>
        </w:tc>
        <w:tc>
          <w:tcPr>
            <w:tcW w:type="dxa" w:w="2340"/>
            <w:vAlign w:val="center"/>
          </w:tcPr>
          <w:p>
            <w:pPr>
              <w:jc w:val="center"/>
            </w:pPr>
            <w:r>
              <w:rPr>
                <w:rFonts w:ascii="Times New Roman" w:cs="Times New Roman" w:eastAsia="Times New Roman" w:hAnsi="Times New Roman"/>
                <w:sz w:val="22"/>
                <w:szCs w:val="22"/>
              </w:rPr>
              <w:t xml:space="preserve">Yes, Q12</w:t>
            </w:r>
          </w:p>
        </w:tc>
      </w:tr>
      <w:tr>
        <w:tc>
          <w:tcPr>
            <w:tcW w:type="dxa" w:w="2340"/>
            <w:vAlign w:val="center"/>
          </w:tcPr>
          <w:p>
            <w:pPr>
              <w:jc w:val="center"/>
            </w:pPr>
            <w:r>
              <w:rPr>
                <w:rFonts w:ascii="Times New Roman" w:cs="Times New Roman" w:eastAsia="Times New Roman" w:hAnsi="Times New Roman"/>
                <w:sz w:val="22"/>
                <w:szCs w:val="22"/>
              </w:rPr>
              <w:t xml:space="preserve">INS-03</w:t>
            </w:r>
          </w:p>
        </w:tc>
        <w:tc>
          <w:tcPr>
            <w:tcW w:type="dxa" w:w="234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Confuses deductible with premium, copay, or max payout</w:t>
            </w:r>
          </w:p>
        </w:tc>
        <w:tc>
          <w:tcPr>
            <w:tcW w:type="dxa" w:w="2340"/>
            <w:vAlign w:val="center"/>
          </w:tcPr>
          <w:p>
            <w:pPr>
              <w:jc w:val="center"/>
            </w:pPr>
            <w:r>
              <w:rPr>
                <w:rFonts w:ascii="Times New Roman" w:cs="Times New Roman" w:eastAsia="Times New Roman" w:hAnsi="Times New Roman"/>
                <w:sz w:val="22"/>
                <w:szCs w:val="22"/>
              </w:rPr>
              <w:t xml:space="preserve">Yes, Q13</w:t>
            </w:r>
          </w:p>
        </w:tc>
      </w:tr>
      <w:tr>
        <w:tc>
          <w:tcPr>
            <w:tcW w:type="dxa" w:w="2340"/>
            <w:vAlign w:val="center"/>
          </w:tcPr>
          <w:p>
            <w:pPr>
              <w:jc w:val="center"/>
            </w:pPr>
            <w:r>
              <w:rPr>
                <w:rFonts w:ascii="Times New Roman" w:cs="Times New Roman" w:eastAsia="Times New Roman" w:hAnsi="Times New Roman"/>
                <w:sz w:val="22"/>
                <w:szCs w:val="22"/>
              </w:rPr>
              <w:t xml:space="preserve">INS-04</w:t>
            </w:r>
          </w:p>
        </w:tc>
        <w:tc>
          <w:tcPr>
            <w:tcW w:type="dxa" w:w="234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Believes auto liability covers own injuries</w:t>
            </w:r>
          </w:p>
        </w:tc>
        <w:tc>
          <w:tcPr>
            <w:tcW w:type="dxa" w:w="2340"/>
            <w:vAlign w:val="center"/>
          </w:tcPr>
          <w:p>
            <w:pPr>
              <w:jc w:val="center"/>
            </w:pPr>
            <w:r>
              <w:rPr>
                <w:rFonts w:ascii="Times New Roman" w:cs="Times New Roman" w:eastAsia="Times New Roman" w:hAnsi="Times New Roman"/>
                <w:sz w:val="22"/>
                <w:szCs w:val="22"/>
              </w:rPr>
              <w:t xml:space="preserve">Yes, Q37</w:t>
            </w:r>
          </w:p>
        </w:tc>
      </w:tr>
      <w:tr>
        <w:tc>
          <w:tcPr>
            <w:tcW w:type="dxa" w:w="2340"/>
            <w:vAlign w:val="center"/>
          </w:tcPr>
          <w:p>
            <w:pPr>
              <w:jc w:val="center"/>
            </w:pPr>
            <w:r>
              <w:rPr>
                <w:rFonts w:ascii="Times New Roman" w:cs="Times New Roman" w:eastAsia="Times New Roman" w:hAnsi="Times New Roman"/>
                <w:sz w:val="22"/>
                <w:szCs w:val="22"/>
              </w:rPr>
              <w:t xml:space="preserve">INS-05</w:t>
            </w:r>
          </w:p>
        </w:tc>
        <w:tc>
          <w:tcPr>
            <w:tcW w:type="dxa" w:w="234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Believes insurance does not cover major unexpected expenses</w:t>
            </w:r>
          </w:p>
        </w:tc>
        <w:tc>
          <w:tcPr>
            <w:tcW w:type="dxa" w:w="2340"/>
            <w:vAlign w:val="center"/>
          </w:tcPr>
          <w:p>
            <w:pPr>
              <w:jc w:val="center"/>
            </w:pPr>
            <w:r>
              <w:rPr>
                <w:rFonts w:ascii="Times New Roman" w:cs="Times New Roman" w:eastAsia="Times New Roman" w:hAnsi="Times New Roman"/>
                <w:sz w:val="22"/>
                <w:szCs w:val="22"/>
              </w:rPr>
              <w:t xml:space="preserve">Yes, Q12</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BORROW-01</w:t>
            </w:r>
          </w:p>
        </w:tc>
        <w:tc>
          <w:tcPr>
            <w:tcW w:type="dxa" w:w="234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Conflates credit report content with credit scoring</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BORROW-02</w:t>
            </w:r>
          </w:p>
        </w:tc>
        <w:tc>
          <w:tcPr>
            <w:tcW w:type="dxa" w:w="234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Believes credit information comes from one source</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BORROW-03</w:t>
            </w:r>
          </w:p>
        </w:tc>
        <w:tc>
          <w:tcPr>
            <w:tcW w:type="dxa" w:w="234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Does not know employers can check credit</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BORROW-04</w:t>
            </w:r>
          </w:p>
        </w:tc>
        <w:tc>
          <w:tcPr>
            <w:tcW w:type="dxa" w:w="234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Believes emergency fund should scale with income, not expenses</w:t>
            </w:r>
          </w:p>
        </w:tc>
        <w:tc>
          <w:tcPr>
            <w:tcW w:type="dxa" w:w="2340"/>
            <w:vAlign w:val="center"/>
          </w:tcPr>
          <w:p>
            <w:pPr>
              <w:jc w:val="center"/>
            </w:pPr>
            <w:r>
              <w:rPr>
                <w:rFonts w:ascii="Times New Roman" w:cs="Times New Roman" w:eastAsia="Times New Roman" w:hAnsi="Times New Roman"/>
                <w:sz w:val="22"/>
                <w:szCs w:val="22"/>
              </w:rPr>
              <w:t xml:space="preserve">Yes, Q5</w:t>
            </w:r>
          </w:p>
        </w:tc>
      </w:tr>
      <w:tr>
        <w:tc>
          <w:tcPr>
            <w:tcW w:type="dxa" w:w="2340"/>
            <w:vAlign w:val="center"/>
          </w:tcPr>
          <w:p>
            <w:pPr>
              <w:jc w:val="center"/>
            </w:pPr>
            <w:r>
              <w:rPr>
                <w:rFonts w:ascii="Times New Roman" w:cs="Times New Roman" w:eastAsia="Times New Roman" w:hAnsi="Times New Roman"/>
                <w:sz w:val="22"/>
                <w:szCs w:val="22"/>
              </w:rPr>
              <w:t xml:space="preserve">BORROW-05</w:t>
            </w:r>
          </w:p>
        </w:tc>
        <w:tc>
          <w:tcPr>
            <w:tcW w:type="dxa" w:w="234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Believes one month or a fixed small amount is sufficient</w:t>
            </w:r>
          </w:p>
        </w:tc>
        <w:tc>
          <w:tcPr>
            <w:tcW w:type="dxa" w:w="2340"/>
            <w:vAlign w:val="center"/>
          </w:tcPr>
          <w:p>
            <w:pPr>
              <w:jc w:val="center"/>
            </w:pPr>
            <w:r>
              <w:rPr>
                <w:rFonts w:ascii="Times New Roman" w:cs="Times New Roman" w:eastAsia="Times New Roman" w:hAnsi="Times New Roman"/>
                <w:sz w:val="22"/>
                <w:szCs w:val="22"/>
              </w:rPr>
              <w:t xml:space="preserve">Yes, Q5</w:t>
            </w:r>
          </w:p>
        </w:tc>
      </w:tr>
      <w:tr>
        <w:tc>
          <w:tcPr>
            <w:tcW w:type="dxa" w:w="2340"/>
            <w:vAlign w:val="center"/>
          </w:tcPr>
          <w:p>
            <w:pPr>
              <w:jc w:val="center"/>
            </w:pPr>
            <w:r>
              <w:rPr>
                <w:rFonts w:ascii="Times New Roman" w:cs="Times New Roman" w:eastAsia="Times New Roman" w:hAnsi="Times New Roman"/>
                <w:sz w:val="22"/>
                <w:szCs w:val="22"/>
              </w:rPr>
              <w:t xml:space="preserve">BORROW-06</w:t>
            </w:r>
          </w:p>
        </w:tc>
        <w:tc>
          <w:tcPr>
            <w:tcW w:type="dxa" w:w="234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Does not understand budgeting as planning for bills and savings</w:t>
            </w:r>
          </w:p>
        </w:tc>
        <w:tc>
          <w:tcPr>
            <w:tcW w:type="dxa" w:w="2340"/>
            <w:vAlign w:val="center"/>
          </w:tcPr>
          <w:p>
            <w:pPr>
              <w:jc w:val="center"/>
            </w:pPr>
            <w:r>
              <w:rPr>
                <w:rFonts w:ascii="Times New Roman" w:cs="Times New Roman" w:eastAsia="Times New Roman" w:hAnsi="Times New Roman"/>
                <w:sz w:val="22"/>
                <w:szCs w:val="22"/>
              </w:rPr>
              <w:t xml:space="preserve">Yes, Q9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CRISIS-01</w:t>
            </w:r>
          </w:p>
        </w:tc>
        <w:tc>
          <w:tcPr>
            <w:tcW w:type="dxa" w:w="234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Believes low borrowing caused the crash</w:t>
            </w:r>
          </w:p>
        </w:tc>
        <w:tc>
          <w:tcPr>
            <w:tcW w:type="dxa" w:w="2340"/>
            <w:vAlign w:val="center"/>
          </w:tcPr>
          <w:p>
            <w:pPr>
              <w:jc w:val="center"/>
            </w:pPr>
            <w:r>
              <w:rPr>
                <w:rFonts w:ascii="Times New Roman" w:cs="Times New Roman" w:eastAsia="Times New Roman" w:hAnsi="Times New Roman"/>
                <w:sz w:val="22"/>
                <w:szCs w:val="22"/>
              </w:rPr>
              <w:t xml:space="preserve">Yes, Q40</w:t>
            </w:r>
          </w:p>
        </w:tc>
      </w:tr>
      <w:tr>
        <w:tc>
          <w:tcPr>
            <w:tcW w:type="dxa" w:w="2340"/>
            <w:vAlign w:val="center"/>
          </w:tcPr>
          <w:p>
            <w:pPr>
              <w:jc w:val="center"/>
            </w:pPr>
            <w:r>
              <w:rPr>
                <w:rFonts w:ascii="Times New Roman" w:cs="Times New Roman" w:eastAsia="Times New Roman" w:hAnsi="Times New Roman"/>
                <w:sz w:val="22"/>
                <w:szCs w:val="22"/>
              </w:rPr>
              <w:t xml:space="preserve">CRISIS-02</w:t>
            </w:r>
          </w:p>
        </w:tc>
        <w:tc>
          <w:tcPr>
            <w:tcW w:type="dxa" w:w="234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Believes the crisis was about savings losing value</w:t>
            </w:r>
          </w:p>
        </w:tc>
        <w:tc>
          <w:tcPr>
            <w:tcW w:type="dxa" w:w="2340"/>
            <w:vAlign w:val="center"/>
          </w:tcPr>
          <w:p>
            <w:pPr>
              <w:jc w:val="center"/>
            </w:pPr>
            <w:r>
              <w:rPr>
                <w:rFonts w:ascii="Times New Roman" w:cs="Times New Roman" w:eastAsia="Times New Roman" w:hAnsi="Times New Roman"/>
                <w:sz w:val="22"/>
                <w:szCs w:val="22"/>
              </w:rPr>
              <w:t xml:space="preserve">Yes, Q40</w:t>
            </w:r>
          </w:p>
        </w:tc>
      </w:tr>
      <w:tr>
        <w:tc>
          <w:tcPr>
            <w:tcW w:type="dxa" w:w="2340"/>
            <w:vAlign w:val="center"/>
          </w:tcPr>
          <w:p>
            <w:pPr>
              <w:jc w:val="center"/>
            </w:pPr>
            <w:r>
              <w:rPr>
                <w:rFonts w:ascii="Times New Roman" w:cs="Times New Roman" w:eastAsia="Times New Roman" w:hAnsi="Times New Roman"/>
                <w:sz w:val="22"/>
                <w:szCs w:val="22"/>
              </w:rPr>
              <w:t xml:space="preserve">CRISIS-03</w:t>
            </w:r>
          </w:p>
        </w:tc>
        <w:tc>
          <w:tcPr>
            <w:tcW w:type="dxa" w:w="234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Cannot connect poor risk management to systemic failure</w:t>
            </w:r>
          </w:p>
        </w:tc>
        <w:tc>
          <w:tcPr>
            <w:tcW w:type="dxa" w:w="2340"/>
            <w:vAlign w:val="center"/>
          </w:tcPr>
          <w:p>
            <w:pPr>
              <w:jc w:val="center"/>
            </w:pPr>
            <w:r>
              <w:rPr>
                <w:rFonts w:ascii="Times New Roman" w:cs="Times New Roman" w:eastAsia="Times New Roman" w:hAnsi="Times New Roman"/>
                <w:sz w:val="22"/>
                <w:szCs w:val="22"/>
              </w:rPr>
              <w:t xml:space="preserve">Yes, Q40</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NUM-01</w:t>
            </w:r>
          </w:p>
        </w:tc>
        <w:tc>
          <w:tcPr>
            <w:tcW w:type="dxa" w:w="234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Cannot calculate X% of N correctly</w:t>
            </w:r>
          </w:p>
        </w:tc>
        <w:tc>
          <w:tcPr>
            <w:tcW w:type="dxa" w:w="2340"/>
            <w:vAlign w:val="center"/>
          </w:tcPr>
          <w:p>
            <w:pPr>
              <w:jc w:val="center"/>
            </w:pPr>
            <w:r>
              <w:rPr>
                <w:rFonts w:ascii="Times New Roman" w:cs="Times New Roman" w:eastAsia="Times New Roman" w:hAnsi="Times New Roman"/>
                <w:sz w:val="22"/>
                <w:szCs w:val="22"/>
              </w:rPr>
              <w:t xml:space="preserve">Yes, Q33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3120"/>
            <w:vAlign w:val="center"/>
          </w:tcPr>
          <w:p>
            <w:pPr>
              <w:jc w:val="center"/>
            </w:pPr>
            <w:r>
              <w:rPr>
                <w:rFonts w:ascii="Times New Roman" w:cs="Times New Roman" w:eastAsia="Times New Roman" w:hAnsi="Times New Roman"/>
                <w:sz w:val="22"/>
                <w:szCs w:val="22"/>
              </w:rPr>
              <w:t xml:space="preserve">KG</w:t>
            </w:r>
          </w:p>
        </w:tc>
        <w:tc>
          <w:tcPr>
            <w:tcW w:type="dxa" w:w="3120"/>
            <w:vAlign w:val="center"/>
          </w:tcPr>
          <w:p>
            <w:pPr>
              <w:jc w:val="center"/>
            </w:pPr>
            <w:r>
              <w:rPr>
                <w:rFonts w:ascii="Times New Roman" w:cs="Times New Roman" w:eastAsia="Times New Roman" w:hAnsi="Times New Roman"/>
                <w:sz w:val="22"/>
                <w:szCs w:val="22"/>
              </w:rPr>
              <w:t xml:space="preserve">Knowledge Gap</w:t>
            </w:r>
          </w:p>
        </w:tc>
        <w:tc>
          <w:tcPr>
            <w:tcW w:type="dxa" w:w="3120"/>
            <w:vAlign w:val="center"/>
          </w:tcPr>
          <w:p>
            <w:pPr>
              <w:jc w:val="center"/>
            </w:pPr>
            <w:r>
              <w:rPr>
                <w:rFonts w:ascii="Times New Roman" w:cs="Times New Roman" w:eastAsia="Times New Roman" w:hAnsi="Times New Roman"/>
                <w:sz w:val="22"/>
                <w:szCs w:val="22"/>
              </w:rPr>
              <w:t xml:space="preserve">Student has no knowledge (explicit IDK, blank, unfamiliar with terms)</w:t>
            </w:r>
          </w:p>
        </w:tc>
      </w:tr>
      <w:tr>
        <w:tc>
          <w:tcPr>
            <w:tcW w:type="dxa" w:w="3120"/>
            <w:vAlign w:val="center"/>
          </w:tcPr>
          <w:p>
            <w:pPr>
              <w:jc w:val="center"/>
            </w:pPr>
            <w:r>
              <w:rPr>
                <w:rFonts w:ascii="Times New Roman" w:cs="Times New Roman" w:eastAsia="Times New Roman" w:hAnsi="Times New Roman"/>
                <w:sz w:val="22"/>
                <w:szCs w:val="22"/>
              </w:rPr>
              <w:t xml:space="preserve">SE</w:t>
            </w:r>
          </w:p>
        </w:tc>
        <w:tc>
          <w:tcPr>
            <w:tcW w:type="dxa" w:w="3120"/>
            <w:vAlign w:val="center"/>
          </w:tcPr>
          <w:p>
            <w:pPr>
              <w:jc w:val="center"/>
            </w:pPr>
            <w:r>
              <w:rPr>
                <w:rFonts w:ascii="Times New Roman" w:cs="Times New Roman" w:eastAsia="Times New Roman" w:hAnsi="Times New Roman"/>
                <w:sz w:val="22"/>
                <w:szCs w:val="22"/>
              </w:rPr>
              <w:t xml:space="preserve">Selection Error</w:t>
            </w:r>
          </w:p>
        </w:tc>
        <w:tc>
          <w:tcPr>
            <w:tcW w:type="dxa" w:w="3120"/>
            <w:vAlign w:val="center"/>
          </w:tcPr>
          <w:p>
            <w:pPr>
              <w:jc w:val="center"/>
            </w:pPr>
            <w:r>
              <w:rPr>
                <w:rFonts w:ascii="Times New Roman" w:cs="Times New Roman" w:eastAsia="Times New Roman" w:hAnsi="Times New Roman"/>
                <w:sz w:val="22"/>
                <w:szCs w:val="22"/>
              </w:rPr>
              <w:t xml:space="preserve">Student demonstrates correct understanding but selected wrong answer</w:t>
            </w:r>
          </w:p>
        </w:tc>
      </w:tr>
    </w:tbl>
    <w:p>
      <w:pPr>
        <w:spacing w:after="200"/>
      </w:pPr>
    </w:p>
    <w:p>
      <w:r>
        <w:br w:type="page"/>
      </w:r>
    </w:p>
    <w:p>
      <w:pPr>
        <w:pStyle w:val="Heading1"/>
        <w:spacing w:before="480" w:after="240"/>
      </w:pPr>
      <w:r>
        <w:rPr>
          <w:rFonts w:ascii="Times New Roman" w:cs="Times New Roman" w:eastAsia="Times New Roman" w:hAnsi="Times New Roman"/>
          <w:sz w:val="24"/>
          <w:szCs w:val="24"/>
        </w:rPr>
        <w:t xml:space="preserve">Appendix D: AI Scorer Model Selection Protocol</w:t>
      </w:r>
    </w:p>
    <w:p>
      <w:pPr>
        <w:spacing w:line="360" w:after="200"/>
      </w:pPr>
      <w:r>
        <w:rPr>
          <w:rFonts w:ascii="Times New Roman" w:cs="Times New Roman" w:eastAsia="Times New Roman" w:hAnsi="Times New Roman"/>
          <w:sz w:val="24"/>
          <w:szCs w:val="24"/>
        </w:rPr>
        <w:t xml:space="preserve">To select the scoring model for the AI-assisted classification pipeline (Section 4.3),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w:t>
      </w:r>
    </w:p>
    <w:p>
      <w:pPr>
        <w:spacing w:line="360" w:after="200"/>
      </w:pPr>
      <w:r>
        <w:rPr>
          <w:rFonts w:ascii="Times New Roman" w:cs="Times New Roman" w:eastAsia="Times New Roman" w:hAnsi="Times New Roman"/>
          <w:b/>
          <w:bCs/>
          <w:sz w:val="24"/>
          <w:szCs w:val="24"/>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Schema Violations</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Time (20)</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Uses credit=50</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Confidence Variation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Est. Cost (953)</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040"/>
            <w:vAlign w:val="center"/>
          </w:tcPr>
          <w:p>
            <w:pPr>
              <w:jc w:val="center"/>
            </w:pPr>
            <w:r>
              <w:rPr>
                <w:rFonts w:ascii="Times New Roman" w:cs="Times New Roman" w:eastAsia="Times New Roman" w:hAnsi="Times New Roman"/>
                <w:sz w:val="22"/>
                <w:szCs w:val="22"/>
              </w:rPr>
              <w:t xml:space="preserve">GPT-4.1</w:t>
            </w:r>
          </w:p>
        </w:tc>
        <w:tc>
          <w:tcPr>
            <w:tcW w:type="dxa" w:w="1040"/>
            <w:vAlign w:val="center"/>
          </w:tcPr>
          <w:p>
            <w:pPr>
              <w:jc w:val="center"/>
            </w:pPr>
            <w:r>
              <w:rPr>
                <w:rFonts w:ascii="Times New Roman" w:cs="Times New Roman" w:eastAsia="Times New Roman" w:hAnsi="Times New Roman"/>
                <w:sz w:val="22"/>
                <w:szCs w:val="22"/>
              </w:rPr>
              <w:t xml:space="preserve">OpenAI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41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19 high / 1 medium</w:t>
            </w:r>
          </w:p>
        </w:tc>
        <w:tc>
          <w:tcPr>
            <w:tcW w:type="dxa" w:w="1040"/>
            <w:vAlign w:val="center"/>
          </w:tcPr>
          <w:p>
            <w:pPr>
              <w:jc w:val="center"/>
            </w:pPr>
            <w:r>
              <w:rPr>
                <w:rFonts w:ascii="Times New Roman" w:cs="Times New Roman" w:eastAsia="Times New Roman" w:hAnsi="Times New Roman"/>
                <w:sz w:val="22"/>
                <w:szCs w:val="22"/>
              </w:rPr>
              <w:t xml:space="preserve">$2.86</w:t>
            </w:r>
          </w:p>
        </w:tc>
        <w:tc>
          <w:tcPr>
            <w:tcW w:type="dxa" w:w="1040"/>
            <w:vAlign w:val="center"/>
          </w:tcPr>
          <w:p>
            <w:pPr>
              <w:jc w:val="center"/>
            </w:pPr>
            <w:r>
              <w:rPr>
                <w:rFonts w:ascii="Times New Roman" w:cs="Times New Roman" w:eastAsia="Times New Roman" w:hAnsi="Times New Roman"/>
                <w:sz w:val="22"/>
                <w:szCs w:val="22"/>
              </w:rPr>
              <w:t xml:space="preserve">Selected</w:t>
            </w:r>
          </w:p>
        </w:tc>
      </w:tr>
      <w:tr>
        <w:tc>
          <w:tcPr>
            <w:tcW w:type="dxa" w:w="1040"/>
            <w:vAlign w:val="center"/>
          </w:tcPr>
          <w:p>
            <w:pPr>
              <w:jc w:val="center"/>
            </w:pPr>
            <w:r>
              <w:rPr>
                <w:rFonts w:ascii="Times New Roman" w:cs="Times New Roman" w:eastAsia="Times New Roman" w:hAnsi="Times New Roman"/>
                <w:sz w:val="22"/>
                <w:szCs w:val="22"/>
              </w:rPr>
              <w:t xml:space="preserve">DeepSeek V3.2</w:t>
            </w:r>
          </w:p>
        </w:tc>
        <w:tc>
          <w:tcPr>
            <w:tcW w:type="dxa" w:w="1040"/>
            <w:vAlign w:val="center"/>
          </w:tcPr>
          <w:p>
            <w:pPr>
              <w:jc w:val="center"/>
            </w:pPr>
            <w:r>
              <w:rPr>
                <w:rFonts w:ascii="Times New Roman" w:cs="Times New Roman" w:eastAsia="Times New Roman" w:hAnsi="Times New Roman"/>
                <w:sz w:val="22"/>
                <w:szCs w:val="22"/>
              </w:rPr>
              <w:t xml:space="preserve">DeepSeek</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266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2 medium</w:t>
            </w:r>
          </w:p>
        </w:tc>
        <w:tc>
          <w:tcPr>
            <w:tcW w:type="dxa" w:w="1040"/>
            <w:vAlign w:val="center"/>
          </w:tcPr>
          <w:p>
            <w:pPr>
              <w:jc w:val="center"/>
            </w:pPr>
            <w:r>
              <w:rPr>
                <w:rFonts w:ascii="Times New Roman" w:cs="Times New Roman" w:eastAsia="Times New Roman" w:hAnsi="Times New Roman"/>
                <w:sz w:val="22"/>
                <w:szCs w:val="22"/>
              </w:rPr>
              <w:t xml:space="preserve">$0.24</w:t>
            </w:r>
          </w:p>
        </w:tc>
        <w:tc>
          <w:tcPr>
            <w:tcW w:type="dxa" w:w="1040"/>
            <w:vAlign w:val="center"/>
          </w:tcPr>
          <w:p>
            <w:pPr>
              <w:jc w:val="center"/>
            </w:pPr>
            <w:r>
              <w:rPr>
                <w:rFonts w:ascii="Times New Roman" w:cs="Times New Roman" w:eastAsia="Times New Roman" w:hAnsi="Times New Roman"/>
                <w:sz w:val="22"/>
                <w:szCs w:val="22"/>
              </w:rPr>
              <w:t xml:space="preserve">Too slow (~3.5 h)</w:t>
            </w:r>
          </w:p>
        </w:tc>
      </w:tr>
      <w:tr>
        <w:tc>
          <w:tcPr>
            <w:tcW w:type="dxa" w:w="1040"/>
            <w:vAlign w:val="center"/>
          </w:tcPr>
          <w:p>
            <w:pPr>
              <w:jc w:val="center"/>
            </w:pPr>
            <w:r>
              <w:rPr>
                <w:rFonts w:ascii="Times New Roman" w:cs="Times New Roman" w:eastAsia="Times New Roman" w:hAnsi="Times New Roman"/>
                <w:sz w:val="22"/>
                <w:szCs w:val="22"/>
              </w:rPr>
              <w:t xml:space="preserve">Grok 4.1 Fast</w:t>
            </w:r>
          </w:p>
        </w:tc>
        <w:tc>
          <w:tcPr>
            <w:tcW w:type="dxa" w:w="1040"/>
            <w:vAlign w:val="center"/>
          </w:tcPr>
          <w:p>
            <w:pPr>
              <w:jc w:val="center"/>
            </w:pPr>
            <w:r>
              <w:rPr>
                <w:rFonts w:ascii="Times New Roman" w:cs="Times New Roman" w:eastAsia="Times New Roman" w:hAnsi="Times New Roman"/>
                <w:sz w:val="22"/>
                <w:szCs w:val="22"/>
              </w:rPr>
              <w:t xml:space="preserve">xAI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1 parse failure</w:t>
            </w:r>
          </w:p>
        </w:tc>
        <w:tc>
          <w:tcPr>
            <w:tcW w:type="dxa" w:w="1040"/>
            <w:vAlign w:val="center"/>
          </w:tcPr>
          <w:p>
            <w:pPr>
              <w:jc w:val="center"/>
            </w:pPr>
            <w:r>
              <w:rPr>
                <w:rFonts w:ascii="Times New Roman" w:cs="Times New Roman" w:eastAsia="Times New Roman" w:hAnsi="Times New Roman"/>
                <w:sz w:val="22"/>
                <w:szCs w:val="22"/>
              </w:rPr>
              <w:t xml:space="preserve">144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1 medium</w:t>
            </w:r>
          </w:p>
        </w:tc>
        <w:tc>
          <w:tcPr>
            <w:tcW w:type="dxa" w:w="1040"/>
            <w:vAlign w:val="center"/>
          </w:tcPr>
          <w:p>
            <w:pPr>
              <w:jc w:val="center"/>
            </w:pPr>
            <w:r>
              <w:rPr>
                <w:rFonts w:ascii="Times New Roman" w:cs="Times New Roman" w:eastAsia="Times New Roman" w:hAnsi="Times New Roman"/>
                <w:sz w:val="22"/>
                <w:szCs w:val="22"/>
              </w:rPr>
              <w:t xml:space="preserve">$0.22</w:t>
            </w:r>
          </w:p>
        </w:tc>
        <w:tc>
          <w:tcPr>
            <w:tcW w:type="dxa" w:w="1040"/>
            <w:vAlign w:val="center"/>
          </w:tcPr>
          <w:p>
            <w:pPr>
              <w:jc w:val="center"/>
            </w:pPr>
            <w:r>
              <w:rPr>
                <w:rFonts w:ascii="Times New Roman" w:cs="Times New Roman" w:eastAsia="Times New Roman" w:hAnsi="Times New Roman"/>
                <w:sz w:val="22"/>
                <w:szCs w:val="22"/>
              </w:rPr>
              <w:t xml:space="preserve">5% error rate</w:t>
            </w:r>
          </w:p>
        </w:tc>
      </w:tr>
      <w:tr>
        <w:tc>
          <w:tcPr>
            <w:tcW w:type="dxa" w:w="1040"/>
            <w:vAlign w:val="center"/>
          </w:tcPr>
          <w:p>
            <w:pPr>
              <w:jc w:val="center"/>
            </w:pPr>
            <w:r>
              <w:rPr>
                <w:rFonts w:ascii="Times New Roman" w:cs="Times New Roman" w:eastAsia="Times New Roman" w:hAnsi="Times New Roman"/>
                <w:sz w:val="22"/>
                <w:szCs w:val="22"/>
              </w:rPr>
              <w:t xml:space="preserve">Qwen3-235B</w:t>
            </w:r>
          </w:p>
        </w:tc>
        <w:tc>
          <w:tcPr>
            <w:tcW w:type="dxa" w:w="1040"/>
            <w:vAlign w:val="center"/>
          </w:tcPr>
          <w:p>
            <w:pPr>
              <w:jc w:val="center"/>
            </w:pPr>
            <w:r>
              <w:rPr>
                <w:rFonts w:ascii="Times New Roman" w:cs="Times New Roman" w:eastAsia="Times New Roman" w:hAnsi="Times New Roman"/>
                <w:sz w:val="22"/>
                <w:szCs w:val="22"/>
              </w:rPr>
              <w:t xml:space="preserve">Alibaba</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84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$0.07</w:t>
            </w:r>
          </w:p>
        </w:tc>
        <w:tc>
          <w:tcPr>
            <w:tcW w:type="dxa" w:w="1040"/>
            <w:vAlign w:val="center"/>
          </w:tcPr>
          <w:p>
            <w:pPr>
              <w:jc w:val="center"/>
            </w:pPr>
            <w:r>
              <w:rPr>
                <w:rFonts w:ascii="Times New Roman" w:cs="Times New Roman" w:eastAsia="Times New Roman" w:hAnsi="Times New Roman"/>
                <w:sz w:val="22"/>
                <w:szCs w:val="22"/>
              </w:rPr>
              <w:t xml:space="preserve">No partial credit</w:t>
            </w:r>
          </w:p>
        </w:tc>
      </w:tr>
      <w:tr>
        <w:tc>
          <w:tcPr>
            <w:tcW w:type="dxa" w:w="1040"/>
            <w:vAlign w:val="center"/>
          </w:tcPr>
          <w:p>
            <w:pPr>
              <w:jc w:val="center"/>
            </w:pPr>
            <w:r>
              <w:rPr>
                <w:rFonts w:ascii="Times New Roman" w:cs="Times New Roman" w:eastAsia="Times New Roman" w:hAnsi="Times New Roman"/>
                <w:sz w:val="22"/>
                <w:szCs w:val="22"/>
              </w:rPr>
              <w:t xml:space="preserve">GPT-4o-mini</w:t>
            </w:r>
          </w:p>
        </w:tc>
        <w:tc>
          <w:tcPr>
            <w:tcW w:type="dxa" w:w="1040"/>
            <w:vAlign w:val="center"/>
          </w:tcPr>
          <w:p>
            <w:pPr>
              <w:jc w:val="center"/>
            </w:pPr>
            <w:r>
              <w:rPr>
                <w:rFonts w:ascii="Times New Roman" w:cs="Times New Roman" w:eastAsia="Times New Roman" w:hAnsi="Times New Roman"/>
                <w:sz w:val="22"/>
                <w:szCs w:val="22"/>
              </w:rPr>
              <w:t xml:space="preserve">OpenAI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37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18 high / 2 medium</w:t>
            </w:r>
          </w:p>
        </w:tc>
        <w:tc>
          <w:tcPr>
            <w:tcW w:type="dxa" w:w="1040"/>
            <w:vAlign w:val="center"/>
          </w:tcPr>
          <w:p>
            <w:pPr>
              <w:jc w:val="center"/>
            </w:pPr>
            <w:r>
              <w:rPr>
                <w:rFonts w:ascii="Times New Roman" w:cs="Times New Roman" w:eastAsia="Times New Roman" w:hAnsi="Times New Roman"/>
                <w:sz w:val="22"/>
                <w:szCs w:val="22"/>
              </w:rPr>
              <w:t xml:space="preserve">$0.22</w:t>
            </w:r>
          </w:p>
        </w:tc>
        <w:tc>
          <w:tcPr>
            <w:tcW w:type="dxa" w:w="1040"/>
            <w:vAlign w:val="center"/>
          </w:tcPr>
          <w:p>
            <w:pPr>
              <w:jc w:val="center"/>
            </w:pPr>
            <w:r>
              <w:rPr>
                <w:rFonts w:ascii="Times New Roman" w:cs="Times New Roman" w:eastAsia="Times New Roman" w:hAnsi="Times New Roman"/>
                <w:sz w:val="22"/>
                <w:szCs w:val="22"/>
              </w:rPr>
              <w:t xml:space="preserve">Overly strict</w:t>
            </w:r>
          </w:p>
        </w:tc>
      </w:tr>
      <w:tr>
        <w:tc>
          <w:tcPr>
            <w:tcW w:type="dxa" w:w="1040"/>
            <w:vAlign w:val="center"/>
          </w:tcPr>
          <w:p>
            <w:pPr>
              <w:jc w:val="center"/>
            </w:pPr>
            <w:r>
              <w:rPr>
                <w:rFonts w:ascii="Times New Roman" w:cs="Times New Roman" w:eastAsia="Times New Roman" w:hAnsi="Times New Roman"/>
                <w:sz w:val="22"/>
                <w:szCs w:val="22"/>
              </w:rPr>
              <w:t xml:space="preserve">Claude Haiku 4.5</w:t>
            </w:r>
          </w:p>
        </w:tc>
        <w:tc>
          <w:tcPr>
            <w:tcW w:type="dxa" w:w="1040"/>
            <w:vAlign w:val="center"/>
          </w:tcPr>
          <w:p>
            <w:pPr>
              <w:jc w:val="center"/>
            </w:pPr>
            <w:r>
              <w:rPr>
                <w:rFonts w:ascii="Times New Roman" w:cs="Times New Roman" w:eastAsia="Times New Roman" w:hAnsi="Times New Roman"/>
                <w:sz w:val="22"/>
                <w:szCs w:val="22"/>
              </w:rPr>
              <w:t xml:space="preserve">Anthropic</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56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$1.58</w:t>
            </w:r>
          </w:p>
        </w:tc>
        <w:tc>
          <w:tcPr>
            <w:tcW w:type="dxa" w:w="1040"/>
            <w:vAlign w:val="center"/>
          </w:tcPr>
          <w:p>
            <w:pPr>
              <w:jc w:val="center"/>
            </w:pPr>
            <w:r>
              <w:rPr>
                <w:rFonts w:ascii="Times New Roman" w:cs="Times New Roman" w:eastAsia="Times New Roman" w:hAnsi="Times New Roman"/>
                <w:sz w:val="22"/>
                <w:szCs w:val="22"/>
              </w:rPr>
              <w:t xml:space="preserve">Over-detects SE</w:t>
            </w:r>
          </w:p>
        </w:tc>
      </w:tr>
      <w:tr>
        <w:tc>
          <w:tcPr>
            <w:tcW w:type="dxa" w:w="1040"/>
            <w:vAlign w:val="center"/>
          </w:tcPr>
          <w:p>
            <w:pPr>
              <w:jc w:val="center"/>
            </w:pPr>
            <w:r>
              <w:rPr>
                <w:rFonts w:ascii="Times New Roman" w:cs="Times New Roman" w:eastAsia="Times New Roman" w:hAnsi="Times New Roman"/>
                <w:sz w:val="22"/>
                <w:szCs w:val="22"/>
              </w:rPr>
              <w:t xml:space="preserve">Gemini 3 Flash</w:t>
            </w:r>
          </w:p>
        </w:tc>
        <w:tc>
          <w:tcPr>
            <w:tcW w:type="dxa" w:w="1040"/>
            <w:vAlign w:val="center"/>
          </w:tcPr>
          <w:p>
            <w:pPr>
              <w:jc w:val="center"/>
            </w:pPr>
            <w:r>
              <w:rPr>
                <w:rFonts w:ascii="Times New Roman" w:cs="Times New Roman" w:eastAsia="Times New Roman" w:hAnsi="Times New Roman"/>
                <w:sz w:val="22"/>
                <w:szCs w:val="22"/>
              </w:rPr>
              <w:t xml:space="preserve">Google</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1 (rate limit)</w:t>
            </w:r>
          </w:p>
        </w:tc>
        <w:tc>
          <w:tcPr>
            <w:tcW w:type="dxa" w:w="1040"/>
            <w:vAlign w:val="center"/>
          </w:tcPr>
          <w:p>
            <w:pPr>
              <w:jc w:val="center"/>
            </w:pPr>
            <w:r>
              <w:rPr>
                <w:rFonts w:ascii="Times New Roman" w:cs="Times New Roman" w:eastAsia="Times New Roman" w:hAnsi="Times New Roman"/>
                <w:sz w:val="22"/>
                <w:szCs w:val="22"/>
              </w:rPr>
              <w:t xml:space="preserve">42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1 medium</w:t>
            </w:r>
          </w:p>
        </w:tc>
        <w:tc>
          <w:tcPr>
            <w:tcW w:type="dxa" w:w="1040"/>
            <w:vAlign w:val="center"/>
          </w:tcPr>
          <w:p>
            <w:pPr>
              <w:jc w:val="center"/>
            </w:pPr>
            <w:r>
              <w:rPr>
                <w:rFonts w:ascii="Times New Roman" w:cs="Times New Roman" w:eastAsia="Times New Roman" w:hAnsi="Times New Roman"/>
                <w:sz w:val="22"/>
                <w:szCs w:val="22"/>
              </w:rPr>
              <w:t xml:space="preserve">$0.80</w:t>
            </w:r>
          </w:p>
        </w:tc>
        <w:tc>
          <w:tcPr>
            <w:tcW w:type="dxa" w:w="1040"/>
            <w:vAlign w:val="center"/>
          </w:tcPr>
          <w:p>
            <w:pPr>
              <w:jc w:val="center"/>
            </w:pPr>
            <w:r>
              <w:rPr>
                <w:rFonts w:ascii="Times New Roman" w:cs="Times New Roman" w:eastAsia="Times New Roman" w:hAnsi="Times New Roman"/>
                <w:sz w:val="22"/>
                <w:szCs w:val="22"/>
              </w:rPr>
              <w:t xml:space="preserve">Schema violation</w:t>
            </w:r>
          </w:p>
        </w:tc>
      </w:tr>
      <w:tr>
        <w:tc>
          <w:tcPr>
            <w:tcW w:type="dxa" w:w="1040"/>
            <w:vAlign w:val="center"/>
          </w:tcPr>
          <w:p>
            <w:pPr>
              <w:jc w:val="center"/>
            </w:pPr>
            <w:r>
              <w:rPr>
                <w:rFonts w:ascii="Times New Roman" w:cs="Times New Roman" w:eastAsia="Times New Roman" w:hAnsi="Times New Roman"/>
                <w:sz w:val="22"/>
                <w:szCs w:val="22"/>
              </w:rPr>
              <w:t xml:space="preserve">Claude Sonnet 4.5</w:t>
            </w:r>
          </w:p>
        </w:tc>
        <w:tc>
          <w:tcPr>
            <w:tcW w:type="dxa" w:w="1040"/>
            <w:vAlign w:val="center"/>
          </w:tcPr>
          <w:p>
            <w:pPr>
              <w:jc w:val="center"/>
            </w:pPr>
            <w:r>
              <w:rPr>
                <w:rFonts w:ascii="Times New Roman" w:cs="Times New Roman" w:eastAsia="Times New Roman" w:hAnsi="Times New Roman"/>
                <w:sz w:val="22"/>
                <w:szCs w:val="22"/>
              </w:rPr>
              <w:t xml:space="preserve">Anthropic</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71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19 high / 1 medium</w:t>
            </w:r>
          </w:p>
        </w:tc>
        <w:tc>
          <w:tcPr>
            <w:tcW w:type="dxa" w:w="1040"/>
            <w:vAlign w:val="center"/>
          </w:tcPr>
          <w:p>
            <w:pPr>
              <w:jc w:val="center"/>
            </w:pPr>
            <w:r>
              <w:rPr>
                <w:rFonts w:ascii="Times New Roman" w:cs="Times New Roman" w:eastAsia="Times New Roman" w:hAnsi="Times New Roman"/>
                <w:sz w:val="22"/>
                <w:szCs w:val="22"/>
              </w:rPr>
              <w:t xml:space="preserve">$4.72</w:t>
            </w:r>
          </w:p>
        </w:tc>
        <w:tc>
          <w:tcPr>
            <w:tcW w:type="dxa" w:w="1040"/>
            <w:vAlign w:val="center"/>
          </w:tcPr>
          <w:p>
            <w:pPr>
              <w:jc w:val="center"/>
            </w:pPr>
            <w:r>
              <w:rPr>
                <w:rFonts w:ascii="Times New Roman" w:cs="Times New Roman" w:eastAsia="Times New Roman" w:hAnsi="Times New Roman"/>
                <w:sz w:val="22"/>
                <w:szCs w:val="22"/>
              </w:rPr>
              <w:t xml:space="preserve">Schema violation</w:t>
            </w:r>
          </w:p>
        </w:tc>
      </w:tr>
      <w:tr>
        <w:tc>
          <w:tcPr>
            <w:tcW w:type="dxa" w:w="1040"/>
            <w:vAlign w:val="center"/>
          </w:tcPr>
          <w:p>
            <w:pPr>
              <w:jc w:val="center"/>
            </w:pPr>
            <w:r>
              <w:rPr>
                <w:rFonts w:ascii="Times New Roman" w:cs="Times New Roman" w:eastAsia="Times New Roman" w:hAnsi="Times New Roman"/>
                <w:sz w:val="22"/>
                <w:szCs w:val="22"/>
              </w:rPr>
              <w:t xml:space="preserve">Gemini 2.0 Flash</w:t>
            </w:r>
          </w:p>
        </w:tc>
        <w:tc>
          <w:tcPr>
            <w:tcW w:type="dxa" w:w="1040"/>
            <w:vAlign w:val="center"/>
          </w:tcPr>
          <w:p>
            <w:pPr>
              <w:jc w:val="center"/>
            </w:pPr>
            <w:r>
              <w:rPr>
                <w:rFonts w:ascii="Times New Roman" w:cs="Times New Roman" w:eastAsia="Times New Roman" w:hAnsi="Times New Roman"/>
                <w:sz w:val="22"/>
                <w:szCs w:val="22"/>
              </w:rPr>
              <w:t xml:space="preserve">Google</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34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$0.15</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r>
        <w:tc>
          <w:tcPr>
            <w:tcW w:type="dxa" w:w="1040"/>
            <w:vAlign w:val="center"/>
          </w:tcPr>
          <w:p>
            <w:pPr>
              <w:jc w:val="center"/>
            </w:pPr>
            <w:r>
              <w:rPr>
                <w:rFonts w:ascii="Times New Roman" w:cs="Times New Roman" w:eastAsia="Times New Roman" w:hAnsi="Times New Roman"/>
                <w:sz w:val="22"/>
                <w:szCs w:val="22"/>
              </w:rPr>
              <w:t xml:space="preserve">Minimax M2.1</w:t>
            </w:r>
          </w:p>
        </w:tc>
        <w:tc>
          <w:tcPr>
            <w:tcW w:type="dxa" w:w="1040"/>
            <w:vAlign w:val="center"/>
          </w:tcPr>
          <w:p>
            <w:pPr>
              <w:jc w:val="center"/>
            </w:pPr>
            <w:r>
              <w:rPr>
                <w:rFonts w:ascii="Times New Roman" w:cs="Times New Roman" w:eastAsia="Times New Roman" w:hAnsi="Times New Roman"/>
                <w:sz w:val="22"/>
                <w:szCs w:val="22"/>
              </w:rPr>
              <w:t xml:space="preserve">Minimax</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19 of 20</w:t>
            </w:r>
          </w:p>
        </w:tc>
        <w:tc>
          <w:tcPr>
            <w:tcW w:type="dxa" w:w="1040"/>
            <w:vAlign w:val="center"/>
          </w:tcPr>
          <w:p>
            <w:pPr>
              <w:jc w:val="center"/>
            </w:pPr>
            <w:r>
              <w:rPr>
                <w:rFonts w:ascii="Times New Roman" w:cs="Times New Roman" w:eastAsia="Times New Roman" w:hAnsi="Times New Roman"/>
                <w:sz w:val="22"/>
                <w:szCs w:val="22"/>
              </w:rPr>
              <w:t xml:space="preserve">83 s</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r>
        <w:tc>
          <w:tcPr>
            <w:tcW w:type="dxa" w:w="1040"/>
            <w:vAlign w:val="center"/>
          </w:tcPr>
          <w:p>
            <w:pPr>
              <w:jc w:val="center"/>
            </w:pPr>
            <w:r>
              <w:rPr>
                <w:rFonts w:ascii="Times New Roman" w:cs="Times New Roman" w:eastAsia="Times New Roman" w:hAnsi="Times New Roman"/>
                <w:sz w:val="22"/>
                <w:szCs w:val="22"/>
              </w:rPr>
              <w:t xml:space="preserve">Kimi K2.5</w:t>
            </w:r>
          </w:p>
        </w:tc>
        <w:tc>
          <w:tcPr>
            <w:tcW w:type="dxa" w:w="1040"/>
            <w:vAlign w:val="center"/>
          </w:tcPr>
          <w:p>
            <w:pPr>
              <w:jc w:val="center"/>
            </w:pPr>
            <w:r>
              <w:rPr>
                <w:rFonts w:ascii="Times New Roman" w:cs="Times New Roman" w:eastAsia="Times New Roman" w:hAnsi="Times New Roman"/>
                <w:sz w:val="22"/>
                <w:szCs w:val="22"/>
              </w:rPr>
              <w:t xml:space="preserve">Moonshot AI</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20 of 20</w:t>
            </w:r>
          </w:p>
        </w:tc>
        <w:tc>
          <w:tcPr>
            <w:tcW w:type="dxa" w:w="1040"/>
            <w:vAlign w:val="center"/>
          </w:tcPr>
          <w:p>
            <w:pPr>
              <w:jc w:val="center"/>
            </w:pPr>
            <w:r>
              <w:rPr>
                <w:rFonts w:ascii="Times New Roman" w:cs="Times New Roman" w:eastAsia="Times New Roman" w:hAnsi="Times New Roman"/>
                <w:sz w:val="22"/>
                <w:szCs w:val="22"/>
              </w:rPr>
              <w:t xml:space="preserve">173 s</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bl>
    <w:p>
      <w:pPr>
        <w:spacing w:after="200"/>
      </w:pPr>
    </w:p>
    <w:p>
      <w:pPr>
        <w:spacing w:line="360" w:after="200"/>
      </w:pPr>
      <w:r>
        <w:rPr>
          <w:rFonts w:ascii="Times New Roman" w:cs="Times New Roman" w:eastAsia="Times New Roman" w:hAnsi="Times New Roman"/>
          <w:sz w:val="24"/>
          <w:szCs w:val="24"/>
        </w:rPr>
        <w:t xml:space="preserve">Schema violations occur when a diagnose item returns the confirm-format JSON (e.g., </w:t>
      </w:r>
      <w:r>
        <w:rPr>
          <w:rFonts w:ascii="Courier New" w:cs="Courier New" w:eastAsia="Courier New" w:hAnsi="Courier New"/>
          <w:sz w:val="24"/>
          <w:szCs w:val="24"/>
        </w:rPr>
        <w:t xml:space="preserve">understanding_level</w:t>
      </w:r>
      <w:r>
        <w:rPr>
          <w:rFonts w:ascii="Times New Roman" w:cs="Times New Roman" w:eastAsia="Times New Roman" w:hAnsi="Times New Roman"/>
          <w:sz w:val="24"/>
          <w:szCs w:val="24"/>
        </w:rPr>
        <w:t xml:space="preserve"> instead of </w:t>
      </w:r>
      <w:r>
        <w:rPr>
          <w:rFonts w:ascii="Courier New" w:cs="Courier New" w:eastAsia="Courier New" w:hAnsi="Courier New"/>
          <w:sz w:val="24"/>
          <w:szCs w:val="24"/>
        </w:rPr>
        <w:t xml:space="preserve">diagnosis_type</w:t>
      </w:r>
      <w:r>
        <w:rPr>
          <w:rFonts w:ascii="Times New Roman" w:cs="Times New Roman" w:eastAsia="Times New Roman" w:hAnsi="Times New Roman"/>
          <w:sz w:val="24"/>
          <w:szCs w:val="24"/>
        </w:rPr>
        <w:t xml:space="preserve">). Three models were disqualified: Minimax M2.1 and Kimi K2.5 returned empty or unparseable responses on nearly all items; Gemini 2.0 Flash produced two schema violations and lacked any partial-credit classifications.</w:t>
      </w:r>
    </w:p>
    <w:p>
      <w:pPr>
        <w:spacing w:line="360" w:after="200"/>
      </w:pPr>
      <w:r>
        <w:rPr>
          <w:rFonts w:ascii="Times New Roman" w:cs="Times New Roman" w:eastAsia="Times New Roman" w:hAnsi="Times New Roman"/>
          <w:b/>
          <w:bCs/>
          <w:sz w:val="24"/>
          <w:szCs w:val="24"/>
        </w:rPr>
        <w:t xml:space="preserve">Table D.2: Inter-Model Agreement on Disputed Classifications</w:t>
      </w:r>
    </w:p>
    <w:p>
      <w:pPr>
        <w:spacing w:line="360" w:after="200"/>
      </w:pPr>
      <w:r>
        <w:rPr>
          <w:rFonts w:ascii="Times New Roman" w:cs="Times New Roman" w:eastAsia="Times New Roman" w:hAnsi="Times New Roman"/>
          <w:sz w:val="24"/>
          <w:szCs w:val="24"/>
        </w:rPr>
        <w:t xml:space="preserve">Four responses produced substantive disagreement among the eight non-disqualified models. Table D.2 shows the classification assigned by the five models with zero schema violations and zero or one errors.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337"/>
        <w:gridCol w:w="1337"/>
        <w:gridCol w:w="1337"/>
        <w:gridCol w:w="1337"/>
        <w:gridCol w:w="1337"/>
        <w:gridCol w:w="1337"/>
        <w:gridCol w:w="1338"/>
      </w:tblGrid>
      <w:tr>
        <w:trPr>
          <w:tblHeader/>
        </w:trPr>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Student Text (abbreviated)</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338"/>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1337"/>
            <w:vAlign w:val="center"/>
          </w:tcPr>
          <w:p>
            <w:pPr>
              <w:jc w:val="center"/>
            </w:pPr>
            <w:r>
              <w:rPr>
                <w:rFonts w:ascii="Times New Roman" w:cs="Times New Roman" w:eastAsia="Times New Roman" w:hAnsi="Times New Roman"/>
                <w:sz w:val="22"/>
                <w:szCs w:val="22"/>
              </w:rPr>
              <w:t xml:space="preserve">Q9 Diagnose</w:t>
            </w:r>
          </w:p>
        </w:tc>
        <w:tc>
          <w:tcPr>
            <w:tcW w:type="dxa" w:w="1337"/>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misconc. (BORROW-06)</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8"/>
            <w:vAlign w:val="center"/>
          </w:tcPr>
          <w:p>
            <w:pPr>
              <w:jc w:val="center"/>
            </w:pPr>
            <w:r>
              <w:rPr>
                <w:rFonts w:ascii="Times New Roman" w:cs="Times New Roman" w:eastAsia="Times New Roman" w:hAnsi="Times New Roman"/>
                <w:sz w:val="22"/>
                <w:szCs w:val="22"/>
              </w:rPr>
              <w:t xml:space="preserve">misconc. (BORROW-06)</w:t>
            </w:r>
          </w:p>
        </w:tc>
      </w:tr>
      <w:tr>
        <w:tc>
          <w:tcPr>
            <w:tcW w:type="dxa" w:w="1337"/>
            <w:vAlign w:val="center"/>
          </w:tcPr>
          <w:p>
            <w:pPr>
              <w:jc w:val="center"/>
            </w:pPr>
            <w:r>
              <w:rPr>
                <w:rFonts w:ascii="Times New Roman" w:cs="Times New Roman" w:eastAsia="Times New Roman" w:hAnsi="Times New Roman"/>
                <w:sz w:val="22"/>
                <w:szCs w:val="22"/>
              </w:rPr>
              <w:t xml:space="preserve">Q5 Diagnose</w:t>
            </w:r>
          </w:p>
        </w:tc>
        <w:tc>
          <w:tcPr>
            <w:tcW w:type="dxa" w:w="1337"/>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337"/>
            <w:vAlign w:val="center"/>
          </w:tcPr>
          <w:p>
            <w:pPr>
              <w:jc w:val="center"/>
            </w:pPr>
            <w:r>
              <w:rPr>
                <w:rFonts w:ascii="Times New Roman" w:cs="Times New Roman" w:eastAsia="Times New Roman" w:hAnsi="Times New Roman"/>
                <w:sz w:val="22"/>
                <w:szCs w:val="22"/>
              </w:rPr>
              <w:t xml:space="preserve">misconc. (BORROW-05), credit=50</w:t>
            </w:r>
          </w:p>
        </w:tc>
        <w:tc>
          <w:tcPr>
            <w:tcW w:type="dxa" w:w="1337"/>
            <w:vAlign w:val="center"/>
          </w:tcPr>
          <w:p>
            <w:pPr>
              <w:jc w:val="center"/>
            </w:pPr>
            <w:r>
              <w:rPr>
                <w:rFonts w:ascii="Times New Roman" w:cs="Times New Roman" w:eastAsia="Times New Roman" w:hAnsi="Times New Roman"/>
                <w:sz w:val="22"/>
                <w:szCs w:val="22"/>
              </w:rPr>
              <w:t xml:space="preserve">misconc. (BORROW-05), credit=50</w:t>
            </w:r>
          </w:p>
        </w:tc>
        <w:tc>
          <w:tcPr>
            <w:tcW w:type="dxa" w:w="1337"/>
            <w:vAlign w:val="center"/>
          </w:tcPr>
          <w:p>
            <w:pPr>
              <w:jc w:val="center"/>
            </w:pPr>
            <w:r>
              <w:rPr>
                <w:rFonts w:ascii="Times New Roman" w:cs="Times New Roman" w:eastAsia="Times New Roman" w:hAnsi="Times New Roman"/>
                <w:sz w:val="22"/>
                <w:szCs w:val="22"/>
              </w:rPr>
              <w:t xml:space="preserve">misconc. (BORROW-05), credit=100</w:t>
            </w:r>
          </w:p>
        </w:tc>
        <w:tc>
          <w:tcPr>
            <w:tcW w:type="dxa" w:w="1337"/>
            <w:vAlign w:val="center"/>
          </w:tcPr>
          <w:p>
            <w:pPr>
              <w:jc w:val="center"/>
            </w:pPr>
            <w:r>
              <w:rPr>
                <w:rFonts w:ascii="Times New Roman" w:cs="Times New Roman" w:eastAsia="Times New Roman" w:hAnsi="Times New Roman"/>
                <w:sz w:val="22"/>
                <w:szCs w:val="22"/>
              </w:rPr>
              <w:t xml:space="preserve">KG (idk), credit=0</w:t>
            </w:r>
          </w:p>
        </w:tc>
        <w:tc>
          <w:tcPr>
            <w:tcW w:type="dxa" w:w="1338"/>
            <w:vAlign w:val="center"/>
          </w:tcPr>
          <w:p>
            <w:pPr>
              <w:jc w:val="center"/>
            </w:pPr>
            <w:r>
              <w:rPr>
                <w:rFonts w:ascii="Times New Roman" w:cs="Times New Roman" w:eastAsia="Times New Roman" w:hAnsi="Times New Roman"/>
                <w:sz w:val="22"/>
                <w:szCs w:val="22"/>
              </w:rPr>
              <w:t xml:space="preserve">KG (idk), credit=0</w:t>
            </w:r>
          </w:p>
        </w:tc>
      </w:tr>
      <w:tr>
        <w:tc>
          <w:tcPr>
            <w:tcW w:type="dxa" w:w="1337"/>
            <w:vAlign w:val="center"/>
          </w:tcPr>
          <w:p>
            <w:pPr>
              <w:jc w:val="center"/>
            </w:pPr>
            <w:r>
              <w:rPr>
                <w:rFonts w:ascii="Times New Roman" w:cs="Times New Roman" w:eastAsia="Times New Roman" w:hAnsi="Times New Roman"/>
                <w:sz w:val="22"/>
                <w:szCs w:val="22"/>
              </w:rPr>
              <w:t xml:space="preserve">Q13 Diagnose</w:t>
            </w:r>
          </w:p>
        </w:tc>
        <w:tc>
          <w:tcPr>
            <w:tcW w:type="dxa" w:w="1337"/>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misconc. (INS-03), credit=50</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SE (INS-03)</w:t>
            </w:r>
          </w:p>
        </w:tc>
        <w:tc>
          <w:tcPr>
            <w:tcW w:type="dxa" w:w="1338"/>
            <w:vAlign w:val="center"/>
          </w:tcPr>
          <w:p>
            <w:pPr>
              <w:jc w:val="center"/>
            </w:pPr>
            <w:r>
              <w:rPr>
                <w:rFonts w:ascii="Times New Roman" w:cs="Times New Roman" w:eastAsia="Times New Roman" w:hAnsi="Times New Roman"/>
                <w:sz w:val="22"/>
                <w:szCs w:val="22"/>
              </w:rPr>
              <w:t xml:space="preserve">misconc. (INS-03)</w:t>
            </w:r>
          </w:p>
        </w:tc>
      </w:tr>
      <w:tr>
        <w:tc>
          <w:tcPr>
            <w:tcW w:type="dxa" w:w="1337"/>
            <w:vAlign w:val="center"/>
          </w:tcPr>
          <w:p>
            <w:pPr>
              <w:jc w:val="center"/>
            </w:pPr>
            <w:r>
              <w:rPr>
                <w:rFonts w:ascii="Times New Roman" w:cs="Times New Roman" w:eastAsia="Times New Roman" w:hAnsi="Times New Roman"/>
                <w:sz w:val="22"/>
                <w:szCs w:val="22"/>
              </w:rPr>
              <w:t xml:space="preserve">Q37 Confirm</w:t>
            </w:r>
          </w:p>
        </w:tc>
        <w:tc>
          <w:tcPr>
            <w:tcW w:type="dxa" w:w="1337"/>
            <w:vAlign w:val="center"/>
          </w:tcPr>
          <w:p>
            <w:pPr>
              <w:jc w:val="center"/>
            </w:pPr>
            <w:r>
              <w:rPr>
                <w:rFonts w:ascii="Times New Roman" w:cs="Times New Roman" w:eastAsia="Times New Roman" w:hAnsi="Times New Roman"/>
                <w:sz w:val="22"/>
                <w:szCs w:val="22"/>
              </w:rPr>
              <w:t xml:space="preserve">"Liability coverage protects you from large payments..."</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partial, credit=50</w:t>
            </w:r>
          </w:p>
        </w:tc>
        <w:tc>
          <w:tcPr>
            <w:tcW w:type="dxa" w:w="1338"/>
            <w:vAlign w:val="center"/>
          </w:tcPr>
          <w:p>
            <w:pPr>
              <w:jc w:val="center"/>
            </w:pPr>
            <w:r>
              <w:rPr>
                <w:rFonts w:ascii="Times New Roman" w:cs="Times New Roman" w:eastAsia="Times New Roman" w:hAnsi="Times New Roman"/>
                <w:sz w:val="22"/>
                <w:szCs w:val="22"/>
              </w:rPr>
              <w:t xml:space="preserve">verified, credit=100</w:t>
            </w:r>
          </w:p>
        </w:tc>
      </w:tr>
    </w:tbl>
    <w:p>
      <w:pPr>
        <w:spacing w:after="200"/>
      </w:pPr>
    </w:p>
    <w:p>
      <w:pPr>
        <w:spacing w:line="360" w:after="200"/>
      </w:pPr>
      <w:r>
        <w:rPr>
          <w:rFonts w:ascii="Times New Roman" w:cs="Times New Roman" w:eastAsia="Times New Roman" w:hAnsi="Times New Roman"/>
          <w:b/>
          <w:bCs/>
          <w:sz w:val="24"/>
          <w:szCs w:val="24"/>
        </w:rPr>
        <w:t xml:space="preserve">Selection Rationale.</w:t>
      </w:r>
      <w:r>
        <w:rPr>
          <w:rFonts w:ascii="Times New Roman" w:cs="Times New Roman" w:eastAsia="Times New Roman" w:hAnsi="Times New Roman"/>
          <w:sz w:val="24"/>
          <w:szCs w:val="24"/>
        </w:rPr>
        <w:t xml:space="preserve"> GPT-4.1 was selected as the production scorer based on: (a) zero schema violations across all 20 test items, (b) zero parse or API errors, (c) appropriate use of credit=50 for borderline misconceptions, (d) balanced classification distributions, and (e) reasonable throughput and cost (~33 minutes, ~$2.86 for the full corpus). On the disputed items, GPT-4.1's classifications aligned with the majority of the zero-error models in three of four cases, supporting its position as a concordant central scorer.</w:t>
      </w:r>
    </w:p>
    <w:p>
      <w:r>
        <w:br w:type="page"/>
      </w:r>
    </w:p>
    <w:p>
      <w:pPr>
        <w:pStyle w:val="Heading1"/>
        <w:spacing w:before="480" w:after="240"/>
      </w:pPr>
      <w:r>
        <w:rPr>
          <w:rFonts w:ascii="Times New Roman" w:cs="Times New Roman" w:eastAsia="Times New Roman" w:hAnsi="Times New Roman"/>
          <w:sz w:val="24"/>
          <w:szCs w:val="24"/>
        </w:rPr>
        <w:t xml:space="preserve">Appendix E: Supplementary Materials</w:t>
      </w:r>
    </w:p>
    <w:p>
      <w:pPr>
        <w:pStyle w:val="ListParagraph"/>
        <w:numPr>
          <w:ilvl w:val="0"/>
          <w:numId w:val="3"/>
        </w:numPr>
        <w:spacing w:line="360" w:after="100"/>
      </w:pPr>
      <w:r>
        <w:rPr>
          <w:rFonts w:ascii="Times New Roman" w:cs="Times New Roman" w:eastAsia="Times New Roman" w:hAnsi="Times New Roman"/>
          <w:b/>
          <w:bCs/>
          <w:sz w:val="24"/>
          <w:szCs w:val="24"/>
        </w:rPr>
        <w:t xml:space="preserve">Introductory orientation video.</w:t>
      </w:r>
      <w:r>
        <w:rPr>
          <w:rFonts w:ascii="Times New Roman" w:cs="Times New Roman" w:eastAsia="Times New Roman" w:hAnsi="Times New Roman"/>
          <w:sz w:val="24"/>
          <w:szCs w:val="24"/>
        </w:rPr>
        <w:t xml:space="preserve"> Before beginning the assessment, each student views a short orientation video explaining the purpose, structure, and non-graded nature of the assessment. The video is available at: </w:t>
      </w:r>
      <w:r>
        <w:rPr>
          <w:rFonts w:ascii="Times New Roman" w:cs="Times New Roman" w:eastAsia="Times New Roman" w:hAnsi="Times New Roman"/>
          <w:color w:val="0563C1"/>
          <w:sz w:val="24"/>
          <w:szCs w:val="24"/>
          <w:u w:val="single"/>
        </w:rPr>
        <w:t xml:space="preserve">https://financial-literacy.qualiaai.fr/intro-video.mp4</w:t>
      </w:r>
    </w:p>
    <w:p>
      <w:pPr>
        <w:pStyle w:val="ListParagraph"/>
        <w:numPr>
          <w:ilvl w:val="0"/>
          <w:numId w:val="3"/>
        </w:numPr>
        <w:spacing w:line="360" w:after="100"/>
      </w:pPr>
      <w:r>
        <w:rPr>
          <w:rFonts w:ascii="Times New Roman" w:cs="Times New Roman" w:eastAsia="Times New Roman" w:hAnsi="Times New Roman"/>
          <w:b/>
          <w:bCs/>
          <w:sz w:val="24"/>
          <w:szCs w:val="24"/>
        </w:rPr>
        <w:t xml:space="preserve">Source code repository.</w:t>
      </w:r>
      <w:r>
        <w:rPr>
          <w:rFonts w:ascii="Times New Roman" w:cs="Times New Roman" w:eastAsia="Times New Roman" w:hAnsi="Times New Roman"/>
          <w:sz w:val="24"/>
          <w:szCs w:val="24"/>
        </w:rPr>
        <w:t xml:space="preserve"> The complete platform source code, data export scripts, and reproducible verification script (</w:t>
      </w:r>
      <w:r>
        <w:rPr>
          <w:rFonts w:ascii="Courier New" w:cs="Courier New" w:eastAsia="Courier New" w:hAnsi="Courier New"/>
          <w:sz w:val="24"/>
          <w:szCs w:val="24"/>
        </w:rPr>
        <w:t xml:space="preserve">verify_paper_tables.py</w:t>
      </w:r>
      <w:r>
        <w:rPr>
          <w:rFonts w:ascii="Times New Roman" w:cs="Times New Roman" w:eastAsia="Times New Roman" w:hAnsi="Times New Roman"/>
          <w:sz w:val="24"/>
          <w:szCs w:val="24"/>
        </w:rPr>
        <w:t xml:space="preserve">) are publicly available in the project repository (Bolivard, 2026).</w:t>
      </w:r>
    </w:p>
    <w:p>
      <w:pPr>
        <w:pStyle w:val="ListParagraph"/>
        <w:numPr>
          <w:ilvl w:val="0"/>
          <w:numId w:val="3"/>
        </w:numPr>
        <w:spacing w:line="360" w:after="100"/>
      </w:pPr>
      <w:r>
        <w:rPr>
          <w:rFonts w:ascii="Times New Roman" w:cs="Times New Roman" w:eastAsia="Times New Roman" w:hAnsi="Times New Roman"/>
          <w:b/>
          <w:bCs/>
          <w:sz w:val="24"/>
          <w:szCs w:val="24"/>
        </w:rPr>
        <w:t xml:space="preserve">De-identified data exports.</w:t>
      </w:r>
      <w:r>
        <w:rPr>
          <w:rFonts w:ascii="Times New Roman" w:cs="Times New Roman" w:eastAsia="Times New Roman" w:hAnsi="Times New Roman"/>
          <w:sz w:val="24"/>
          <w:szCs w:val="24"/>
        </w:rPr>
        <w:t xml:space="preserve"> Consented response data (</w:t>
      </w:r>
      <w:r>
        <w:rPr>
          <w:rFonts w:ascii="Courier New" w:cs="Courier New" w:eastAsia="Courier New" w:hAnsi="Courier New"/>
          <w:sz w:val="24"/>
          <w:szCs w:val="24"/>
        </w:rPr>
        <w:t xml:space="preserve">consented_responses_354.csv</w:t>
      </w:r>
      <w:r>
        <w:rPr>
          <w:rFonts w:ascii="Times New Roman" w:cs="Times New Roman" w:eastAsia="Times New Roman" w:hAnsi="Times New Roman"/>
          <w:sz w:val="24"/>
          <w:szCs w:val="24"/>
        </w:rPr>
        <w:t xml:space="preserve">), diagnose classification results (</w:t>
      </w:r>
      <w:r>
        <w:rPr>
          <w:rFonts w:ascii="Courier New" w:cs="Courier New" w:eastAsia="Courier New" w:hAnsi="Courier New"/>
          <w:sz w:val="24"/>
          <w:szCs w:val="24"/>
        </w:rPr>
        <w:t xml:space="preserve">diagnose_by_item.csv</w:t>
      </w:r>
      <w:r>
        <w:rPr>
          <w:rFonts w:ascii="Times New Roman" w:cs="Times New Roman" w:eastAsia="Times New Roman" w:hAnsi="Times New Roman"/>
          <w:sz w:val="24"/>
          <w:szCs w:val="24"/>
        </w:rPr>
        <w:t xml:space="preserve">), confirm classification results (</w:t>
      </w:r>
      <w:r>
        <w:rPr>
          <w:rFonts w:ascii="Courier New" w:cs="Courier New" w:eastAsia="Courier New" w:hAnsi="Courier New"/>
          <w:sz w:val="24"/>
          <w:szCs w:val="24"/>
        </w:rPr>
        <w:t xml:space="preserve">confirm_by_item.csv</w:t>
      </w:r>
      <w:r>
        <w:rPr>
          <w:rFonts w:ascii="Times New Roman" w:cs="Times New Roman" w:eastAsia="Times New Roman" w:hAnsi="Times New Roman"/>
          <w:sz w:val="24"/>
          <w:szCs w:val="24"/>
        </w:rPr>
        <w:t xml:space="preserve">), and the SDM-10 item bank (</w:t>
      </w:r>
      <w:r>
        <w:rPr>
          <w:rFonts w:ascii="Courier New" w:cs="Courier New" w:eastAsia="Courier New" w:hAnsi="Courier New"/>
          <w:sz w:val="24"/>
          <w:szCs w:val="24"/>
        </w:rPr>
        <w:t xml:space="preserve">sdm10_item_bank.xlsx</w:t>
      </w:r>
      <w:r>
        <w:rPr>
          <w:rFonts w:ascii="Times New Roman" w:cs="Times New Roman" w:eastAsia="Times New Roman" w:hAnsi="Times New Roman"/>
          <w:sz w:val="24"/>
          <w:szCs w:val="24"/>
        </w:rPr>
        <w:t xml:space="preserve">) are available for download at: </w:t>
      </w:r>
      <w:r>
        <w:rPr>
          <w:rFonts w:ascii="Times New Roman" w:cs="Times New Roman" w:eastAsia="Times New Roman" w:hAnsi="Times New Roman"/>
          <w:color w:val="0563C1"/>
          <w:sz w:val="24"/>
          <w:szCs w:val="24"/>
          <w:u w:val="single"/>
        </w:rPr>
        <w:t xml:space="preserve">https://financial-literacy.qualiaai.fr/admin/documents</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2026-02-11T03:03:18.482Z</dcterms:created>
  <dcterms:modified xsi:type="dcterms:W3CDTF">2026-02-11T03:03:18.483Z</dcterms:modified>
</cp:coreProperties>
</file>

<file path=docProps/custom.xml><?xml version="1.0" encoding="utf-8"?>
<Properties xmlns="http://schemas.openxmlformats.org/officeDocument/2006/custom-properties" xmlns:vt="http://schemas.openxmlformats.org/officeDocument/2006/docPropsVTypes"/>
</file>