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spacing w:line="360" w:after="200"/>
        <w:jc w:val="left"/>
      </w:pPr>
      <w:r>
        <w:rPr>
          <w:rFonts w:ascii="Times New Roman" w:cs="Times New Roman" w:eastAsia="Times New Roman" w:hAnsi="Times New Roman"/>
          <w:sz w:val="24"/>
          <w:szCs w:val="24"/>
        </w:rPr>
        <w:t xml:space="preserve">Research consent was voluntary and administered through a structured two-part consent process described in Section 4.4.3; students could decline research participation without penalty and without any impact on course standing or grades. The study protocol has been prepared for institutional review (see Section 4.4.1).</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drew only from knowledge items (Q1–Q14, Q29–Q40); preference items (Q15–Q28) did not trigger adaptive follow-up. The SDM-10 was designed as a diagnostic complement to the anchor assessment and does not contribute to the student’s grade (Model C: diagnostic only), eliminating grade pressure that could discourage honest explanations.</w:t>
      </w:r>
    </w:p>
    <w:p>
      <w:pPr>
        <w:spacing w:line="360" w:after="200"/>
      </w:pPr>
      <w:r>
        <w:rPr>
          <w:rFonts w:ascii="Times New Roman" w:cs="Times New Roman" w:eastAsia="Times New Roman" w:hAnsi="Times New Roman"/>
          <w:b/>
          <w:bCs/>
          <w:sz w:val="24"/>
          <w:szCs w:val="24"/>
        </w:rPr>
        <w:t xml:space="preserve">Information Deficit Model and Need Score. </w:t>
      </w: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before="240" w:after="120"/>
        <w:jc w:val="center"/>
      </w:pPr>
      <w:r>
        <w:rPr>
          <w:rFonts w:ascii="Times New Roman" w:cs="Times New Roman" w:eastAsia="Times New Roman" w:hAnsi="Times New Roman"/>
          <w:b/>
          <w:bCs/>
          <w:i/>
          <w:iCs/>
          <w:sz w:val="22"/>
          <w:szCs w:val="22"/>
        </w:rPr>
        <w:t xml:space="preserve">Table 4.2.3a.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pPr>
      <w:r>
        <w:rPr>
          <w:rFonts w:ascii="Times New Roman" w:cs="Times New Roman" w:eastAsia="Times New Roman" w:hAnsi="Times New Roman"/>
          <w:b/>
          <w:bCs/>
          <w:sz w:val="24"/>
          <w:szCs w:val="24"/>
        </w:rPr>
        <w:t xml:space="preserve">Item Bank and Variant Types. </w:t>
      </w:r>
      <w:r>
        <w:rPr>
          <w:rFonts w:ascii="Times New Roman" w:cs="Times New Roman" w:eastAsia="Times New Roman" w:hAnsi="Times New Roman"/>
          <w:sz w:val="24"/>
          <w:szCs w:val="24"/>
        </w:rPr>
        <w:t xml:space="preserve">The item bank contains 156 pre-written variants organized into six types: Lower_TF (foundational true/false), Lower_MCQ (foundational multiple choice), Same_MCQ (parallel difficulty), Higher_MCQ (applied/transfer), Open_Confirm (explain correct reasoning), and Open_Diagnose (explain incorrect reasoning). Each variant is mapped to the same subcategory as its anchor item. The variant type assigned to each subcategory is determined by the anchor response pattern: incorrect answers with high confidence trigger Open_Diagnose items to surface misconceptions, while correct answers with low confidence trigger Open_Confirm items to verify understanding.</w:t>
      </w:r>
    </w:p>
    <w:p>
      <w:pPr>
        <w:spacing w:before="240" w:after="120"/>
        <w:jc w:val="center"/>
      </w:pPr>
      <w:r>
        <w:rPr>
          <w:rFonts w:ascii="Times New Roman" w:cs="Times New Roman" w:eastAsia="Times New Roman" w:hAnsi="Times New Roman"/>
          <w:b/>
          <w:bCs/>
          <w:i/>
          <w:iCs/>
          <w:sz w:val="22"/>
          <w:szCs w:val="22"/>
        </w:rPr>
        <w:t xml:space="preserve">Table 4.2.3b.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line="360" w:after="200"/>
      </w:pPr>
      <w:r>
        <w:rPr>
          <w:rFonts w:ascii="Times New Roman" w:cs="Times New Roman" w:eastAsia="Times New Roman" w:hAnsi="Times New Roman"/>
          <w:b/>
          <w:bCs/>
          <w:sz w:val="24"/>
          <w:szCs w:val="24"/>
        </w:rPr>
        <w:t xml:space="preserve">Selection Algorithm. </w:t>
      </w: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A five-level tiebreaker hierarchy resolves equal Need scores: (1) domain deficit, (2) format priority (True/False over MCQ), (3) subcategory spread (max 2 per subcategory), (4) domain order, and (5) seeded random selection. Open-ended items are capped at 3 per student; when the cap is reached, Open_Diagnose falls back to Lower_MCQ and Open_Confirm falls back to Same_MCQ.</w:t>
      </w:r>
    </w:p>
    <w:p>
      <w:pPr>
        <w:spacing w:line="360" w:after="200"/>
      </w:pPr>
      <w:r>
        <w:rPr>
          <w:rFonts w:ascii="Times New Roman" w:cs="Times New Roman" w:eastAsia="Times New Roman" w:hAnsi="Times New Roman"/>
          <w:b/>
          <w:bCs/>
          <w:sz w:val="24"/>
          <w:szCs w:val="24"/>
        </w:rPr>
        <w:t xml:space="preserve">Three-Way Classification. </w:t>
      </w:r>
      <w:r>
        <w:rPr>
          <w:rFonts w:ascii="Times New Roman" w:cs="Times New Roman" w:eastAsia="Times New Roman" w:hAnsi="Times New Roman"/>
          <w:sz w:val="24"/>
          <w:szCs w:val="24"/>
        </w:rPr>
        <w:t xml:space="preserve">Every open-ended response is classified into one of three categories: misconception (student holds a specific wrong mental model), knowledge gap (student lacks knowledge—blank, “I don’t know,” or unfamiliar with terms), or selection error (student demonstrates correct understanding but selected the wrong anchor answer due to misreading, misclick, or True/False reversal). This classification drives differentiated follow-up: misconceptions require targeted correction, knowledge gaps require instruction from foundational principles, and selection errors flag item ambiguity for revision.</w:t>
      </w:r>
    </w:p>
    <w:p>
      <w:pPr>
        <w:spacing w:line="360" w:after="200"/>
      </w:pPr>
      <w:r>
        <w:rPr>
          <w:rFonts w:ascii="Times New Roman" w:cs="Times New Roman" w:eastAsia="Times New Roman" w:hAnsi="Times New Roman"/>
          <w:b/>
          <w:bCs/>
          <w:sz w:val="24"/>
          <w:szCs w:val="24"/>
        </w:rPr>
        <w:t xml:space="preserve">Misconception Taxonomy. </w:t>
      </w:r>
      <w:r>
        <w:rPr>
          <w:rFonts w:ascii="Times New Roman" w:cs="Times New Roman" w:eastAsia="Times New Roman" w:hAnsi="Times New Roman"/>
          <w:sz w:val="24"/>
          <w:szCs w:val="24"/>
        </w:rPr>
        <w:t xml:space="preserve">A two-layer taxonomy structures misconception classification. Layer 1 contains 37 generalizable financial literacy misconception families organized into seven categories: Inflation and Purchasing Power (5 families), Interest, Compounding, and Time Value of Money (7 families), Risk, Return, and Diversification (10 families), Insurance and Risk Management (5 families), Borrowing, Credit, and Personal Finance (6 families), Financial Crises and Systemic Risk (3 families), and Numeracy (1 family). Layer 1 codes are designed to transfer across assessment contexts and student populations. Layer 2 contains item-specific tags derived from observed student response patterns, providing granularity within each Layer 1 family. The complete taxonomy is presented in Appendix C.</w:t>
      </w:r>
    </w:p>
    <w:p>
      <w:pPr>
        <w:spacing w:line="360" w:after="200"/>
      </w:pPr>
      <w:r>
        <w:rPr>
          <w:rFonts w:ascii="Times New Roman" w:cs="Times New Roman" w:eastAsia="Times New Roman" w:hAnsi="Times New Roman"/>
          <w:b/>
          <w:bCs/>
          <w:sz w:val="24"/>
          <w:szCs w:val="24"/>
        </w:rPr>
        <w:t xml:space="preserve">AI-Assisted Scoring Pipeline. </w:t>
      </w:r>
      <w:r>
        <w:rPr>
          <w:rFonts w:ascii="Times New Roman" w:cs="Times New Roman" w:eastAsia="Times New Roman" w:hAnsi="Times New Roman"/>
          <w:sz w:val="24"/>
          <w:szCs w:val="24"/>
        </w:rPr>
        <w:t xml:space="preserve">Open-ended responses are scored using a large language model (GPT-4.1, OpenAI) accessed via the OpenRouter API. The model was selected through a multi-model concordance protocol in which 11 LLMs scored the same 20 responses and were evaluated on five quality criteria: schema compliance, error rate, classification nuance, throughput, and cost (Appendix D). Each response is processed with an item-specific prompt containing the anchor question context, the student’s selected answer and confidence level, applicable misconception families with calibration examples, and a decision tree for three-way classification. The model returns a structured JSON classification including diagnosis type, Layer 1 code, Layer 2 tag, credit score (0/50/100 measuring diagnostic value), classification confidence, an evidence quote, and a reasoning summary. Low-confidence classifications (approximately 5–10% of responses) are flagged for human review and adjudication by the course instructor. Prior work on LLM-based grading in business education found limited reliability when applying generic prompts to domain-specific content (Flodén, 2025). To address this, our pipeline uses item-specific prompts with calibration examples, a structured misconception taxonomy, and explicit decision trees, following the collaborative human-AI scoring model in which the LLM serves as a second rater whose low-confidence outputs are flagged for instructor adjudication (Olivos, Kamelski, &amp; Ascui-Gac, 2025). This approach follows established practices for LLM-based assessment scoring (Mizumoto &amp; Eguchi, 2024; Yavuz, 2025). All item selection decisions are deterministic and rule-based; the language model is used only for open-ended response classification.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To ensure standardized delivery and data integrity at scale, the questionnaire was administered through a dedicated web platform developed for this study: the Financial Literacy Toolkit. Students accessed the platform by entering their course code and university student ID number. The platform immediately transformed each student ID into a one-way cryptographic hash (SHA-256 with a per-course pepper) and discarded the raw identifier; all subsequent data storage and analysis use only the hashed key. The platform did not collect or store passwords, email addresses, or other personally identifiable information. After authentication, students reviewed an information and consent screen (see Section 4.4.3) and completed a brief onboarding process.</w:t>
      </w:r>
    </w:p>
    <w:p>
      <w:pPr>
        <w:spacing w:line="360" w:after="200"/>
        <w:jc w:val="left"/>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and large-scale surveys, including the Berlin Numeracy Test (BNT), Lipkus Numeracy Scale, Schwartz Numeracy Scale, the ‘Big Three’ (Lusardi and Mitchell), the FINRA National Financial Capability Study (NFCS) item sets including the NFCS extension ‘Big Five,’ the OECD/INFE Toolkit (2022), the P-Fin Index (including Retirement Fluency; TIAA and GFLEC), and related decision science and medical decision-making research instruments. An initial pool of approximately 80 candidate items was curated and refined to a 40-item anchor assessment. Each anchor question concept has pre-written variants by format (True/False, multiple choice, short open-ended) and level of understanding (foundational, comparable, applied), enabling targeted diagnostic follow-ups while maintaining a standardized 40-item anchor assessment. The complete platform source code, assessment instruments, and data processing scripts are publicly available in the project repository (Boulaid, 2026).</w:t>
      </w:r>
    </w:p>
    <w:p>
      <w:pPr>
        <w:pStyle w:val="Heading2"/>
      </w:pPr>
      <w:r>
        <w:t xml:space="preserve">4.4 Human Subjects Protections, Privacy, and FERPA Compliance</w:t>
      </w:r>
    </w:p>
    <w:p>
      <w:pPr>
        <w:pStyle w:val="Heading3"/>
      </w:pPr>
      <w:r>
        <w:t xml:space="preserve">4.4.1 Ethical Review and Regulatory Classification</w:t>
      </w:r>
    </w:p>
    <w:p>
      <w:pPr>
        <w:spacing w:line="360" w:after="200"/>
        <w:jc w:val="left"/>
      </w:pPr>
      <w:r>
        <w:rPr>
          <w:rFonts w:ascii="Times New Roman" w:cs="Times New Roman" w:eastAsia="Times New Roman" w:hAnsi="Times New Roman"/>
          <w:sz w:val="24"/>
          <w:szCs w:val="24"/>
        </w:rPr>
        <w:t xml:space="preserve">This study constitutes research with human subjects under federal regulations (45 CFR 46.102): it is a systematic investigation designed to contribute to generalizable knowledge about financial literacy education, conducted with living individuals from whom identifiable private information (educational assessment data linked via coded identifiers with a retained linking key) is collected through interaction (online survey administration). Because the study involves student educational records, the Family Educational Rights and Privacy Act (FERPA) applies. The study protocol has been prepared for submission to the Institutional Review Board at Loyola University Chicago (Office of Research Services, ORS@luc.edu). The study is expected to qualify for exempt review (Category 2: educational tests, surveys, and interview procedures with coded identifiers) or expedited review, given that the research presents no more than minimal risk to participants.</w:t>
      </w:r>
    </w:p>
    <w:p>
      <w:pPr>
        <w:pStyle w:val="Heading3"/>
      </w:pPr>
      <w:r>
        <w:t xml:space="preserve">4.4.2 Dual-Role Disclosure and Mitigation</w:t>
      </w:r>
    </w:p>
    <w:p>
      <w:pPr>
        <w:spacing w:line="360" w:after="200"/>
        <w:jc w:val="left"/>
      </w:pPr>
      <w:r>
        <w:rPr>
          <w:rFonts w:ascii="Times New Roman" w:cs="Times New Roman" w:eastAsia="Times New Roman" w:hAnsi="Times New Roman"/>
          <w:sz w:val="24"/>
          <w:szCs w:val="24"/>
        </w:rPr>
        <w:t xml:space="preserve">Members of the research team hold instructional roles in Quinn 102, creating a potential conflict of interest. Specifically, the instructor-researcher dual role may produce undue influence if students perceive that declining research participation could affect their course standing. Three safeguards address this concern. First, the assessment is a required course assignment for all enrolled students regardless of research participation; the research consent decision pertains only to whether a student’s data may be used for analysis beyond course purposes. Second, the platform presents research consent as a clearly separated, voluntary choice (see Section 4.4.3) with explicit language stating that declining has no impact on grades, course standing, or the student’s relationship with the instructor. Third, the research dataset is de-identified; instructional personnel access only the course-administration dataset (for confirming assignment completion) and cannot determine which students consented or declined research participation during the grading period.</w:t>
      </w:r>
    </w:p>
    <w:p>
      <w:pPr>
        <w:pStyle w:val="Heading3"/>
      </w:pPr>
      <w:r>
        <w:t xml:space="preserve">4.4.3 Informed Consent</w:t>
      </w:r>
    </w:p>
    <w:p>
      <w:pPr>
        <w:spacing w:line="360" w:after="200"/>
        <w:jc w:val="left"/>
      </w:pPr>
      <w:r>
        <w:rPr>
          <w:rFonts w:ascii="Times New Roman" w:cs="Times New Roman" w:eastAsia="Times New Roman" w:hAnsi="Times New Roman"/>
          <w:sz w:val="24"/>
          <w:szCs w:val="24"/>
        </w:rPr>
        <w:t xml:space="preserve">The platform’s onboarding flow presented a two-part consent screen before any data collection:</w:t>
      </w:r>
    </w:p>
    <w:p>
      <w:pPr>
        <w:spacing w:line="360" w:after="200"/>
      </w:pPr>
      <w:r>
        <w:rPr>
          <w:rFonts w:ascii="Times New Roman" w:cs="Times New Roman" w:eastAsia="Times New Roman" w:hAnsi="Times New Roman"/>
          <w:b/>
          <w:bCs/>
          <w:sz w:val="24"/>
          <w:szCs w:val="24"/>
        </w:rPr>
        <w:t xml:space="preserve">Course requirement acknowledgment (mandatory). </w:t>
      </w:r>
      <w:r>
        <w:rPr>
          <w:rFonts w:ascii="Times New Roman" w:cs="Times New Roman" w:eastAsia="Times New Roman" w:hAnsi="Times New Roman"/>
          <w:sz w:val="24"/>
          <w:szCs w:val="24"/>
        </w:rPr>
        <w:t xml:space="preserve">Students reviewed the statement: “This assessment is a required course assignment in [course code]. Completion affects course credit, but your answers are not graded for correctness.” Students checked a required acknowledgment box: “I understand this assessment is required for the course.”</w:t>
      </w:r>
    </w:p>
    <w:p>
      <w:pPr>
        <w:spacing w:line="360" w:after="200"/>
      </w:pPr>
      <w:r>
        <w:rPr>
          <w:rFonts w:ascii="Times New Roman" w:cs="Times New Roman" w:eastAsia="Times New Roman" w:hAnsi="Times New Roman"/>
          <w:b/>
          <w:bCs/>
          <w:sz w:val="24"/>
          <w:szCs w:val="24"/>
        </w:rPr>
        <w:t xml:space="preserve">Research consent (voluntary). </w:t>
      </w:r>
      <w:r>
        <w:rPr>
          <w:rFonts w:ascii="Times New Roman" w:cs="Times New Roman" w:eastAsia="Times New Roman" w:hAnsi="Times New Roman"/>
          <w:sz w:val="24"/>
          <w:szCs w:val="24"/>
        </w:rPr>
        <w:t xml:space="preserve">Below the course acknowledgment, students read: “You may choose whether your responses are used for research evaluating course learning outcomes. Declining has no impact on grades.” Students selected one of two options: “Yes, I consent” or “No, I do not consent.” The default selection was “Yes, I consent.”</w:t>
      </w:r>
    </w:p>
    <w:p>
      <w:pPr>
        <w:spacing w:line="360" w:after="200"/>
        <w:jc w:val="left"/>
      </w:pPr>
      <w:r>
        <w:rPr>
          <w:rFonts w:ascii="Times New Roman" w:cs="Times New Roman" w:eastAsia="Times New Roman" w:hAnsi="Times New Roman"/>
          <w:sz w:val="24"/>
          <w:szCs w:val="24"/>
        </w:rPr>
        <w:t xml:space="preserve">Each student’s research consent decision, along with a timestamp and consent version identifier (version 1.0), was recorded in the database. Of the 421 students who submitted completed assessments, 353 (83.8%) consented to research use of their data and 68 (16.2%) declined. Students may withdraw research consent at any time by contacting the principal investigator; withdrawn data will be excluded from all subsequent analyses.</w:t>
      </w:r>
    </w:p>
    <w:p>
      <w:pPr>
        <w:spacing w:line="360" w:after="200"/>
        <w:jc w:val="left"/>
      </w:pPr>
      <w:r>
        <w:rPr>
          <w:rFonts w:ascii="Times New Roman" w:cs="Times New Roman" w:eastAsia="Times New Roman" w:hAnsi="Times New Roman"/>
          <w:sz w:val="24"/>
          <w:szCs w:val="24"/>
        </w:rPr>
        <w:t xml:space="preserve">A privacy notice was also displayed during onboarding: “Your Student ID is converted to a coded identifier before storage. Identifiable information, if collected for course administration, is stored separately from the research dataset and access is restricted. Research analysis uses de-identified data and is governed by your consent choice.”</w:t>
      </w:r>
    </w:p>
    <w:p>
      <w:pPr>
        <w:pStyle w:val="Heading3"/>
      </w:pPr>
      <w:r>
        <w:t xml:space="preserve">4.4.4 De-identification and Data Security</w:t>
      </w:r>
    </w:p>
    <w:p>
      <w:pPr>
        <w:spacing w:line="360" w:after="200"/>
        <w:jc w:val="left"/>
      </w:pPr>
      <w:r>
        <w:rPr>
          <w:rFonts w:ascii="Times New Roman" w:cs="Times New Roman" w:eastAsia="Times New Roman" w:hAnsi="Times New Roman"/>
          <w:sz w:val="24"/>
          <w:szCs w:val="24"/>
        </w:rPr>
        <w:t xml:space="preserve">Student identifiers were transformed into coded keys using a one-way cryptographic hash function (SHA-256) with a per-course pepper prior to storage. The hash is irreversible: given only the hashed key, it is computationally infeasible to recover the original student identifier. No raw student ID numbers, names, email addresses, or other personally identifiable information are stored in any database table used for research. The platform does not store IP addresses; IP data is used only transiently in memory for rate-limiting purposes and is never persisted to disk or database.</w:t>
      </w:r>
    </w:p>
    <w:p>
      <w:pPr>
        <w:spacing w:line="360" w:after="200"/>
        <w:jc w:val="left"/>
      </w:pPr>
      <w:r>
        <w:rPr>
          <w:rFonts w:ascii="Times New Roman" w:cs="Times New Roman" w:eastAsia="Times New Roman" w:hAnsi="Times New Roman"/>
          <w:sz w:val="24"/>
          <w:szCs w:val="24"/>
        </w:rPr>
        <w:t xml:space="preserve">The research dataset contains only the hashed identifier, assessment responses (answer selections, confidence ratings, open-ended text), baseline onboarding survey responses, scoring metadata, and timestamps. Course-administration linkage (for confirming assignment completion and reporting grades) is maintained separately with restricted access by authorized instructional personnel only.</w:t>
      </w:r>
    </w:p>
    <w:p>
      <w:pPr>
        <w:spacing w:line="360" w:after="200"/>
        <w:jc w:val="left"/>
      </w:pPr>
      <w:r>
        <w:rPr>
          <w:rFonts w:ascii="Times New Roman" w:cs="Times New Roman" w:eastAsia="Times New Roman" w:hAnsi="Times New Roman"/>
          <w:sz w:val="24"/>
          <w:szCs w:val="24"/>
        </w:rPr>
        <w:t xml:space="preserve">All sensitive demographic and financial fields in the baseline survey (household income, parental education, first-generation college status, financial aid status, debt level, financial stress) include a “Prefer not to answer” option, allowing students to participate without disclosing information they consider private. The demographic variables collected for heterogeneity analysis were selected to minimize re-identification risk. The survey collects age as a categorical range (e.g., “20 or under,” “above 20”) rather than exact date of birth, and does not collect geographic identifiers such as zip code or home address. Research has demonstrated that 87% of the U.S. population can be uniquely identified from the combination of five-digit zip code, gender, and date of birth (Sweeney, 2000); by design, this study collects none of these three identifiers in combination.</w:t>
      </w:r>
    </w:p>
    <w:p>
      <w:pPr>
        <w:pStyle w:val="Heading3"/>
      </w:pPr>
      <w:r>
        <w:t xml:space="preserve">4.4.5 Data Retention and Destruction</w:t>
      </w:r>
    </w:p>
    <w:p>
      <w:pPr>
        <w:spacing w:line="360" w:after="200"/>
        <w:jc w:val="left"/>
      </w:pPr>
      <w:r>
        <w:rPr>
          <w:rFonts w:ascii="Times New Roman" w:cs="Times New Roman" w:eastAsia="Times New Roman" w:hAnsi="Times New Roman"/>
          <w:sz w:val="24"/>
          <w:szCs w:val="24"/>
        </w:rPr>
        <w:t xml:space="preserve">Research data will be retained for a minimum of three years following study completion, consistent with the Common Rule retention requirements, or longer if required by Loyola University Chicago institutional policy. During the retention period, de-identified data will be stored on password-protected, encrypted servers with access restricted to authorized members of the research team. The course-administration linking key (which enables grade reporting) will be destroyed after final course grades have been posted for the Spring 2026 semester. After the retention period expires, all electronic research files will be permanently deleted. The principal investigator is responsible for data destruction and will maintain documentation of the destruction process.</w:t>
      </w:r>
    </w:p>
    <w:p>
      <w:pPr>
        <w:pStyle w:val="Heading3"/>
      </w:pPr>
      <w:r>
        <w:t xml:space="preserve">4.4.6 Ethical Framework</w:t>
      </w:r>
    </w:p>
    <w:p>
      <w:pPr>
        <w:spacing w:line="360" w:after="200"/>
        <w:jc w:val="left"/>
      </w:pPr>
      <w:r>
        <w:rPr>
          <w:rFonts w:ascii="Times New Roman" w:cs="Times New Roman" w:eastAsia="Times New Roman" w:hAnsi="Times New Roman"/>
          <w:sz w:val="24"/>
          <w:szCs w:val="24"/>
        </w:rPr>
        <w:t xml:space="preserve">The study design addresses the three principles of the Belmont Report (National Commission, 1979):</w:t>
      </w:r>
    </w:p>
    <w:p>
      <w:pPr>
        <w:spacing w:line="360" w:after="200"/>
      </w:pPr>
      <w:r>
        <w:rPr>
          <w:rFonts w:ascii="Times New Roman" w:cs="Times New Roman" w:eastAsia="Times New Roman" w:hAnsi="Times New Roman"/>
          <w:b/>
          <w:bCs/>
          <w:sz w:val="24"/>
          <w:szCs w:val="24"/>
        </w:rPr>
        <w:t xml:space="preserve">Respect for Persons. </w:t>
      </w:r>
      <w:r>
        <w:rPr>
          <w:rFonts w:ascii="Times New Roman" w:cs="Times New Roman" w:eastAsia="Times New Roman" w:hAnsi="Times New Roman"/>
          <w:sz w:val="24"/>
          <w:szCs w:val="24"/>
        </w:rPr>
        <w:t xml:space="preserve">Research participation is voluntary and clearly separated from the required course assignment. Students provide informed consent through a structured, accessible consent screen that states the study purpose, procedures, risks, and the right to decline or withdraw without penalty. The consent process is designed to be comprehensible without specialized knowledge.</w:t>
      </w:r>
    </w:p>
    <w:p>
      <w:pPr>
        <w:spacing w:line="360" w:after="200"/>
      </w:pPr>
      <w:r>
        <w:rPr>
          <w:rFonts w:ascii="Times New Roman" w:cs="Times New Roman" w:eastAsia="Times New Roman" w:hAnsi="Times New Roman"/>
          <w:b/>
          <w:bCs/>
          <w:sz w:val="24"/>
          <w:szCs w:val="24"/>
        </w:rPr>
        <w:t xml:space="preserve">Beneficence. </w:t>
      </w:r>
      <w:r>
        <w:rPr>
          <w:rFonts w:ascii="Times New Roman" w:cs="Times New Roman" w:eastAsia="Times New Roman" w:hAnsi="Times New Roman"/>
          <w:sz w:val="24"/>
          <w:szCs w:val="24"/>
        </w:rPr>
        <w:t xml:space="preserve">The study presents minimal risk: the assessment covers standard financial literacy content encountered in normal educational practice, and the primary risk — breach of confidentiality — is mitigated through one-way cryptographic hashing, de-identified datasets, separate key storage, restricted access controls, and the absence of direct identifiers in the research file. Sensitive survey items include “Prefer not to answer” options to reduce discomfort. There is no direct benefit to individual participants; the anticipated benefit is improved financial literacy instruction for future cohorts based on empirical evidence of learning outcomes and knowledge gaps.</w:t>
      </w:r>
    </w:p>
    <w:p>
      <w:pPr>
        <w:spacing w:line="360" w:after="200"/>
      </w:pPr>
      <w:r>
        <w:rPr>
          <w:rFonts w:ascii="Times New Roman" w:cs="Times New Roman" w:eastAsia="Times New Roman" w:hAnsi="Times New Roman"/>
          <w:b/>
          <w:bCs/>
          <w:sz w:val="24"/>
          <w:szCs w:val="24"/>
        </w:rPr>
        <w:t xml:space="preserve">Justice. </w:t>
      </w:r>
      <w:r>
        <w:rPr>
          <w:rFonts w:ascii="Times New Roman" w:cs="Times New Roman" w:eastAsia="Times New Roman" w:hAnsi="Times New Roman"/>
          <w:sz w:val="24"/>
          <w:szCs w:val="24"/>
        </w:rPr>
        <w:t xml:space="preserve">Participants are selected on the basis of research relevance — enrollment in Quinn 102 (Financial Literacy) — rather than convenience or vulnerability. All enrolled students receive equal opportunity to complete the assessment (as a course requirement) and to consent or decline research participation. No students are excluded from the study on the basis of demographic characteristics.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All 421 students who completed the anchor assessment also completed the SDM-10 module (100% completion rate). The platform collected 3,985 total SDM responses (10 per student). The average SDM-10 score (58.92%) was approximately 7.6 percentage points lower than the average anchor score (66.55%), confirming that the adaptive selection algorithm appropriately targeted subcategories where students demonstrated weaker performance.</w:t>
      </w:r>
    </w:p>
    <w:p>
      <w:pPr>
        <w:spacing w:before="240" w:after="120"/>
        <w:jc w:val="center"/>
      </w:pPr>
      <w:r>
        <w:rPr>
          <w:rFonts w:ascii="Times New Roman" w:cs="Times New Roman" w:eastAsia="Times New Roman" w:hAnsi="Times New Roman"/>
          <w:b/>
          <w:bCs/>
          <w:i/>
          <w:iCs/>
          <w:sz w:val="22"/>
          <w:szCs w:val="22"/>
        </w:rPr>
        <w:t xml:space="preserve">Table 5.3. SDM-10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Students completing SDM-10</w:t>
            </w:r>
          </w:p>
        </w:tc>
        <w:tc>
          <w:tcPr>
            <w:tcW w:type="dxa" w:w="4680"/>
            <w:vAlign w:val="center"/>
          </w:tcPr>
          <w:p>
            <w:pPr>
              <w:jc w:val="center"/>
            </w:pPr>
            <w:r>
              <w:rPr>
                <w:rFonts w:ascii="Times New Roman" w:cs="Times New Roman" w:eastAsia="Times New Roman" w:hAnsi="Times New Roman"/>
                <w:sz w:val="22"/>
                <w:szCs w:val="22"/>
              </w:rPr>
              <w:t xml:space="preserve">421 (100%)</w:t>
            </w:r>
          </w:p>
        </w:tc>
      </w:tr>
      <w:tr>
        <w:tc>
          <w:tcPr>
            <w:tcW w:type="dxa" w:w="4680"/>
            <w:vAlign w:val="center"/>
          </w:tcPr>
          <w:p>
            <w:pPr>
              <w:jc w:val="center"/>
            </w:pPr>
            <w:r>
              <w:rPr>
                <w:rFonts w:ascii="Times New Roman" w:cs="Times New Roman" w:eastAsia="Times New Roman" w:hAnsi="Times New Roman"/>
                <w:sz w:val="22"/>
                <w:szCs w:val="22"/>
              </w:rPr>
              <w:t xml:space="preserve">Total SDM responses</w:t>
            </w:r>
          </w:p>
        </w:tc>
        <w:tc>
          <w:tcPr>
            <w:tcW w:type="dxa" w:w="4680"/>
            <w:vAlign w:val="center"/>
          </w:tcPr>
          <w:p>
            <w:pPr>
              <w:jc w:val="center"/>
            </w:pPr>
            <w:r>
              <w:rPr>
                <w:rFonts w:ascii="Times New Roman" w:cs="Times New Roman" w:eastAsia="Times New Roman" w:hAnsi="Times New Roman"/>
                <w:sz w:val="22"/>
                <w:szCs w:val="22"/>
              </w:rPr>
              <w:t xml:space="preserve">3,985</w:t>
            </w:r>
          </w:p>
        </w:tc>
      </w:tr>
      <w:tr>
        <w:tc>
          <w:tcPr>
            <w:tcW w:type="dxa" w:w="4680"/>
            <w:vAlign w:val="center"/>
          </w:tcPr>
          <w:p>
            <w:pPr>
              <w:jc w:val="center"/>
            </w:pPr>
            <w:r>
              <w:rPr>
                <w:rFonts w:ascii="Times New Roman" w:cs="Times New Roman" w:eastAsia="Times New Roman" w:hAnsi="Times New Roman"/>
                <w:sz w:val="22"/>
                <w:szCs w:val="22"/>
              </w:rPr>
              <w:t xml:space="preserve">Average SDM score</w:t>
            </w:r>
          </w:p>
        </w:tc>
        <w:tc>
          <w:tcPr>
            <w:tcW w:type="dxa" w:w="4680"/>
            <w:vAlign w:val="center"/>
          </w:tcPr>
          <w:p>
            <w:pPr>
              <w:jc w:val="center"/>
            </w:pPr>
            <w:r>
              <w:rPr>
                <w:rFonts w:ascii="Times New Roman" w:cs="Times New Roman" w:eastAsia="Times New Roman" w:hAnsi="Times New Roman"/>
                <w:sz w:val="22"/>
                <w:szCs w:val="22"/>
              </w:rPr>
              <w:t xml:space="preserve">58.92%</w:t>
            </w:r>
          </w:p>
        </w:tc>
      </w:tr>
      <w:tr>
        <w:tc>
          <w:tcPr>
            <w:tcW w:type="dxa" w:w="4680"/>
            <w:vAlign w:val="center"/>
          </w:tcPr>
          <w:p>
            <w:pPr>
              <w:jc w:val="center"/>
            </w:pPr>
            <w:r>
              <w:rPr>
                <w:rFonts w:ascii="Times New Roman" w:cs="Times New Roman" w:eastAsia="Times New Roman" w:hAnsi="Times New Roman"/>
                <w:sz w:val="22"/>
                <w:szCs w:val="22"/>
              </w:rPr>
              <w:t xml:space="preserve">Average anchor score</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367 (87.2%)</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931</w:t>
            </w:r>
          </w:p>
        </w:tc>
      </w:tr>
      <w:tr>
        <w:tc>
          <w:tcPr>
            <w:tcW w:type="dxa" w:w="4680"/>
            <w:vAlign w:val="center"/>
          </w:tcPr>
          <w:p>
            <w:pPr>
              <w:jc w:val="center"/>
            </w:pPr>
            <w:r>
              <w:rPr>
                <w:rFonts w:ascii="Times New Roman" w:cs="Times New Roman" w:eastAsia="Times New Roman" w:hAnsi="Times New Roman"/>
                <w:sz w:val="22"/>
                <w:szCs w:val="22"/>
              </w:rPr>
              <w:t xml:space="preserve">Diagnose responses (filtered)</w:t>
            </w:r>
          </w:p>
        </w:tc>
        <w:tc>
          <w:tcPr>
            <w:tcW w:type="dxa" w:w="4680"/>
            <w:vAlign w:val="center"/>
          </w:tcPr>
          <w:p>
            <w:pPr>
              <w:jc w:val="center"/>
            </w:pPr>
            <w:r>
              <w:rPr>
                <w:rFonts w:ascii="Times New Roman" w:cs="Times New Roman" w:eastAsia="Times New Roman" w:hAnsi="Times New Roman"/>
                <w:sz w:val="22"/>
                <w:szCs w:val="22"/>
              </w:rPr>
              <w:t xml:space="preserve">556</w:t>
            </w:r>
          </w:p>
        </w:tc>
      </w:tr>
      <w:tr>
        <w:tc>
          <w:tcPr>
            <w:tcW w:type="dxa" w:w="4680"/>
            <w:vAlign w:val="center"/>
          </w:tcPr>
          <w:p>
            <w:pPr>
              <w:jc w:val="center"/>
            </w:pPr>
            <w:r>
              <w:rPr>
                <w:rFonts w:ascii="Times New Roman" w:cs="Times New Roman" w:eastAsia="Times New Roman" w:hAnsi="Times New Roman"/>
                <w:sz w:val="22"/>
                <w:szCs w:val="22"/>
              </w:rPr>
              <w:t xml:space="preserve">Confirm responses (filtered)</w:t>
            </w:r>
          </w:p>
        </w:tc>
        <w:tc>
          <w:tcPr>
            <w:tcW w:type="dxa" w:w="4680"/>
            <w:vAlign w:val="center"/>
          </w:tcPr>
          <w:p>
            <w:pPr>
              <w:jc w:val="center"/>
            </w:pPr>
            <w:r>
              <w:rPr>
                <w:rFonts w:ascii="Times New Roman" w:cs="Times New Roman" w:eastAsia="Times New Roman" w:hAnsi="Times New Roman"/>
                <w:sz w:val="22"/>
                <w:szCs w:val="22"/>
              </w:rPr>
              <w:t xml:space="preserve">336</w:t>
            </w:r>
          </w:p>
        </w:tc>
      </w:tr>
    </w:tbl>
    <w:p>
      <w:pPr>
        <w:pStyle w:val="Heading3"/>
      </w:pPr>
      <w:r>
        <w:t xml:space="preserve">5.8.1 Open-Ended Response Overview</w:t>
      </w:r>
    </w:p>
    <w:p>
      <w:pPr>
        <w:spacing w:line="360" w:after="200"/>
        <w:jc w:val="left"/>
      </w:pPr>
      <w:r>
        <w:rPr>
          <w:rFonts w:ascii="Times New Roman" w:cs="Times New Roman" w:eastAsia="Times New Roman" w:hAnsi="Times New Roman"/>
          <w:sz w:val="24"/>
          <w:szCs w:val="24"/>
        </w:rPr>
        <w:t xml:space="preserve">Of the 421 completers, 367 students (87.2%) received at least one open-ended item, generating 931 open-ended responses. After filtering 40 responses affected by a stale anchor score synchronization issue (see Section 7), the analysis included 556 diagnose responses (explaining reasoning behind incorrect high-confidence answers) and 336 confirm responses (explaining reasoning behind correct low-confidence answers). The maximum number of open-ended items per student was 3, by design.</w:t>
      </w:r>
    </w:p>
    <w:p>
      <w:pPr>
        <w:spacing w:line="360" w:after="200"/>
      </w:pPr>
      <w:r>
        <w:rPr>
          <w:rFonts w:ascii="Times New Roman" w:cs="Times New Roman" w:eastAsia="Times New Roman" w:hAnsi="Times New Roman"/>
          <w:b/>
          <w:bCs/>
          <w:sz w:val="24"/>
          <w:szCs w:val="24"/>
        </w:rPr>
        <w:t xml:space="preserve">Response Quality. </w:t>
      </w:r>
      <w:r>
        <w:rPr>
          <w:rFonts w:ascii="Times New Roman" w:cs="Times New Roman" w:eastAsia="Times New Roman" w:hAnsi="Times New Roman"/>
          <w:sz w:val="24"/>
          <w:szCs w:val="24"/>
        </w:rPr>
        <w:t xml:space="preserve">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and received no grade incentive to provide detailed explanations.</w:t>
      </w:r>
    </w:p>
    <w:p>
      <w:pPr>
        <w:pStyle w:val="Heading3"/>
      </w:pPr>
      <w:r>
        <w:t xml:space="preserve">5.8.2 Misconception Analysis by Domain</w:t>
      </w:r>
    </w:p>
    <w:p>
      <w:pPr>
        <w:spacing w:line="360" w:after="200"/>
        <w:jc w:val="left"/>
      </w:pPr>
      <w:r>
        <w:rPr>
          <w:rFonts w:ascii="Times New Roman" w:cs="Times New Roman" w:eastAsia="Times New Roman" w:hAnsi="Times New Roman"/>
          <w:sz w:val="24"/>
          <w:szCs w:val="24"/>
        </w:rPr>
        <w:t xml:space="preserve">The three-way classification of open-ended responses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 </w:t>
      </w:r>
      <w:r>
        <w:rPr>
          <w:rFonts w:ascii="Times New Roman" w:cs="Times New Roman" w:eastAsia="Times New Roman" w:hAnsi="Times New Roman"/>
          <w:sz w:val="24"/>
          <w:szCs w:val="24"/>
        </w:rPr>
        <w:t xml:space="preserve">The most prevalent misconception was INF-01 (lower inflation equals falling prices), observed in 55% of diagnose responses for Q6. Students systematically confused a decrease in the rate of price increase with an actual decrease in prices. Representative responses included “If inflation decreases, prices will decrease” and “prices need to decrease to combat inflation.” On Q7 (which group is most hurt by inflation), 33% of incorrect responses reflected empathy-driven rather than economic reasoning (INF-05), with students selecting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 </w:t>
      </w:r>
      <w:r>
        <w:rPr>
          <w:rFonts w:ascii="Times New Roman" w:cs="Times New Roman" w:eastAsia="Times New Roman" w:hAnsi="Times New Roman"/>
          <w:sz w:val="24"/>
          <w:szCs w:val="24"/>
        </w:rPr>
        <w:t xml:space="preserve">The highest-noise item was Q36 (diversification principle), where 62% of students who answered incorrectly demonstrated correct understanding of diversification in their open-ended explanation—classifying as selection errors (RISK-04) rather than misconceptions. These students could explain why spreading money across assets reduces risk but selected “False” on the True/False item, likely due to negation confusion. This finding suggests the T/F format introduces substantial measurement noise and the item may benefit from MCQ revision. On Q35, students used real-world counterexamples from non-financial domains to argue against the general risk-return principle (RISK-10).</w:t>
      </w:r>
    </w:p>
    <w:p>
      <w:pPr>
        <w:spacing w:line="360" w:after="200"/>
      </w:pPr>
      <w:r>
        <w:rPr>
          <w:rFonts w:ascii="Times New Roman" w:cs="Times New Roman" w:eastAsia="Times New Roman" w:hAnsi="Times New Roman"/>
          <w:b/>
          <w:bCs/>
          <w:sz w:val="24"/>
          <w:szCs w:val="24"/>
        </w:rPr>
        <w:t xml:space="preserve">Insurance and Risk Management. </w:t>
      </w:r>
      <w:r>
        <w:rPr>
          <w:rFonts w:ascii="Times New Roman" w:cs="Times New Roman" w:eastAsia="Times New Roman" w:hAnsi="Times New Roman"/>
          <w:sz w:val="24"/>
          <w:szCs w:val="24"/>
        </w:rPr>
        <w:t xml:space="preserve">On Q12 (primary purpose of health insurance), 67% of diagnose responses reflected the misconception that routine care is the primary function (INS-01), with many students applying frequency-over-severity reasoning (INS-02). This was the single most dominant misconception for any item. Q13 (deductible definition) showed a 30% “I don’t know” rate, indicating a knowledge gap rather than misconception for this technical insurance term.</w:t>
      </w:r>
    </w:p>
    <w:p>
      <w:pPr>
        <w:spacing w:line="360" w:after="200"/>
      </w:pPr>
      <w:r>
        <w:rPr>
          <w:rFonts w:ascii="Times New Roman" w:cs="Times New Roman" w:eastAsia="Times New Roman" w:hAnsi="Times New Roman"/>
          <w:b/>
          <w:bCs/>
          <w:sz w:val="24"/>
          <w:szCs w:val="24"/>
        </w:rPr>
        <w:t xml:space="preserve">Borrowing and Credit. </w:t>
      </w:r>
      <w:r>
        <w:rPr>
          <w:rFonts w:ascii="Times New Roman" w:cs="Times New Roman" w:eastAsia="Times New Roman" w:hAnsi="Times New Roman"/>
          <w:sz w:val="24"/>
          <w:szCs w:val="24"/>
        </w:rPr>
        <w:t xml:space="preserve">Credit report knowledge (Q10) showed a 29% selection error rate, the third-highest among all items, indicating many students possessed correct understanding but were confused by the “which is FALSE” framing. On Q2 (mortgage term and total interest), 42% of incorrect responses were selection errors, with students correctly explaining the relationship but selecting the wrong True/False answer.</w:t>
      </w:r>
    </w:p>
    <w:p>
      <w:pPr>
        <w:pStyle w:val="Heading3"/>
      </w:pPr>
      <w:r>
        <w:t xml:space="preserve">5.8.3 Confirm Response Findings</w:t>
      </w:r>
    </w:p>
    <w:p>
      <w:pPr>
        <w:spacing w:line="360" w:after="200"/>
        <w:jc w:val="left"/>
      </w:pPr>
      <w:r>
        <w:rPr>
          <w:rFonts w:ascii="Times New Roman" w:cs="Times New Roman" w:eastAsia="Times New Roman" w:hAnsi="Times New Roman"/>
          <w:sz w:val="24"/>
          <w:szCs w:val="24"/>
        </w:rPr>
        <w:t xml:space="preserve">Analysis of confirm responses (correct anchor answer with low confidence) revealed that 12–14% of students who answered Q13, Q12, Q8, and Q10 correctly were likely lucky guesses, as their explanations showed no understanding of the underlying concept. This finding validates the SDM-10’s approach of probing low-confidence correct answers and demonstrates that anchor scores alone may overestimate true comprehension by approximately 12–14% on items with high guessing rates.</w:t>
      </w:r>
    </w:p>
    <w:p>
      <w:pPr>
        <w:pStyle w:val="Heading3"/>
      </w:pPr>
      <w:r>
        <w:t xml:space="preserve">5.8.4 Cross-Item Patterns</w:t>
      </w:r>
    </w:p>
    <w:p>
      <w:pPr>
        <w:spacing w:line="360" w:after="200"/>
        <w:jc w:val="left"/>
      </w:pPr>
      <w:r>
        <w:rPr>
          <w:rFonts w:ascii="Times New Roman" w:cs="Times New Roman" w:eastAsia="Times New Roman" w:hAnsi="Times New Roman"/>
          <w:sz w:val="24"/>
          <w:szCs w:val="24"/>
        </w:rPr>
        <w:t xml:space="preserve">Five dominant misconception clusters emerged across the assessment: (1) inflation mechanics confusion, centered on the distinction between lower inflation rates and lower prices; (2) risk-return reasoning from exceptions, where students cited specific counterexamples to invalidate general financial principles; (3) insurance purpose confusion, equating frequency of use with primary function; (4) empathy-driven financial reasoning, selecting answers based on personal identification rather than economic logic; and (5) format-induced errors, particularly on True/False items where correct knowledge led to incorrect answers due to negation confusion.</w:t>
      </w:r>
    </w:p>
    <w:p>
      <w:pPr>
        <w:spacing w:before="240" w:after="120"/>
        <w:jc w:val="center"/>
      </w:pPr>
      <w:r>
        <w:rPr>
          <w:rFonts w:ascii="Times New Roman" w:cs="Times New Roman" w:eastAsia="Times New Roman" w:hAnsi="Times New Roman"/>
          <w:b/>
          <w:bCs/>
          <w:i/>
          <w:iCs/>
          <w:sz w:val="22"/>
          <w:szCs w:val="22"/>
        </w:rPr>
        <w:t xml:space="preserve">Table 5.4. High-Noise Items (Selection Error Rate)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808"/>
        <w:gridCol w:w="1560"/>
        <w:gridCol w:w="3432"/>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2808"/>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3432"/>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2808"/>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62%</w:t>
            </w:r>
          </w:p>
        </w:tc>
        <w:tc>
          <w:tcPr>
            <w:tcW w:type="dxa" w:w="3432"/>
            <w:vAlign w:val="center"/>
          </w:tcPr>
          <w:p>
            <w:pPr>
              <w:jc w:val="center"/>
            </w:pPr>
            <w:r>
              <w:rPr>
                <w:rFonts w:ascii="Times New Roman" w:cs="Times New Roman" w:eastAsia="Times New Roman" w:hAnsi="Times New Roman"/>
                <w:sz w:val="22"/>
                <w:szCs w:val="22"/>
              </w:rPr>
              <w:t xml:space="preserve">T/F confounds; consider MCQ</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2808"/>
            <w:vAlign w:val="center"/>
          </w:tcPr>
          <w:p>
            <w:pPr>
              <w:jc w:val="center"/>
            </w:pPr>
            <w:r>
              <w:rPr>
                <w:rFonts w:ascii="Times New Roman" w:cs="Times New Roman" w:eastAsia="Times New Roman" w:hAnsi="Times New Roman"/>
                <w:sz w:val="22"/>
                <w:szCs w:val="22"/>
              </w:rPr>
              <w:t xml:space="preserve">Mortgage term / interest</w:t>
            </w:r>
          </w:p>
        </w:tc>
        <w:tc>
          <w:tcPr>
            <w:tcW w:type="dxa" w:w="1560"/>
            <w:vAlign w:val="center"/>
          </w:tcPr>
          <w:p>
            <w:pPr>
              <w:jc w:val="center"/>
            </w:pPr>
            <w:r>
              <w:rPr>
                <w:rFonts w:ascii="Times New Roman" w:cs="Times New Roman" w:eastAsia="Times New Roman" w:hAnsi="Times New Roman"/>
                <w:sz w:val="22"/>
                <w:szCs w:val="22"/>
              </w:rPr>
              <w:t xml:space="preserve">42%</w:t>
            </w:r>
          </w:p>
        </w:tc>
        <w:tc>
          <w:tcPr>
            <w:tcW w:type="dxa" w:w="3432"/>
            <w:vAlign w:val="center"/>
          </w:tcPr>
          <w:p>
            <w:pPr>
              <w:jc w:val="center"/>
            </w:pPr>
            <w:r>
              <w:rPr>
                <w:rFonts w:ascii="Times New Roman" w:cs="Times New Roman" w:eastAsia="Times New Roman" w:hAnsi="Times New Roman"/>
                <w:sz w:val="22"/>
                <w:szCs w:val="22"/>
              </w:rPr>
              <w:t xml:space="preserve">T/F reversal; monitor post-test</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2808"/>
            <w:vAlign w:val="center"/>
          </w:tcPr>
          <w:p>
            <w:pPr>
              <w:jc w:val="center"/>
            </w:pPr>
            <w:r>
              <w:rPr>
                <w:rFonts w:ascii="Times New Roman" w:cs="Times New Roman" w:eastAsia="Times New Roman" w:hAnsi="Times New Roman"/>
                <w:sz w:val="22"/>
                <w:szCs w:val="22"/>
              </w:rPr>
              <w:t xml:space="preserve">Credit reports (FALSE)</w:t>
            </w:r>
          </w:p>
        </w:tc>
        <w:tc>
          <w:tcPr>
            <w:tcW w:type="dxa" w:w="1560"/>
            <w:vAlign w:val="center"/>
          </w:tcPr>
          <w:p>
            <w:pPr>
              <w:jc w:val="center"/>
            </w:pPr>
            <w:r>
              <w:rPr>
                <w:rFonts w:ascii="Times New Roman" w:cs="Times New Roman" w:eastAsia="Times New Roman" w:hAnsi="Times New Roman"/>
                <w:sz w:val="22"/>
                <w:szCs w:val="22"/>
              </w:rPr>
              <w:t xml:space="preserve">29%</w:t>
            </w:r>
          </w:p>
        </w:tc>
        <w:tc>
          <w:tcPr>
            <w:tcW w:type="dxa" w:w="3432"/>
            <w:vAlign w:val="center"/>
          </w:tcPr>
          <w:p>
            <w:pPr>
              <w:jc w:val="center"/>
            </w:pPr>
            <w:r>
              <w:rPr>
                <w:rFonts w:ascii="Times New Roman" w:cs="Times New Roman" w:eastAsia="Times New Roman" w:hAnsi="Times New Roman"/>
                <w:sz w:val="22"/>
                <w:szCs w:val="22"/>
              </w:rPr>
              <w:t xml:space="preserve">Negation framing causes errors</w:t>
            </w:r>
          </w:p>
        </w:tc>
      </w:tr>
    </w:tbl>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diagnostic findings reveal actionable misconception patterns. </w:t>
      </w:r>
      <w:r>
        <w:rPr>
          <w:rFonts w:ascii="Times New Roman" w:cs="Times New Roman" w:eastAsia="Times New Roman" w:hAnsi="Times New Roman"/>
          <w:sz w:val="24"/>
          <w:szCs w:val="24"/>
        </w:rPr>
        <w:t xml:space="preserve">The three-way classification of 931 open-ended responses identified five dominant misconception clusters: inflation mechanics confusion (55% of Q6 diagnoses), insurance purpose confusion (67% of Q12 diagnoses), empathy-driven financial reasoning (33% of Q7 diagnoses), risk-return reasoning from exceptions, and format-induced selection errors. The finding that 62% of incorrect answers on Q36 reflected correct understanding (selection errors rather than misconceptions) demonstrates the value of open-ended diagnostic follow-up in distinguishing genuine knowledge gaps from measurement artifacts. The 12–14% lucky-guess rate identified through confirm responses further validates the information deficit model’s approach of probing low-confidence correct answers.</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12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ListParagraph"/>
        <w:numPr>
          <w:ilvl w:val="0"/>
          <w:numId w:val="3"/>
        </w:numPr>
        <w:spacing w:line="360" w:after="120"/>
      </w:pPr>
      <w:r>
        <w:rPr>
          <w:rFonts w:ascii="Times New Roman" w:cs="Times New Roman" w:eastAsia="Times New Roman" w:hAnsi="Times New Roman"/>
          <w:sz w:val="24"/>
          <w:szCs w:val="24"/>
        </w:rPr>
        <w:t xml:space="preserve">A software defect in the platform’s handleAnswer() function caused the SDM scored anchors map to become stale when students revised an anchor answer, resulting in 40 mismatched SDM variant assignments across 36 students (9.8%). The mismatched responses were filtered from the open-ended analysis using an anchor_score and confidence cross-check, and the bug was subsequently fixed (commit 039f955). The filtering reduced the open-ended sample from 971 to 931 responses.</w:t>
      </w:r>
    </w:p>
    <w:p>
      <w:pPr>
        <w:pStyle w:val="ListParagraph"/>
        <w:numPr>
          <w:ilvl w:val="0"/>
          <w:numId w:val="3"/>
        </w:numPr>
        <w:spacing w:line="360" w:after="120"/>
      </w:pPr>
      <w:r>
        <w:rPr>
          <w:rFonts w:ascii="Times New Roman" w:cs="Times New Roman" w:eastAsia="Times New Roman" w:hAnsi="Times New Roman"/>
          <w:sz w:val="24"/>
          <w:szCs w:val="24"/>
        </w:rPr>
        <w:t xml:space="preserve">The SDM-10 open-ended sample is not random: items were administered only to students whose anchor responses triggered high-Need subcategories. Per-item coverage ranges from 20% (Q32) to 90% (Q7). Extrapolation to the full class is appropriate only when item-level coverage exceeds 50%.</w:t>
      </w:r>
    </w:p>
    <w:p>
      <w:pPr>
        <w:pStyle w:val="ListParagraph"/>
        <w:numPr>
          <w:ilvl w:val="0"/>
          <w:numId w:val="3"/>
        </w:numPr>
        <w:spacing w:line="360" w:after="120"/>
      </w:pPr>
      <w:r>
        <w:rPr>
          <w:rFonts w:ascii="Times New Roman" w:cs="Times New Roman" w:eastAsia="Times New Roman" w:hAnsi="Times New Roman"/>
          <w:sz w:val="24"/>
          <w:szCs w:val="24"/>
        </w:rPr>
        <w:t xml:space="preserve">Members of the research team hold instructional roles in Quinn 102, creating a potential conflict of interest. The 16.2% decline rate (68 of 421 submitted students declined research consent) provides evidence that students exercised genuine choice. The dual role was mitigated through separated consent, de-identified research dataset, and voluntary research consent with explicit no-penalty language (see Section 4.4.2).</w:t>
      </w:r>
    </w:p>
    <w:p>
      <w:pPr>
        <w:pStyle w:val="ListParagraph"/>
        <w:numPr>
          <w:ilvl w:val="0"/>
          <w:numId w:val="3"/>
        </w:numPr>
        <w:spacing w:line="360" w:after="200"/>
      </w:pPr>
      <w:r>
        <w:rPr>
          <w:rFonts w:ascii="Times New Roman" w:cs="Times New Roman" w:eastAsia="Times New Roman" w:hAnsi="Times New Roman"/>
          <w:sz w:val="24"/>
          <w:szCs w:val="24"/>
        </w:rPr>
        <w:t xml:space="preserve">Analyses using the research-consented subset (n = 353, 83.8% of completers) may not be fully representative of the complete student population if consent propensity correlates with assessment performance, demographics, or engagement. Pre-post comparisons will report whether the consented and declined subsamples differ on observable baseline characteristics.</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Boulaid, G. (2026). Financial Literacy Toolkit: Assessment platform for QUINN 102 [Source code]. GitHub. https://github.com/GuillaumeBld/Financial-Literacy-Toolkit</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British Educational Research Journal, 51(1), 201–224.</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National Commission for the Protection of Human Subjects of Biomedical and Behavioral Research. (1979). The Belmont Report: Ethical principles and guidelines for the protection of human subjects of research. U.S. Department of Health and Human Services.</w:t>
      </w:r>
    </w:p>
    <w:p>
      <w:pPr>
        <w:spacing w:line="360" w:after="200"/>
        <w:jc w:val="left"/>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Computers and Education: Artificial Intelligence, 6, 100208.</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Teaching Sociology. Advance online publication. https://doi.org/10.1177/0092055X251397371</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Sweeney, L. (2000). Simple demographics often identify people uniquely (Carnegie Mellon University Data Privacy Working Paper No. 3).</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pPr>
        <w:spacing w:line="360" w:after="200"/>
        <w:jc w:val="left"/>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British Journal of Educational Technology, 56(2), 487–506.</w:t>
      </w:r>
    </w:p>
    <w:p>
      <w:r>
        <w:br w:type="page"/>
      </w:r>
    </w:p>
    <w:p>
      <w:pPr>
        <w:pStyle w:val="Heading1"/>
      </w:pPr>
      <w:r>
        <w:t xml:space="preserve">Declaration of AI and AI-Assisted Technologies</w:t>
      </w:r>
    </w:p>
    <w:p>
      <w:pPr>
        <w:spacing w:line="360" w:after="200"/>
        <w:jc w:val="left"/>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 (COPE, 2023; AMEE Guide No. 192, 2025).</w:t>
      </w:r>
    </w:p>
    <w:p>
      <w:pPr>
        <w:spacing w:line="360" w:after="200"/>
      </w:pPr>
      <w:r>
        <w:rPr>
          <w:rFonts w:ascii="Times New Roman" w:cs="Times New Roman" w:eastAsia="Times New Roman" w:hAnsi="Times New Roman"/>
          <w:b/>
          <w:bCs/>
          <w:sz w:val="24"/>
          <w:szCs w:val="24"/>
        </w:rPr>
        <w:t xml:space="preserve">1. Assessment platform development. </w:t>
      </w:r>
      <w:r>
        <w:rPr>
          <w:rFonts w:ascii="Times New Roman" w:cs="Times New Roman" w:eastAsia="Times New Roman" w:hAnsi="Times New Roman"/>
          <w:sz w:val="24"/>
          <w:szCs w:val="24"/>
        </w:rPr>
        <w:t xml:space="preserve">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(Boulaid, 2026).</w:t>
      </w:r>
    </w:p>
    <w:p>
      <w:pPr>
        <w:spacing w:line="360" w:after="200"/>
      </w:pPr>
      <w:r>
        <w:rPr>
          <w:rFonts w:ascii="Times New Roman" w:cs="Times New Roman" w:eastAsia="Times New Roman" w:hAnsi="Times New Roman"/>
          <w:b/>
          <w:bCs/>
          <w:sz w:val="24"/>
          <w:szCs w:val="24"/>
        </w:rPr>
        <w:t xml:space="preserve">2. Open-ended response scoring. </w:t>
      </w:r>
      <w:r>
        <w:rPr>
          <w:rFonts w:ascii="Times New Roman" w:cs="Times New Roman" w:eastAsia="Times New Roman" w:hAnsi="Times New Roman"/>
          <w:sz w:val="24"/>
          <w:szCs w:val="24"/>
        </w:rPr>
        <w:t xml:space="preserve">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931 student responses. Low-confidence classifications were flagged for human adjudication by the course instructor. This methodological use of LLM-based scoring follows established practices in educational assessment (Mizumoto &amp; Eguchi, 2024; Yavuz, 2025) and is detailed in Section 4.2.3.</w:t>
      </w:r>
    </w:p>
    <w:p>
      <w:pPr>
        <w:spacing w:line="360" w:after="200"/>
      </w:pPr>
      <w:r>
        <w:rPr>
          <w:rFonts w:ascii="Times New Roman" w:cs="Times New Roman" w:eastAsia="Times New Roman" w:hAnsi="Times New Roman"/>
          <w:b/>
          <w:bCs/>
          <w:sz w:val="24"/>
          <w:szCs w:val="24"/>
        </w:rPr>
        <w:t xml:space="preserve">3. Manuscript preparation. </w:t>
      </w:r>
      <w:r>
        <w:rPr>
          <w:rFonts w:ascii="Times New Roman" w:cs="Times New Roman" w:eastAsia="Times New Roman" w:hAnsi="Times New Roman"/>
          <w:sz w:val="24"/>
          <w:szCs w:val="24"/>
        </w:rPr>
        <w:t xml:space="preserve">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pPr>
      <w:r>
        <w:t xml:space="preserve">Appendix A: SDM-10 Selection Algorithm and Burden Controls</w:t>
      </w:r>
    </w:p>
    <w:p>
      <w:pPr>
        <w:spacing w:line="360" w:after="200"/>
        <w:jc w:val="left"/>
      </w:pPr>
      <w:r>
        <w:rPr>
          <w:rFonts w:ascii="Times New Roman" w:cs="Times New Roman" w:eastAsia="Times New Roman" w:hAnsi="Times New Roman"/>
          <w:sz w:val="24"/>
          <w:szCs w:val="24"/>
        </w:rPr>
        <w:t xml:space="preserve">The SDM-10 module uses a deterministic, rule-based selection algorithm to choose 10 diagnostic items for each student. This appendix presents the complete specification of burden controls, scoring, variant assignment, selection phases, and classification rules.</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SDM size</w:t>
            </w:r>
          </w:p>
        </w:tc>
        <w:tc>
          <w:tcPr>
            <w:tcW w:type="dxa" w:w="6240"/>
            <w:vAlign w:val="center"/>
          </w:tcPr>
          <w:p>
            <w:pPr>
              <w:jc w:val="center"/>
            </w:pPr>
            <w:r>
              <w:rPr>
                <w:rFonts w:ascii="Times New Roman" w:cs="Times New Roman" w:eastAsia="Times New Roman" w:hAnsi="Times New Roman"/>
                <w:sz w:val="22"/>
                <w:szCs w:val="22"/>
              </w:rPr>
              <w:t xml:space="preserve">Fixed 10 items after 40 anchor questions</w:t>
            </w:r>
          </w:p>
        </w:tc>
      </w:tr>
      <w:tr>
        <w:tc>
          <w:tcPr>
            <w:tcW w:type="dxa" w:w="3120"/>
            <w:vAlign w:val="center"/>
          </w:tcPr>
          <w:p>
            <w:pPr>
              <w:jc w:val="center"/>
            </w:pPr>
            <w:r>
              <w:rPr>
                <w:rFonts w:ascii="Times New Roman" w:cs="Times New Roman" w:eastAsia="Times New Roman" w:hAnsi="Times New Roman"/>
                <w:sz w:val="22"/>
                <w:szCs w:val="22"/>
              </w:rPr>
              <w:t xml:space="preserve">Selection basis</w:t>
            </w:r>
          </w:p>
        </w:tc>
        <w:tc>
          <w:tcPr>
            <w:tcW w:type="dxa" w:w="624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3120"/>
            <w:vAlign w:val="center"/>
          </w:tcPr>
          <w:p>
            <w:pPr>
              <w:jc w:val="center"/>
            </w:pPr>
            <w:r>
              <w:rPr>
                <w:rFonts w:ascii="Times New Roman" w:cs="Times New Roman" w:eastAsia="Times New Roman" w:hAnsi="Times New Roman"/>
                <w:sz w:val="22"/>
                <w:szCs w:val="22"/>
              </w:rPr>
              <w:t xml:space="preserve">Domain balance</w:t>
            </w:r>
          </w:p>
        </w:tc>
        <w:tc>
          <w:tcPr>
            <w:tcW w:type="dxa" w:w="6240"/>
            <w:vAlign w:val="center"/>
          </w:tcPr>
          <w:p>
            <w:pPr>
              <w:jc w:val="center"/>
            </w:pPr>
            <w:r>
              <w:rPr>
                <w:rFonts w:ascii="Times New Roman" w:cs="Times New Roman" w:eastAsia="Times New Roman" w:hAnsi="Times New Roman"/>
                <w:sz w:val="22"/>
                <w:szCs w:val="22"/>
              </w:rPr>
              <w:t xml:space="preserve">At least 2 items per scoring domain</w:t>
            </w:r>
          </w:p>
        </w:tc>
      </w:tr>
      <w:tr>
        <w:tc>
          <w:tcPr>
            <w:tcW w:type="dxa" w:w="3120"/>
            <w:vAlign w:val="center"/>
          </w:tcPr>
          <w:p>
            <w:pPr>
              <w:jc w:val="center"/>
            </w:pPr>
            <w:r>
              <w:rPr>
                <w:rFonts w:ascii="Times New Roman" w:cs="Times New Roman" w:eastAsia="Times New Roman" w:hAnsi="Times New Roman"/>
                <w:sz w:val="22"/>
                <w:szCs w:val="22"/>
              </w:rPr>
              <w:t xml:space="preserve">Subcategory cap</w:t>
            </w:r>
          </w:p>
        </w:tc>
        <w:tc>
          <w:tcPr>
            <w:tcW w:type="dxa" w:w="624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3120"/>
            <w:vAlign w:val="center"/>
          </w:tcPr>
          <w:p>
            <w:pPr>
              <w:jc w:val="center"/>
            </w:pPr>
            <w:r>
              <w:rPr>
                <w:rFonts w:ascii="Times New Roman" w:cs="Times New Roman" w:eastAsia="Times New Roman" w:hAnsi="Times New Roman"/>
                <w:sz w:val="22"/>
                <w:szCs w:val="22"/>
              </w:rPr>
              <w:t xml:space="preserve">Open-ended cap</w:t>
            </w:r>
          </w:p>
        </w:tc>
        <w:tc>
          <w:tcPr>
            <w:tcW w:type="dxa" w:w="624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3120"/>
            <w:vAlign w:val="center"/>
          </w:tcPr>
          <w:p>
            <w:pPr>
              <w:jc w:val="center"/>
            </w:pPr>
            <w:r>
              <w:rPr>
                <w:rFonts w:ascii="Times New Roman" w:cs="Times New Roman" w:eastAsia="Times New Roman" w:hAnsi="Times New Roman"/>
                <w:sz w:val="22"/>
                <w:szCs w:val="22"/>
              </w:rPr>
              <w:t xml:space="preserve">Format fallback</w:t>
            </w:r>
          </w:p>
        </w:tc>
        <w:tc>
          <w:tcPr>
            <w:tcW w:type="dxa" w:w="6240"/>
            <w:vAlign w:val="center"/>
          </w:tcPr>
          <w:p>
            <w:pPr>
              <w:jc w:val="center"/>
            </w:pPr>
            <w:r>
              <w:rPr>
                <w:rFonts w:ascii="Times New Roman" w:cs="Times New Roman" w:eastAsia="Times New Roman" w:hAnsi="Times New Roman"/>
                <w:sz w:val="22"/>
                <w:szCs w:val="22"/>
              </w:rPr>
              <w:t xml:space="preserve">Open_Diagnose → Lower_MCQ; Open_Confirm → Same_MCQ</w:t>
            </w:r>
          </w:p>
        </w:tc>
      </w:tr>
      <w:tr>
        <w:tc>
          <w:tcPr>
            <w:tcW w:type="dxa" w:w="3120"/>
            <w:vAlign w:val="center"/>
          </w:tcPr>
          <w:p>
            <w:pPr>
              <w:jc w:val="center"/>
            </w:pPr>
            <w:r>
              <w:rPr>
                <w:rFonts w:ascii="Times New Roman" w:cs="Times New Roman" w:eastAsia="Times New Roman" w:hAnsi="Times New Roman"/>
                <w:sz w:val="22"/>
                <w:szCs w:val="22"/>
              </w:rPr>
              <w:t xml:space="preserve">Item source</w:t>
            </w:r>
          </w:p>
        </w:tc>
        <w:tc>
          <w:tcPr>
            <w:tcW w:type="dxa" w:w="6240"/>
            <w:vAlign w:val="center"/>
          </w:tcPr>
          <w:p>
            <w:pPr>
              <w:jc w:val="center"/>
            </w:pPr>
            <w:r>
              <w:rPr>
                <w:rFonts w:ascii="Times New Roman" w:cs="Times New Roman" w:eastAsia="Times New Roman" w:hAnsi="Times New Roman"/>
                <w:sz w:val="22"/>
                <w:szCs w:val="22"/>
              </w:rPr>
              <w:t xml:space="preserve">Pre-written 156-variant bank only</w:t>
            </w:r>
          </w:p>
        </w:tc>
      </w:tr>
      <w:tr>
        <w:tc>
          <w:tcPr>
            <w:tcW w:type="dxa" w:w="3120"/>
            <w:vAlign w:val="center"/>
          </w:tcPr>
          <w:p>
            <w:pPr>
              <w:jc w:val="center"/>
            </w:pPr>
            <w:r>
              <w:rPr>
                <w:rFonts w:ascii="Times New Roman" w:cs="Times New Roman" w:eastAsia="Times New Roman" w:hAnsi="Times New Roman"/>
                <w:sz w:val="22"/>
                <w:szCs w:val="22"/>
              </w:rPr>
              <w:t xml:space="preserve">Grading</w:t>
            </w:r>
          </w:p>
        </w:tc>
        <w:tc>
          <w:tcPr>
            <w:tcW w:type="dxa" w:w="6240"/>
            <w:vAlign w:val="center"/>
          </w:tcPr>
          <w:p>
            <w:pPr>
              <w:jc w:val="center"/>
            </w:pPr>
            <w:r>
              <w:rPr>
                <w:rFonts w:ascii="Times New Roman" w:cs="Times New Roman" w:eastAsia="Times New Roman" w:hAnsi="Times New Roman"/>
                <w:sz w:val="22"/>
                <w:szCs w:val="22"/>
              </w:rPr>
              <w:t xml:space="preserve">Diagnostic only (Model C); grade from 40 anchors only</w:t>
            </w:r>
          </w:p>
        </w:tc>
      </w:tr>
    </w:tbl>
    <w:p>
      <w:pPr>
        <w:spacing w:before="240" w:after="120"/>
        <w:jc w:val="center"/>
      </w:pPr>
      <w:r>
        <w:rPr>
          <w:rFonts w:ascii="Times New Roman" w:cs="Times New Roman" w:eastAsia="Times New Roman" w:hAnsi="Times New Roman"/>
          <w:b/>
          <w:bCs/>
          <w:i/>
          <w:iCs/>
          <w:sz w:val="22"/>
          <w:szCs w:val="22"/>
        </w:rPr>
        <w:t xml:space="preserve">Table A.2.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jc w:val="left"/>
      </w:pPr>
      <w:r>
        <w:rPr>
          <w:rFonts w:ascii="Times New Roman" w:cs="Times New Roman" w:eastAsia="Times New Roman" w:hAnsi="Times New Roman"/>
          <w:sz w:val="24"/>
          <w:szCs w:val="24"/>
        </w:rPr>
        <w:t xml:space="preserve">The format-aware adjustment reflects differential guessing probability: True/False items have a 50% chance-level baseline versus approximately 25% for MCQ, so correct T/F responses at moderate confidence receive higher Need scores than equivalent MCQ responses.</w:t>
      </w:r>
    </w:p>
    <w:p>
      <w:pPr>
        <w:spacing w:before="240" w:after="120"/>
        <w:jc w:val="center"/>
      </w:pPr>
      <w:r>
        <w:rPr>
          <w:rFonts w:ascii="Times New Roman" w:cs="Times New Roman" w:eastAsia="Times New Roman" w:hAnsi="Times New Roman"/>
          <w:b/>
          <w:bCs/>
          <w:i/>
          <w:iCs/>
          <w:sz w:val="22"/>
          <w:szCs w:val="22"/>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before="240" w:after="120"/>
        <w:jc w:val="center"/>
      </w:pPr>
      <w:r>
        <w:rPr>
          <w:rFonts w:ascii="Times New Roman" w:cs="Times New Roman" w:eastAsia="Times New Roman" w:hAnsi="Times New Roman"/>
          <w:b/>
          <w:bCs/>
          <w:i/>
          <w:iCs/>
          <w:sz w:val="22"/>
          <w:szCs w:val="22"/>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468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2340"/>
            <w:vAlign w:val="center"/>
          </w:tcPr>
          <w:p>
            <w:pPr>
              <w:jc w:val="center"/>
            </w:pPr>
            <w:r>
              <w:rPr>
                <w:rFonts w:ascii="Times New Roman" w:cs="Times New Roman" w:eastAsia="Times New Roman" w:hAnsi="Times New Roman"/>
                <w:sz w:val="22"/>
                <w:szCs w:val="22"/>
              </w:rPr>
              <w:t xml:space="preserve">1: Domain minimums</w:t>
            </w:r>
          </w:p>
        </w:tc>
        <w:tc>
          <w:tcPr>
            <w:tcW w:type="dxa" w:w="2340"/>
            <w:vAlign w:val="center"/>
          </w:tcPr>
          <w:p>
            <w:pPr>
              <w:jc w:val="center"/>
            </w:pPr>
            <w:r>
              <w:rPr>
                <w:rFonts w:ascii="Times New Roman" w:cs="Times New Roman" w:eastAsia="Times New Roman" w:hAnsi="Times New Roman"/>
                <w:sz w:val="22"/>
                <w:szCs w:val="22"/>
              </w:rPr>
              <w:t xml:space="preserve">Ensure coverage</w:t>
            </w:r>
          </w:p>
        </w:tc>
        <w:tc>
          <w:tcPr>
            <w:tcW w:type="dxa" w:w="4680"/>
            <w:vAlign w:val="center"/>
          </w:tcPr>
          <w:p>
            <w:pPr>
              <w:jc w:val="center"/>
            </w:pPr>
            <w:r>
              <w:rPr>
                <w:rFonts w:ascii="Times New Roman" w:cs="Times New Roman" w:eastAsia="Times New Roman" w:hAnsi="Times New Roman"/>
                <w:sz w:val="22"/>
                <w:szCs w:val="22"/>
              </w:rPr>
              <w:t xml:space="preserve">Top-Need item from each domain until each has ≥ 2</w:t>
            </w:r>
          </w:p>
        </w:tc>
      </w:tr>
      <w:tr>
        <w:tc>
          <w:tcPr>
            <w:tcW w:type="dxa" w:w="2340"/>
            <w:vAlign w:val="center"/>
          </w:tcPr>
          <w:p>
            <w:pPr>
              <w:jc w:val="center"/>
            </w:pPr>
            <w:r>
              <w:rPr>
                <w:rFonts w:ascii="Times New Roman" w:cs="Times New Roman" w:eastAsia="Times New Roman" w:hAnsi="Times New Roman"/>
                <w:sz w:val="22"/>
                <w:szCs w:val="22"/>
              </w:rPr>
              <w:t xml:space="preserve">2: Need-based filling</w:t>
            </w:r>
          </w:p>
        </w:tc>
        <w:tc>
          <w:tcPr>
            <w:tcW w:type="dxa" w:w="2340"/>
            <w:vAlign w:val="center"/>
          </w:tcPr>
          <w:p>
            <w:pPr>
              <w:jc w:val="center"/>
            </w:pPr>
            <w:r>
              <w:rPr>
                <w:rFonts w:ascii="Times New Roman" w:cs="Times New Roman" w:eastAsia="Times New Roman" w:hAnsi="Times New Roman"/>
                <w:sz w:val="22"/>
                <w:szCs w:val="22"/>
              </w:rPr>
              <w:t xml:space="preserve">Maximize diagnostic value</w:t>
            </w:r>
          </w:p>
        </w:tc>
        <w:tc>
          <w:tcPr>
            <w:tcW w:type="dxa" w:w="4680"/>
            <w:vAlign w:val="center"/>
          </w:tcPr>
          <w:p>
            <w:pPr>
              <w:jc w:val="center"/>
            </w:pPr>
            <w:r>
              <w:rPr>
                <w:rFonts w:ascii="Times New Roman" w:cs="Times New Roman" w:eastAsia="Times New Roman" w:hAnsi="Times New Roman"/>
                <w:sz w:val="22"/>
                <w:szCs w:val="22"/>
              </w:rPr>
              <w:t xml:space="preserve">Fill remaining slots in descending Need order</w:t>
            </w:r>
          </w:p>
        </w:tc>
      </w:tr>
      <w:tr>
        <w:tc>
          <w:tcPr>
            <w:tcW w:type="dxa" w:w="2340"/>
            <w:vAlign w:val="center"/>
          </w:tcPr>
          <w:p>
            <w:pPr>
              <w:jc w:val="center"/>
            </w:pPr>
            <w:r>
              <w:rPr>
                <w:rFonts w:ascii="Times New Roman" w:cs="Times New Roman" w:eastAsia="Times New Roman" w:hAnsi="Times New Roman"/>
                <w:sz w:val="22"/>
                <w:szCs w:val="22"/>
              </w:rPr>
              <w:t xml:space="preserve">3: Mastery fallback</w:t>
            </w:r>
          </w:p>
        </w:tc>
        <w:tc>
          <w:tcPr>
            <w:tcW w:type="dxa" w:w="2340"/>
            <w:vAlign w:val="center"/>
          </w:tcPr>
          <w:p>
            <w:pPr>
              <w:jc w:val="center"/>
            </w:pPr>
            <w:r>
              <w:rPr>
                <w:rFonts w:ascii="Times New Roman" w:cs="Times New Roman" w:eastAsia="Times New Roman" w:hAnsi="Times New Roman"/>
                <w:sz w:val="22"/>
                <w:szCs w:val="22"/>
              </w:rPr>
              <w:t xml:space="preserve">Avoid empty slots</w:t>
            </w:r>
          </w:p>
        </w:tc>
        <w:tc>
          <w:tcPr>
            <w:tcW w:type="dxa" w:w="4680"/>
            <w:vAlign w:val="center"/>
          </w:tcPr>
          <w:p>
            <w:pPr>
              <w:jc w:val="center"/>
            </w:pPr>
            <w:r>
              <w:rPr>
                <w:rFonts w:ascii="Times New Roman" w:cs="Times New Roman" w:eastAsia="Times New Roman" w:hAnsi="Times New Roman"/>
                <w:sz w:val="22"/>
                <w:szCs w:val="22"/>
              </w:rPr>
              <w:t xml:space="preserve">Add mastery items from strongest subcategories</w:t>
            </w:r>
          </w:p>
        </w:tc>
      </w:tr>
    </w:tbl>
    <w:p>
      <w:pPr>
        <w:spacing w:before="240" w:after="120"/>
        <w:jc w:val="center"/>
      </w:pPr>
      <w:r>
        <w:rPr>
          <w:rFonts w:ascii="Times New Roman" w:cs="Times New Roman" w:eastAsia="Times New Roman" w:hAnsi="Times New Roman"/>
          <w:b/>
          <w:bCs/>
          <w:i/>
          <w:iCs/>
          <w:sz w:val="22"/>
          <w:szCs w:val="22"/>
        </w:rPr>
        <w:t xml:space="preserve">Table A.5. Tiebreaker Hierarchy (Equal Need Scores)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3120"/>
        <w:gridCol w:w="468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4680"/>
            <w:vAlign w:val="center"/>
          </w:tcPr>
          <w:p>
            <w:pPr>
              <w:jc w:val="center"/>
            </w:pPr>
            <w:r>
              <w:rPr>
                <w:rFonts w:ascii="Times New Roman" w:cs="Times New Roman" w:eastAsia="Times New Roman" w:hAnsi="Times New Roman"/>
                <w:sz w:val="22"/>
                <w:szCs w:val="22"/>
              </w:rPr>
              <w:t xml:space="preserve">Favor domain with fewer items selected</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4680"/>
            <w:vAlign w:val="center"/>
          </w:tcPr>
          <w:p>
            <w:pPr>
              <w:jc w:val="center"/>
            </w:pPr>
            <w:r>
              <w:rPr>
                <w:rFonts w:ascii="Times New Roman" w:cs="Times New Roman" w:eastAsia="Times New Roman" w:hAnsi="Times New Roman"/>
                <w:sz w:val="22"/>
                <w:szCs w:val="22"/>
              </w:rPr>
              <w:t xml:space="preserve">T/F prioritized over MCQ (reduces guessing)</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468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4680"/>
            <w:vAlign w:val="center"/>
          </w:tcPr>
          <w:p>
            <w:pPr>
              <w:jc w:val="center"/>
            </w:pPr>
            <w:r>
              <w:rPr>
                <w:rFonts w:ascii="Times New Roman" w:cs="Times New Roman" w:eastAsia="Times New Roman" w:hAnsi="Times New Roman"/>
                <w:sz w:val="22"/>
                <w:szCs w:val="22"/>
              </w:rPr>
              <w:t xml:space="preserve">Borrowing → Investment → Risk Mgmt</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4680"/>
            <w:vAlign w:val="center"/>
          </w:tcPr>
          <w:p>
            <w:pPr>
              <w:jc w:val="center"/>
            </w:pPr>
            <w:r>
              <w:rPr>
                <w:rFonts w:ascii="Times New Roman" w:cs="Times New Roman" w:eastAsia="Times New Roman" w:hAnsi="Times New Roman"/>
                <w:sz w:val="22"/>
                <w:szCs w:val="22"/>
              </w:rPr>
              <w:t xml:space="preserve">Deterministic using student hash</w:t>
            </w:r>
          </w:p>
        </w:tc>
      </w:tr>
    </w:tbl>
    <w:p>
      <w:pPr>
        <w:spacing w:before="240" w:after="120"/>
        <w:jc w:val="center"/>
      </w:pPr>
      <w:r>
        <w:rPr>
          <w:rFonts w:ascii="Times New Roman" w:cs="Times New Roman" w:eastAsia="Times New Roman" w:hAnsi="Times New Roman"/>
          <w:b/>
          <w:bCs/>
          <w:i/>
          <w:iCs/>
          <w:sz w:val="22"/>
          <w:szCs w:val="22"/>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4680"/>
        <w:gridCol w:w="312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4680"/>
            <w:vAlign w:val="center"/>
          </w:tcPr>
          <w:p>
            <w:pPr>
              <w:jc w:val="center"/>
            </w:pPr>
            <w:r>
              <w:rPr>
                <w:rFonts w:ascii="Times New Roman" w:cs="Times New Roman" w:eastAsia="Times New Roman" w:hAnsi="Times New Roman"/>
                <w:sz w:val="22"/>
                <w:szCs w:val="22"/>
              </w:rPr>
              <w:t xml:space="preserve">Blank, IDK, or too short?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4680"/>
            <w:vAlign w:val="center"/>
          </w:tcPr>
          <w:p>
            <w:pPr>
              <w:jc w:val="center"/>
            </w:pPr>
            <w:r>
              <w:rPr>
                <w:rFonts w:ascii="Times New Roman" w:cs="Times New Roman" w:eastAsia="Times New Roman" w:hAnsi="Times New Roman"/>
                <w:sz w:val="22"/>
                <w:szCs w:val="22"/>
              </w:rPr>
              <w:t xml:space="preserve">Correct reasoning despite wrong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4680"/>
            <w:vAlign w:val="center"/>
          </w:tcPr>
          <w:p>
            <w:pPr>
              <w:jc w:val="center"/>
            </w:pPr>
            <w:r>
              <w:rPr>
                <w:rFonts w:ascii="Times New Roman" w:cs="Times New Roman" w:eastAsia="Times New Roman" w:hAnsi="Times New Roman"/>
                <w:sz w:val="22"/>
                <w:szCs w:val="22"/>
              </w:rPr>
              <w:t xml:space="preserve">Student self-corrects?</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4680"/>
            <w:vAlign w:val="center"/>
          </w:tcPr>
          <w:p>
            <w:pPr>
              <w:jc w:val="center"/>
            </w:pPr>
            <w:r>
              <w:rPr>
                <w:rFonts w:ascii="Times New Roman" w:cs="Times New Roman" w:eastAsia="Times New Roman" w:hAnsi="Times New Roman"/>
                <w:sz w:val="22"/>
                <w:szCs w:val="22"/>
              </w:rPr>
              <w:t xml:space="preserve">Specific wrong mental model?</w:t>
            </w:r>
          </w:p>
        </w:tc>
        <w:tc>
          <w:tcPr>
            <w:tcW w:type="dxa" w:w="3120"/>
            <w:vAlign w:val="center"/>
          </w:tcPr>
          <w:p>
            <w:pPr>
              <w:jc w:val="center"/>
            </w:pPr>
            <w:r>
              <w:rPr>
                <w:rFonts w:ascii="Times New Roman" w:cs="Times New Roman" w:eastAsia="Times New Roman" w:hAnsi="Times New Roman"/>
                <w:sz w:val="22"/>
                <w:szCs w:val="22"/>
              </w:rPr>
              <w:t xml:space="preserve">Misconception (Layer 1 + 2)</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4680"/>
            <w:vAlign w:val="center"/>
          </w:tcPr>
          <w:p>
            <w:pPr>
              <w:jc w:val="center"/>
            </w:pPr>
            <w:r>
              <w:rPr>
                <w:rFonts w:ascii="Times New Roman" w:cs="Times New Roman" w:eastAsia="Times New Roman" w:hAnsi="Times New Roman"/>
                <w:sz w:val="22"/>
                <w:szCs w:val="22"/>
              </w:rPr>
              <w:t xml:space="preserve">Vague,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p>
      <w:r>
        <w:br w:type="page"/>
      </w:r>
    </w:p>
    <w:p>
      <w:pPr>
        <w:pStyle w:val="Heading1"/>
      </w:pPr>
      <w:r>
        <w:t xml:space="preserve">Appendix C: Financial Literacy Misconception Taxonomy (Layer 1)</w:t>
      </w:r>
    </w:p>
    <w:p>
      <w:pPr>
        <w:spacing w:line="360" w:after="200"/>
        <w:jc w:val="left"/>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pPr>
      <w:r>
        <w:t xml:space="preserve">C.1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INF-01</w:t>
            </w:r>
          </w:p>
        </w:tc>
        <w:tc>
          <w:tcPr>
            <w:tcW w:type="dxa" w:w="546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Q6 (55%)</w:t>
            </w:r>
          </w:p>
        </w:tc>
      </w:tr>
      <w:tr>
        <w:tc>
          <w:tcPr>
            <w:tcW w:type="dxa" w:w="1560"/>
            <w:vAlign w:val="center"/>
          </w:tcPr>
          <w:p>
            <w:pPr>
              <w:jc w:val="center"/>
            </w:pPr>
            <w:r>
              <w:rPr>
                <w:rFonts w:ascii="Times New Roman" w:cs="Times New Roman" w:eastAsia="Times New Roman" w:hAnsi="Times New Roman"/>
                <w:sz w:val="22"/>
                <w:szCs w:val="22"/>
              </w:rPr>
              <w:t xml:space="preserve">INF-02</w:t>
            </w:r>
          </w:p>
        </w:tc>
        <w:tc>
          <w:tcPr>
            <w:tcW w:type="dxa" w:w="546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Q3</w:t>
            </w:r>
          </w:p>
        </w:tc>
      </w:tr>
      <w:tr>
        <w:tc>
          <w:tcPr>
            <w:tcW w:type="dxa" w:w="1560"/>
            <w:vAlign w:val="center"/>
          </w:tcPr>
          <w:p>
            <w:pPr>
              <w:jc w:val="center"/>
            </w:pPr>
            <w:r>
              <w:rPr>
                <w:rFonts w:ascii="Times New Roman" w:cs="Times New Roman" w:eastAsia="Times New Roman" w:hAnsi="Times New Roman"/>
                <w:sz w:val="22"/>
                <w:szCs w:val="22"/>
              </w:rPr>
              <w:t xml:space="preserve">INF-03</w:t>
            </w:r>
          </w:p>
        </w:tc>
        <w:tc>
          <w:tcPr>
            <w:tcW w:type="dxa" w:w="546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Q7</w:t>
            </w:r>
          </w:p>
        </w:tc>
      </w:tr>
      <w:tr>
        <w:tc>
          <w:tcPr>
            <w:tcW w:type="dxa" w:w="1560"/>
            <w:vAlign w:val="center"/>
          </w:tcPr>
          <w:p>
            <w:pPr>
              <w:jc w:val="center"/>
            </w:pPr>
            <w:r>
              <w:rPr>
                <w:rFonts w:ascii="Times New Roman" w:cs="Times New Roman" w:eastAsia="Times New Roman" w:hAnsi="Times New Roman"/>
                <w:sz w:val="22"/>
                <w:szCs w:val="22"/>
              </w:rPr>
              <w:t xml:space="preserve">INF-04</w:t>
            </w:r>
          </w:p>
        </w:tc>
        <w:tc>
          <w:tcPr>
            <w:tcW w:type="dxa" w:w="546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Q38</w:t>
            </w:r>
          </w:p>
        </w:tc>
      </w:tr>
      <w:tr>
        <w:tc>
          <w:tcPr>
            <w:tcW w:type="dxa" w:w="1560"/>
            <w:vAlign w:val="center"/>
          </w:tcPr>
          <w:p>
            <w:pPr>
              <w:jc w:val="center"/>
            </w:pPr>
            <w:r>
              <w:rPr>
                <w:rFonts w:ascii="Times New Roman" w:cs="Times New Roman" w:eastAsia="Times New Roman" w:hAnsi="Times New Roman"/>
                <w:sz w:val="22"/>
                <w:szCs w:val="22"/>
              </w:rPr>
              <w:t xml:space="preserve">INF-05</w:t>
            </w:r>
          </w:p>
        </w:tc>
        <w:tc>
          <w:tcPr>
            <w:tcW w:type="dxa" w:w="546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Q7 (33%)</w:t>
            </w:r>
          </w:p>
        </w:tc>
      </w:tr>
    </w:tbl>
    <w:p>
      <w:pPr>
        <w:pStyle w:val="Heading2"/>
      </w:pPr>
      <w:r>
        <w:t xml:space="preserve">C.2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INT-01</w:t>
            </w:r>
          </w:p>
        </w:tc>
        <w:tc>
          <w:tcPr>
            <w:tcW w:type="dxa" w:w="546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INT-02</w:t>
            </w:r>
          </w:p>
        </w:tc>
        <w:tc>
          <w:tcPr>
            <w:tcW w:type="dxa" w:w="546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INT-03</w:t>
            </w:r>
          </w:p>
        </w:tc>
        <w:tc>
          <w:tcPr>
            <w:tcW w:type="dxa" w:w="546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INT-04</w:t>
            </w:r>
          </w:p>
        </w:tc>
        <w:tc>
          <w:tcPr>
            <w:tcW w:type="dxa" w:w="546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INT-05</w:t>
            </w:r>
          </w:p>
        </w:tc>
        <w:tc>
          <w:tcPr>
            <w:tcW w:type="dxa" w:w="546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Q8</w:t>
            </w:r>
          </w:p>
        </w:tc>
      </w:tr>
      <w:tr>
        <w:tc>
          <w:tcPr>
            <w:tcW w:type="dxa" w:w="1560"/>
            <w:vAlign w:val="center"/>
          </w:tcPr>
          <w:p>
            <w:pPr>
              <w:jc w:val="center"/>
            </w:pPr>
            <w:r>
              <w:rPr>
                <w:rFonts w:ascii="Times New Roman" w:cs="Times New Roman" w:eastAsia="Times New Roman" w:hAnsi="Times New Roman"/>
                <w:sz w:val="22"/>
                <w:szCs w:val="22"/>
              </w:rPr>
              <w:t xml:space="preserve">INT-06</w:t>
            </w:r>
          </w:p>
        </w:tc>
        <w:tc>
          <w:tcPr>
            <w:tcW w:type="dxa" w:w="5460"/>
            <w:vAlign w:val="center"/>
          </w:tcPr>
          <w:p>
            <w:pPr>
              <w:jc w:val="center"/>
            </w:pPr>
            <w:r>
              <w:rPr>
                <w:rFonts w:ascii="Times New Roman" w:cs="Times New Roman" w:eastAsia="Times New Roman" w:hAnsi="Times New Roman"/>
                <w:sz w:val="22"/>
                <w:szCs w:val="22"/>
              </w:rPr>
              <w:t xml:space="preserve">Bond price-rate relationship reversed</w:t>
            </w:r>
          </w:p>
        </w:tc>
        <w:tc>
          <w:tcPr>
            <w:tcW w:type="dxa" w:w="2340"/>
            <w:vAlign w:val="center"/>
          </w:tcPr>
          <w:p>
            <w:pPr>
              <w:jc w:val="center"/>
            </w:pPr>
            <w:r>
              <w:rPr>
                <w:rFonts w:ascii="Times New Roman" w:cs="Times New Roman" w:eastAsia="Times New Roman" w:hAnsi="Times New Roman"/>
                <w:sz w:val="22"/>
                <w:szCs w:val="22"/>
              </w:rPr>
              <w:t xml:space="preserve">Q29</w:t>
            </w:r>
          </w:p>
        </w:tc>
      </w:tr>
      <w:tr>
        <w:tc>
          <w:tcPr>
            <w:tcW w:type="dxa" w:w="1560"/>
            <w:vAlign w:val="center"/>
          </w:tcPr>
          <w:p>
            <w:pPr>
              <w:jc w:val="center"/>
            </w:pPr>
            <w:r>
              <w:rPr>
                <w:rFonts w:ascii="Times New Roman" w:cs="Times New Roman" w:eastAsia="Times New Roman" w:hAnsi="Times New Roman"/>
                <w:sz w:val="22"/>
                <w:szCs w:val="22"/>
              </w:rPr>
              <w:t xml:space="preserve">INT-07</w:t>
            </w:r>
          </w:p>
        </w:tc>
        <w:tc>
          <w:tcPr>
            <w:tcW w:type="dxa" w:w="546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Q4 (small n)</w:t>
            </w:r>
          </w:p>
        </w:tc>
      </w:tr>
    </w:tbl>
    <w:p>
      <w:pPr>
        <w:pStyle w:val="Heading2"/>
      </w:pPr>
      <w:r>
        <w:t xml:space="preserve">C.3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RISK-01</w:t>
            </w:r>
          </w:p>
        </w:tc>
        <w:tc>
          <w:tcPr>
            <w:tcW w:type="dxa" w:w="546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RISK-02</w:t>
            </w:r>
          </w:p>
        </w:tc>
        <w:tc>
          <w:tcPr>
            <w:tcW w:type="dxa" w:w="546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Q30, Q35</w:t>
            </w:r>
          </w:p>
        </w:tc>
      </w:tr>
      <w:tr>
        <w:tc>
          <w:tcPr>
            <w:tcW w:type="dxa" w:w="1560"/>
            <w:vAlign w:val="center"/>
          </w:tcPr>
          <w:p>
            <w:pPr>
              <w:jc w:val="center"/>
            </w:pPr>
            <w:r>
              <w:rPr>
                <w:rFonts w:ascii="Times New Roman" w:cs="Times New Roman" w:eastAsia="Times New Roman" w:hAnsi="Times New Roman"/>
                <w:sz w:val="22"/>
                <w:szCs w:val="22"/>
              </w:rPr>
              <w:t xml:space="preserve">RISK-03</w:t>
            </w:r>
          </w:p>
        </w:tc>
        <w:tc>
          <w:tcPr>
            <w:tcW w:type="dxa" w:w="546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Q14, Q34</w:t>
            </w:r>
          </w:p>
        </w:tc>
      </w:tr>
      <w:tr>
        <w:tc>
          <w:tcPr>
            <w:tcW w:type="dxa" w:w="1560"/>
            <w:vAlign w:val="center"/>
          </w:tcPr>
          <w:p>
            <w:pPr>
              <w:jc w:val="center"/>
            </w:pPr>
            <w:r>
              <w:rPr>
                <w:rFonts w:ascii="Times New Roman" w:cs="Times New Roman" w:eastAsia="Times New Roman" w:hAnsi="Times New Roman"/>
                <w:sz w:val="22"/>
                <w:szCs w:val="22"/>
              </w:rPr>
              <w:t xml:space="preserve">RISK-04</w:t>
            </w:r>
          </w:p>
        </w:tc>
        <w:tc>
          <w:tcPr>
            <w:tcW w:type="dxa" w:w="546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Q36 (62%)</w:t>
            </w:r>
          </w:p>
        </w:tc>
      </w:tr>
      <w:tr>
        <w:tc>
          <w:tcPr>
            <w:tcW w:type="dxa" w:w="1560"/>
            <w:vAlign w:val="center"/>
          </w:tcPr>
          <w:p>
            <w:pPr>
              <w:jc w:val="center"/>
            </w:pPr>
            <w:r>
              <w:rPr>
                <w:rFonts w:ascii="Times New Roman" w:cs="Times New Roman" w:eastAsia="Times New Roman" w:hAnsi="Times New Roman"/>
                <w:sz w:val="22"/>
                <w:szCs w:val="22"/>
              </w:rPr>
              <w:t xml:space="preserve">RISK-05</w:t>
            </w:r>
          </w:p>
        </w:tc>
        <w:tc>
          <w:tcPr>
            <w:tcW w:type="dxa" w:w="546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Q11</w:t>
            </w:r>
          </w:p>
        </w:tc>
      </w:tr>
      <w:tr>
        <w:tc>
          <w:tcPr>
            <w:tcW w:type="dxa" w:w="1560"/>
            <w:vAlign w:val="center"/>
          </w:tcPr>
          <w:p>
            <w:pPr>
              <w:jc w:val="center"/>
            </w:pPr>
            <w:r>
              <w:rPr>
                <w:rFonts w:ascii="Times New Roman" w:cs="Times New Roman" w:eastAsia="Times New Roman" w:hAnsi="Times New Roman"/>
                <w:sz w:val="22"/>
                <w:szCs w:val="22"/>
              </w:rPr>
              <w:t xml:space="preserve">RISK-06</w:t>
            </w:r>
          </w:p>
        </w:tc>
        <w:tc>
          <w:tcPr>
            <w:tcW w:type="dxa" w:w="546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Q11 (KG)</w:t>
            </w:r>
          </w:p>
        </w:tc>
      </w:tr>
      <w:tr>
        <w:tc>
          <w:tcPr>
            <w:tcW w:type="dxa" w:w="1560"/>
            <w:vAlign w:val="center"/>
          </w:tcPr>
          <w:p>
            <w:pPr>
              <w:jc w:val="center"/>
            </w:pPr>
            <w:r>
              <w:rPr>
                <w:rFonts w:ascii="Times New Roman" w:cs="Times New Roman" w:eastAsia="Times New Roman" w:hAnsi="Times New Roman"/>
                <w:sz w:val="22"/>
                <w:szCs w:val="22"/>
              </w:rPr>
              <w:t xml:space="preserve">RISK-07</w:t>
            </w:r>
          </w:p>
        </w:tc>
        <w:tc>
          <w:tcPr>
            <w:tcW w:type="dxa" w:w="546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Q31</w:t>
            </w:r>
          </w:p>
        </w:tc>
      </w:tr>
      <w:tr>
        <w:tc>
          <w:tcPr>
            <w:tcW w:type="dxa" w:w="1560"/>
            <w:vAlign w:val="center"/>
          </w:tcPr>
          <w:p>
            <w:pPr>
              <w:jc w:val="center"/>
            </w:pPr>
            <w:r>
              <w:rPr>
                <w:rFonts w:ascii="Times New Roman" w:cs="Times New Roman" w:eastAsia="Times New Roman" w:hAnsi="Times New Roman"/>
                <w:sz w:val="22"/>
                <w:szCs w:val="22"/>
              </w:rPr>
              <w:t xml:space="preserve">RISK-08</w:t>
            </w:r>
          </w:p>
        </w:tc>
        <w:tc>
          <w:tcPr>
            <w:tcW w:type="dxa" w:w="546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Q39</w:t>
            </w:r>
          </w:p>
        </w:tc>
      </w:tr>
      <w:tr>
        <w:tc>
          <w:tcPr>
            <w:tcW w:type="dxa" w:w="1560"/>
            <w:vAlign w:val="center"/>
          </w:tcPr>
          <w:p>
            <w:pPr>
              <w:jc w:val="center"/>
            </w:pPr>
            <w:r>
              <w:rPr>
                <w:rFonts w:ascii="Times New Roman" w:cs="Times New Roman" w:eastAsia="Times New Roman" w:hAnsi="Times New Roman"/>
                <w:sz w:val="22"/>
                <w:szCs w:val="22"/>
              </w:rPr>
              <w:t xml:space="preserve">RISK-09</w:t>
            </w:r>
          </w:p>
        </w:tc>
        <w:tc>
          <w:tcPr>
            <w:tcW w:type="dxa" w:w="546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RISK-10</w:t>
            </w:r>
          </w:p>
        </w:tc>
        <w:tc>
          <w:tcPr>
            <w:tcW w:type="dxa" w:w="546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Q35</w:t>
            </w:r>
          </w:p>
        </w:tc>
      </w:tr>
    </w:tbl>
    <w:p>
      <w:pPr>
        <w:pStyle w:val="Heading2"/>
      </w:pPr>
      <w:r>
        <w:t xml:space="preserve">C.4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INS-01</w:t>
            </w:r>
          </w:p>
        </w:tc>
        <w:tc>
          <w:tcPr>
            <w:tcW w:type="dxa" w:w="546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Q12 (67%)</w:t>
            </w:r>
          </w:p>
        </w:tc>
      </w:tr>
      <w:tr>
        <w:tc>
          <w:tcPr>
            <w:tcW w:type="dxa" w:w="1560"/>
            <w:vAlign w:val="center"/>
          </w:tcPr>
          <w:p>
            <w:pPr>
              <w:jc w:val="center"/>
            </w:pPr>
            <w:r>
              <w:rPr>
                <w:rFonts w:ascii="Times New Roman" w:cs="Times New Roman" w:eastAsia="Times New Roman" w:hAnsi="Times New Roman"/>
                <w:sz w:val="22"/>
                <w:szCs w:val="22"/>
              </w:rPr>
              <w:t xml:space="preserve">INS-02</w:t>
            </w:r>
          </w:p>
        </w:tc>
        <w:tc>
          <w:tcPr>
            <w:tcW w:type="dxa" w:w="546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Q12</w:t>
            </w:r>
          </w:p>
        </w:tc>
      </w:tr>
      <w:tr>
        <w:tc>
          <w:tcPr>
            <w:tcW w:type="dxa" w:w="1560"/>
            <w:vAlign w:val="center"/>
          </w:tcPr>
          <w:p>
            <w:pPr>
              <w:jc w:val="center"/>
            </w:pPr>
            <w:r>
              <w:rPr>
                <w:rFonts w:ascii="Times New Roman" w:cs="Times New Roman" w:eastAsia="Times New Roman" w:hAnsi="Times New Roman"/>
                <w:sz w:val="22"/>
                <w:szCs w:val="22"/>
              </w:rPr>
              <w:t xml:space="preserve">INS-03</w:t>
            </w:r>
          </w:p>
        </w:tc>
        <w:tc>
          <w:tcPr>
            <w:tcW w:type="dxa" w:w="546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Q13</w:t>
            </w:r>
          </w:p>
        </w:tc>
      </w:tr>
      <w:tr>
        <w:tc>
          <w:tcPr>
            <w:tcW w:type="dxa" w:w="1560"/>
            <w:vAlign w:val="center"/>
          </w:tcPr>
          <w:p>
            <w:pPr>
              <w:jc w:val="center"/>
            </w:pPr>
            <w:r>
              <w:rPr>
                <w:rFonts w:ascii="Times New Roman" w:cs="Times New Roman" w:eastAsia="Times New Roman" w:hAnsi="Times New Roman"/>
                <w:sz w:val="22"/>
                <w:szCs w:val="22"/>
              </w:rPr>
              <w:t xml:space="preserve">INS-04</w:t>
            </w:r>
          </w:p>
        </w:tc>
        <w:tc>
          <w:tcPr>
            <w:tcW w:type="dxa" w:w="546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Q37</w:t>
            </w:r>
          </w:p>
        </w:tc>
      </w:tr>
      <w:tr>
        <w:tc>
          <w:tcPr>
            <w:tcW w:type="dxa" w:w="1560"/>
            <w:vAlign w:val="center"/>
          </w:tcPr>
          <w:p>
            <w:pPr>
              <w:jc w:val="center"/>
            </w:pPr>
            <w:r>
              <w:rPr>
                <w:rFonts w:ascii="Times New Roman" w:cs="Times New Roman" w:eastAsia="Times New Roman" w:hAnsi="Times New Roman"/>
                <w:sz w:val="22"/>
                <w:szCs w:val="22"/>
              </w:rPr>
              <w:t xml:space="preserve">INS-05</w:t>
            </w:r>
          </w:p>
        </w:tc>
        <w:tc>
          <w:tcPr>
            <w:tcW w:type="dxa" w:w="546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Q12</w:t>
            </w:r>
          </w:p>
        </w:tc>
      </w:tr>
    </w:tbl>
    <w:p>
      <w:pPr>
        <w:pStyle w:val="Heading2"/>
      </w:pPr>
      <w:r>
        <w:t xml:space="preserve">C.5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BORROW-01</w:t>
            </w:r>
          </w:p>
        </w:tc>
        <w:tc>
          <w:tcPr>
            <w:tcW w:type="dxa" w:w="546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BORROW-02</w:t>
            </w:r>
          </w:p>
        </w:tc>
        <w:tc>
          <w:tcPr>
            <w:tcW w:type="dxa" w:w="546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BORROW-03</w:t>
            </w:r>
          </w:p>
        </w:tc>
        <w:tc>
          <w:tcPr>
            <w:tcW w:type="dxa" w:w="546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BORROW-04</w:t>
            </w:r>
          </w:p>
        </w:tc>
        <w:tc>
          <w:tcPr>
            <w:tcW w:type="dxa" w:w="546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BORROW-05</w:t>
            </w:r>
          </w:p>
        </w:tc>
        <w:tc>
          <w:tcPr>
            <w:tcW w:type="dxa" w:w="546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BORROW-06</w:t>
            </w:r>
          </w:p>
        </w:tc>
        <w:tc>
          <w:tcPr>
            <w:tcW w:type="dxa" w:w="546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Q9 (small n)</w:t>
            </w:r>
          </w:p>
        </w:tc>
      </w:tr>
    </w:tbl>
    <w:p>
      <w:pPr>
        <w:pStyle w:val="Heading2"/>
      </w:pPr>
      <w:r>
        <w:t xml:space="preserve">C.6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CRISIS-01</w:t>
            </w:r>
          </w:p>
        </w:tc>
        <w:tc>
          <w:tcPr>
            <w:tcW w:type="dxa" w:w="546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CRISIS-02</w:t>
            </w:r>
          </w:p>
        </w:tc>
        <w:tc>
          <w:tcPr>
            <w:tcW w:type="dxa" w:w="546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CRISIS-03</w:t>
            </w:r>
          </w:p>
        </w:tc>
        <w:tc>
          <w:tcPr>
            <w:tcW w:type="dxa" w:w="546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Q40</w:t>
            </w:r>
          </w:p>
        </w:tc>
      </w:tr>
    </w:tbl>
    <w:p>
      <w:pPr>
        <w:pStyle w:val="Heading2"/>
      </w:pPr>
      <w:r>
        <w:t xml:space="preserve">C.7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NUM-01</w:t>
            </w:r>
          </w:p>
        </w:tc>
        <w:tc>
          <w:tcPr>
            <w:tcW w:type="dxa" w:w="546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Q33 (small n)</w:t>
            </w:r>
          </w:p>
        </w:tc>
      </w:tr>
    </w:tbl>
    <w:p>
      <w:pPr>
        <w:pStyle w:val="Heading2"/>
      </w:pPr>
      <w:r>
        <w:t xml:space="preserve">C.8 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340"/>
        <w:gridCol w:w="54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1560"/>
            <w:vAlign w:val="center"/>
          </w:tcPr>
          <w:p>
            <w:pPr>
              <w:jc w:val="center"/>
            </w:pPr>
            <w:r>
              <w:rPr>
                <w:rFonts w:ascii="Times New Roman" w:cs="Times New Roman" w:eastAsia="Times New Roman" w:hAnsi="Times New Roman"/>
                <w:sz w:val="22"/>
                <w:szCs w:val="22"/>
              </w:rPr>
              <w:t xml:space="preserve">KG</w:t>
            </w:r>
          </w:p>
        </w:tc>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5460"/>
            <w:vAlign w:val="center"/>
          </w:tcPr>
          <w:p>
            <w:pPr>
              <w:jc w:val="center"/>
            </w:pPr>
            <w:r>
              <w:rPr>
                <w:rFonts w:ascii="Times New Roman" w:cs="Times New Roman" w:eastAsia="Times New Roman" w:hAnsi="Times New Roman"/>
                <w:sz w:val="22"/>
                <w:szCs w:val="22"/>
              </w:rPr>
              <w:t xml:space="preserve">No knowledge (IDK, blank, unfamiliar with terms)</w:t>
            </w:r>
          </w:p>
        </w:tc>
      </w:tr>
      <w:tr>
        <w:tc>
          <w:tcPr>
            <w:tcW w:type="dxa" w:w="1560"/>
            <w:vAlign w:val="center"/>
          </w:tcPr>
          <w:p>
            <w:pPr>
              <w:jc w:val="center"/>
            </w:pPr>
            <w:r>
              <w:rPr>
                <w:rFonts w:ascii="Times New Roman" w:cs="Times New Roman" w:eastAsia="Times New Roman" w:hAnsi="Times New Roman"/>
                <w:sz w:val="22"/>
                <w:szCs w:val="22"/>
              </w:rPr>
              <w:t xml:space="preserve">SE</w:t>
            </w:r>
          </w:p>
        </w:tc>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5460"/>
            <w:vAlign w:val="center"/>
          </w:tcPr>
          <w:p>
            <w:pPr>
              <w:jc w:val="center"/>
            </w:pPr>
            <w:r>
              <w:rPr>
                <w:rFonts w:ascii="Times New Roman" w:cs="Times New Roman" w:eastAsia="Times New Roman" w:hAnsi="Times New Roman"/>
                <w:sz w:val="22"/>
                <w:szCs w:val="22"/>
              </w:rPr>
              <w:t xml:space="preserve">Correct understanding but wrong answer selected</w:t>
            </w:r>
          </w:p>
        </w:tc>
      </w:tr>
    </w:tbl>
    <w:p>
      <w:pPr>
        <w:spacing w:line="360" w:after="200"/>
        <w:jc w:val="left"/>
      </w:pPr>
      <w:r>
        <w:rPr>
          <w:rFonts w:ascii="Times New Roman" w:cs="Times New Roman" w:eastAsia="Times New Roman" w:hAnsi="Times New Roman"/>
          <w:sz w:val="24"/>
          <w:szCs w:val="24"/>
        </w:rPr>
        <w:t xml:space="preserve">These cross-cutting codes combine with category codes: INF-01 = inflation misconception, INF-KG = inflation knowledge gap, INF-SE = inflation selection error.</w:t>
      </w:r>
    </w:p>
    <w:p>
      <w:r>
        <w:br w:type="page"/>
      </w:r>
    </w:p>
    <w:p>
      <w:pPr>
        <w:pStyle w:val="Heading1"/>
      </w:pPr>
      <w:r>
        <w:rPr>
          <w:rFonts w:ascii="Times New Roman" w:cs="Times New Roman" w:eastAsia="Times New Roman" w:hAnsi="Times New Roman"/>
          <w:b/>
          <w:bCs/>
          <w:sz w:val="28"/>
          <w:szCs w:val="28"/>
        </w:rPr>
        <w:t xml:space="preserve">Appendix D: AI Scorer Model Selection Protocol</w:t>
      </w:r>
    </w:p>
    <w:p>
      <w:pPr>
        <w:spacing w:line="360" w:after="200"/>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To select the scoring model for the AI-assisted classification pipeline (Section 4.2.3),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 of 953 responses.</w:t>
      </w:r>
    </w:p>
    <w:p>
      <w:pPr>
        <w:spacing w:before="240" w:after="120"/>
        <w:jc w:val="center"/>
      </w:pPr>
      <w:r>
        <w:rPr>
          <w:rFonts w:ascii="Times New Roman" w:cs="Times New Roman" w:eastAsia="Times New Roman" w:hAnsi="Times New Roman"/>
          <w:b/>
          <w:bCs/>
          <w:i/>
          <w:iCs/>
          <w:sz w:val="22"/>
          <w:szCs w:val="22"/>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200"/>
        <w:gridCol w:w="800"/>
        <w:gridCol w:w="700"/>
        <w:gridCol w:w="700"/>
        <w:gridCol w:w="600"/>
        <w:gridCol w:w="700"/>
        <w:gridCol w:w="900"/>
        <w:gridCol w:w="800"/>
        <w:gridCol w:w="960"/>
      </w:tblGrid>
      <w:tr>
        <w:trPr>
          <w:tblHeader/>
        </w:trPr>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Schema Err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600"/>
            <w:shd w:fill="D5E8F0" w:color="auto" w:val="clear"/>
            <w:vAlign w:val="center"/>
          </w:tcPr>
          <w:p>
            <w:pPr>
              <w:jc w:val="center"/>
            </w:pPr>
            <w:r>
              <w:rPr>
                <w:rFonts w:ascii="Times New Roman" w:cs="Times New Roman" w:eastAsia="Times New Roman" w:hAnsi="Times New Roman"/>
                <w:b/>
                <w:bCs/>
                <w:sz w:val="22"/>
                <w:szCs w:val="22"/>
              </w:rPr>
              <w:t xml:space="preserve">Time</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credit=50</w:t>
            </w:r>
          </w:p>
        </w:tc>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Conf. Var.</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Cost (953)</w:t>
            </w:r>
          </w:p>
        </w:tc>
        <w:tc>
          <w:tcPr>
            <w:tcW w:type="dxa" w:w="96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200"/>
            <w:vAlign w:val="center"/>
          </w:tcPr>
          <w:p>
            <w:pPr>
              <w:jc w:val="center"/>
            </w:pPr>
            <w:r>
              <w:rPr>
                <w:rFonts w:ascii="Times New Roman" w:cs="Times New Roman" w:eastAsia="Times New Roman" w:hAnsi="Times New Roman"/>
                <w:sz w:val="22"/>
                <w:szCs w:val="22"/>
              </w:rPr>
              <w:t xml:space="preserve">GPT-4.1</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41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$2.86</w:t>
            </w:r>
          </w:p>
        </w:tc>
        <w:tc>
          <w:tcPr>
            <w:tcW w:type="dxa" w:w="960"/>
            <w:vAlign w:val="center"/>
          </w:tcPr>
          <w:p>
            <w:pPr>
              <w:jc w:val="center"/>
            </w:pPr>
            <w:r>
              <w:rPr>
                <w:rFonts w:ascii="Times New Roman" w:cs="Times New Roman" w:eastAsia="Times New Roman" w:hAnsi="Times New Roman"/>
                <w:sz w:val="22"/>
                <w:szCs w:val="22"/>
              </w:rPr>
              <w:t xml:space="preserve">Selected</w:t>
            </w:r>
          </w:p>
        </w:tc>
      </w:tr>
      <w:tr>
        <w:tc>
          <w:tcPr>
            <w:tcW w:type="dxa" w:w="1200"/>
            <w:vAlign w:val="center"/>
          </w:tcPr>
          <w:p>
            <w:pPr>
              <w:jc w:val="center"/>
            </w:pPr>
            <w:r>
              <w:rPr>
                <w:rFonts w:ascii="Times New Roman" w:cs="Times New Roman" w:eastAsia="Times New Roman" w:hAnsi="Times New Roman"/>
                <w:sz w:val="22"/>
                <w:szCs w:val="22"/>
              </w:rPr>
              <w:t xml:space="preserve">DeepSeek V3.2</w:t>
            </w:r>
          </w:p>
        </w:tc>
        <w:tc>
          <w:tcPr>
            <w:tcW w:type="dxa" w:w="800"/>
            <w:vAlign w:val="center"/>
          </w:tcPr>
          <w:p>
            <w:pPr>
              <w:jc w:val="center"/>
            </w:pPr>
            <w:r>
              <w:rPr>
                <w:rFonts w:ascii="Times New Roman" w:cs="Times New Roman" w:eastAsia="Times New Roman" w:hAnsi="Times New Roman"/>
                <w:sz w:val="22"/>
                <w:szCs w:val="22"/>
              </w:rPr>
              <w:t xml:space="preserve">DeepSeek</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266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$0.24</w:t>
            </w:r>
          </w:p>
        </w:tc>
        <w:tc>
          <w:tcPr>
            <w:tcW w:type="dxa" w:w="960"/>
            <w:vAlign w:val="center"/>
          </w:tcPr>
          <w:p>
            <w:pPr>
              <w:jc w:val="center"/>
            </w:pPr>
            <w:r>
              <w:rPr>
                <w:rFonts w:ascii="Times New Roman" w:cs="Times New Roman" w:eastAsia="Times New Roman" w:hAnsi="Times New Roman"/>
                <w:sz w:val="22"/>
                <w:szCs w:val="22"/>
              </w:rPr>
              <w:t xml:space="preserve">Too slow</w:t>
            </w:r>
          </w:p>
        </w:tc>
      </w:tr>
      <w:tr>
        <w:tc>
          <w:tcPr>
            <w:tcW w:type="dxa" w:w="1200"/>
            <w:vAlign w:val="center"/>
          </w:tcPr>
          <w:p>
            <w:pPr>
              <w:jc w:val="center"/>
            </w:pPr>
            <w:r>
              <w:rPr>
                <w:rFonts w:ascii="Times New Roman" w:cs="Times New Roman" w:eastAsia="Times New Roman" w:hAnsi="Times New Roman"/>
                <w:sz w:val="22"/>
                <w:szCs w:val="22"/>
              </w:rPr>
              <w:t xml:space="preserve">Grok 4.1 Fast</w:t>
            </w:r>
          </w:p>
        </w:tc>
        <w:tc>
          <w:tcPr>
            <w:tcW w:type="dxa" w:w="800"/>
            <w:vAlign w:val="center"/>
          </w:tcPr>
          <w:p>
            <w:pPr>
              <w:jc w:val="center"/>
            </w:pPr>
            <w:r>
              <w:rPr>
                <w:rFonts w:ascii="Times New Roman" w:cs="Times New Roman" w:eastAsia="Times New Roman" w:hAnsi="Times New Roman"/>
                <w:sz w:val="22"/>
                <w:szCs w:val="22"/>
              </w:rPr>
              <w:t xml:space="preserve">xAI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1 parse</w:t>
            </w:r>
          </w:p>
        </w:tc>
        <w:tc>
          <w:tcPr>
            <w:tcW w:type="dxa" w:w="600"/>
            <w:vAlign w:val="center"/>
          </w:tcPr>
          <w:p>
            <w:pPr>
              <w:jc w:val="center"/>
            </w:pPr>
            <w:r>
              <w:rPr>
                <w:rFonts w:ascii="Times New Roman" w:cs="Times New Roman" w:eastAsia="Times New Roman" w:hAnsi="Times New Roman"/>
                <w:sz w:val="22"/>
                <w:szCs w:val="22"/>
              </w:rPr>
              <w:t xml:space="preserve">144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5% errors</w:t>
            </w:r>
          </w:p>
        </w:tc>
      </w:tr>
      <w:tr>
        <w:tc>
          <w:tcPr>
            <w:tcW w:type="dxa" w:w="1200"/>
            <w:vAlign w:val="center"/>
          </w:tcPr>
          <w:p>
            <w:pPr>
              <w:jc w:val="center"/>
            </w:pPr>
            <w:r>
              <w:rPr>
                <w:rFonts w:ascii="Times New Roman" w:cs="Times New Roman" w:eastAsia="Times New Roman" w:hAnsi="Times New Roman"/>
                <w:sz w:val="22"/>
                <w:szCs w:val="22"/>
              </w:rPr>
              <w:t xml:space="preserve">Qwen3-235B</w:t>
            </w:r>
          </w:p>
        </w:tc>
        <w:tc>
          <w:tcPr>
            <w:tcW w:type="dxa" w:w="800"/>
            <w:vAlign w:val="center"/>
          </w:tcPr>
          <w:p>
            <w:pPr>
              <w:jc w:val="center"/>
            </w:pPr>
            <w:r>
              <w:rPr>
                <w:rFonts w:ascii="Times New Roman" w:cs="Times New Roman" w:eastAsia="Times New Roman" w:hAnsi="Times New Roman"/>
                <w:sz w:val="22"/>
                <w:szCs w:val="22"/>
              </w:rPr>
              <w:t xml:space="preserve">Alibaba</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84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$0.07</w:t>
            </w:r>
          </w:p>
        </w:tc>
        <w:tc>
          <w:tcPr>
            <w:tcW w:type="dxa" w:w="960"/>
            <w:vAlign w:val="center"/>
          </w:tcPr>
          <w:p>
            <w:pPr>
              <w:jc w:val="center"/>
            </w:pPr>
            <w:r>
              <w:rPr>
                <w:rFonts w:ascii="Times New Roman" w:cs="Times New Roman" w:eastAsia="Times New Roman" w:hAnsi="Times New Roman"/>
                <w:sz w:val="22"/>
                <w:szCs w:val="22"/>
              </w:rPr>
              <w:t xml:space="preserve">No partial</w:t>
            </w:r>
          </w:p>
        </w:tc>
      </w:tr>
      <w:tr>
        <w:tc>
          <w:tcPr>
            <w:tcW w:type="dxa" w:w="1200"/>
            <w:vAlign w:val="center"/>
          </w:tcPr>
          <w:p>
            <w:pPr>
              <w:jc w:val="center"/>
            </w:pPr>
            <w:r>
              <w:rPr>
                <w:rFonts w:ascii="Times New Roman" w:cs="Times New Roman" w:eastAsia="Times New Roman" w:hAnsi="Times New Roman"/>
                <w:sz w:val="22"/>
                <w:szCs w:val="22"/>
              </w:rPr>
              <w:t xml:space="preserve">GPT-4o-mini</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37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Overly strict</w:t>
            </w:r>
          </w:p>
        </w:tc>
      </w:tr>
      <w:tr>
        <w:tc>
          <w:tcPr>
            <w:tcW w:type="dxa" w:w="1200"/>
            <w:vAlign w:val="center"/>
          </w:tcPr>
          <w:p>
            <w:pPr>
              <w:jc w:val="center"/>
            </w:pPr>
            <w:r>
              <w:rPr>
                <w:rFonts w:ascii="Times New Roman" w:cs="Times New Roman" w:eastAsia="Times New Roman" w:hAnsi="Times New Roman"/>
                <w:sz w:val="22"/>
                <w:szCs w:val="22"/>
              </w:rPr>
              <w:t xml:space="preserve">Haiku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56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$1.58</w:t>
            </w:r>
          </w:p>
        </w:tc>
        <w:tc>
          <w:tcPr>
            <w:tcW w:type="dxa" w:w="960"/>
            <w:vAlign w:val="center"/>
          </w:tcPr>
          <w:p>
            <w:pPr>
              <w:jc w:val="center"/>
            </w:pPr>
            <w:r>
              <w:rPr>
                <w:rFonts w:ascii="Times New Roman" w:cs="Times New Roman" w:eastAsia="Times New Roman" w:hAnsi="Times New Roman"/>
                <w:sz w:val="22"/>
                <w:szCs w:val="22"/>
              </w:rPr>
              <w:t xml:space="preserve">Over-detects SE</w:t>
            </w:r>
          </w:p>
        </w:tc>
      </w:tr>
      <w:tr>
        <w:tc>
          <w:tcPr>
            <w:tcW w:type="dxa" w:w="1200"/>
            <w:vAlign w:val="center"/>
          </w:tcPr>
          <w:p>
            <w:pPr>
              <w:jc w:val="center"/>
            </w:pPr>
            <w:r>
              <w:rPr>
                <w:rFonts w:ascii="Times New Roman" w:cs="Times New Roman" w:eastAsia="Times New Roman" w:hAnsi="Times New Roman"/>
                <w:sz w:val="22"/>
                <w:szCs w:val="22"/>
              </w:rPr>
              <w:t xml:space="preserve">Gemini 3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1 (429)</w:t>
            </w:r>
          </w:p>
        </w:tc>
        <w:tc>
          <w:tcPr>
            <w:tcW w:type="dxa" w:w="600"/>
            <w:vAlign w:val="center"/>
          </w:tcPr>
          <w:p>
            <w:pPr>
              <w:jc w:val="center"/>
            </w:pPr>
            <w:r>
              <w:rPr>
                <w:rFonts w:ascii="Times New Roman" w:cs="Times New Roman" w:eastAsia="Times New Roman" w:hAnsi="Times New Roman"/>
                <w:sz w:val="22"/>
                <w:szCs w:val="22"/>
              </w:rPr>
              <w:t xml:space="preserve">42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$0.80</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Sonnet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71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$4.72</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Gemini 2.0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2</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$0.15</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Minimax M2.1</w:t>
            </w:r>
          </w:p>
        </w:tc>
        <w:tc>
          <w:tcPr>
            <w:tcW w:type="dxa" w:w="800"/>
            <w:vAlign w:val="center"/>
          </w:tcPr>
          <w:p>
            <w:pPr>
              <w:jc w:val="center"/>
            </w:pPr>
            <w:r>
              <w:rPr>
                <w:rFonts w:ascii="Times New Roman" w:cs="Times New Roman" w:eastAsia="Times New Roman" w:hAnsi="Times New Roman"/>
                <w:sz w:val="22"/>
                <w:szCs w:val="22"/>
              </w:rPr>
              <w:t xml:space="preserve">Minimax</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19/20</w:t>
            </w:r>
          </w:p>
        </w:tc>
        <w:tc>
          <w:tcPr>
            <w:tcW w:type="dxa" w:w="600"/>
            <w:vAlign w:val="center"/>
          </w:tcPr>
          <w:p>
            <w:pPr>
              <w:jc w:val="center"/>
            </w:pPr>
            <w:r>
              <w:rPr>
                <w:rFonts w:ascii="Times New Roman" w:cs="Times New Roman" w:eastAsia="Times New Roman" w:hAnsi="Times New Roman"/>
                <w:sz w:val="22"/>
                <w:szCs w:val="22"/>
              </w:rPr>
              <w:t xml:space="preserve">83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Kimi K2.5</w:t>
            </w:r>
          </w:p>
        </w:tc>
        <w:tc>
          <w:tcPr>
            <w:tcW w:type="dxa" w:w="800"/>
            <w:vAlign w:val="center"/>
          </w:tcPr>
          <w:p>
            <w:pPr>
              <w:jc w:val="center"/>
            </w:pPr>
            <w:r>
              <w:rPr>
                <w:rFonts w:ascii="Times New Roman" w:cs="Times New Roman" w:eastAsia="Times New Roman" w:hAnsi="Times New Roman"/>
                <w:sz w:val="22"/>
                <w:szCs w:val="22"/>
              </w:rPr>
              <w:t xml:space="preserve">Moonshot</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20/20</w:t>
            </w:r>
          </w:p>
        </w:tc>
        <w:tc>
          <w:tcPr>
            <w:tcW w:type="dxa" w:w="600"/>
            <w:vAlign w:val="center"/>
          </w:tcPr>
          <w:p>
            <w:pPr>
              <w:jc w:val="center"/>
            </w:pPr>
            <w:r>
              <w:rPr>
                <w:rFonts w:ascii="Times New Roman" w:cs="Times New Roman" w:eastAsia="Times New Roman" w:hAnsi="Times New Roman"/>
                <w:sz w:val="22"/>
                <w:szCs w:val="22"/>
              </w:rPr>
              <w:t xml:space="preserve">173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bl>
    <w:p>
      <w:pPr>
        <w:spacing w:line="360" w:after="200"/>
        <w:jc w:val="left"/>
      </w:pPr>
      <w:r>
        <w:rPr>
          <w:rFonts w:ascii="Times New Roman" w:cs="Times New Roman" w:eastAsia="Times New Roman" w:hAnsi="Times New Roman"/>
          <w:sz w:val="24"/>
          <w:szCs w:val="24"/>
        </w:rPr>
        <w:t xml:space="preserve">Schema violations occur when a diagnose item returns the confirm-format JSON (e.g., understanding_level instead of diagnosis_type). Three models were disqualified: Minimax M2.1 and Kimi K2.5 returned empty or unparseable responses on nearly all items; Gemini 2.0 Flash produced two schema violations and lacked any partial-credit classifications.</w:t>
      </w:r>
    </w:p>
    <w:p>
      <w:pPr>
        <w:spacing w:before="240" w:after="120"/>
        <w:jc w:val="center"/>
      </w:pPr>
      <w:r>
        <w:rPr>
          <w:rFonts w:ascii="Times New Roman" w:cs="Times New Roman" w:eastAsia="Times New Roman" w:hAnsi="Times New Roman"/>
          <w:b/>
          <w:bCs/>
          <w:i/>
          <w:iCs/>
          <w:sz w:val="22"/>
          <w:szCs w:val="22"/>
        </w:rPr>
        <w:t xml:space="preserve">Table D.2: Inter-Model Agreement on Disputed Classifications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900"/>
        <w:gridCol w:w="1260"/>
        <w:gridCol w:w="1200"/>
        <w:gridCol w:w="1200"/>
        <w:gridCol w:w="1200"/>
        <w:gridCol w:w="1200"/>
        <w:gridCol w:w="1200"/>
      </w:tblGrid>
      <w:tr>
        <w:trPr>
          <w:tblHeader/>
        </w:trPr>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260"/>
            <w:shd w:fill="D5E8F0" w:color="auto" w:val="clear"/>
            <w:vAlign w:val="center"/>
          </w:tcPr>
          <w:p>
            <w:pPr>
              <w:jc w:val="center"/>
            </w:pPr>
            <w:r>
              <w:rPr>
                <w:rFonts w:ascii="Times New Roman" w:cs="Times New Roman" w:eastAsia="Times New Roman" w:hAnsi="Times New Roman"/>
                <w:b/>
                <w:bCs/>
                <w:sz w:val="22"/>
                <w:szCs w:val="22"/>
              </w:rPr>
              <w:t xml:space="preserve">Student Text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900"/>
            <w:vAlign w:val="center"/>
          </w:tcPr>
          <w:p>
            <w:pPr>
              <w:jc w:val="center"/>
            </w:pPr>
            <w:r>
              <w:rPr>
                <w:rFonts w:ascii="Times New Roman" w:cs="Times New Roman" w:eastAsia="Times New Roman" w:hAnsi="Times New Roman"/>
                <w:sz w:val="22"/>
                <w:szCs w:val="22"/>
              </w:rPr>
              <w:t xml:space="preserve">Q9 Diagnose</w:t>
            </w:r>
          </w:p>
        </w:tc>
        <w:tc>
          <w:tcPr>
            <w:tcW w:type="dxa" w:w="1260"/>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r>
      <w:tr>
        <w:tc>
          <w:tcPr>
            <w:tcW w:type="dxa" w:w="900"/>
            <w:vAlign w:val="center"/>
          </w:tcPr>
          <w:p>
            <w:pPr>
              <w:jc w:val="center"/>
            </w:pPr>
            <w:r>
              <w:rPr>
                <w:rFonts w:ascii="Times New Roman" w:cs="Times New Roman" w:eastAsia="Times New Roman" w:hAnsi="Times New Roman"/>
                <w:sz w:val="22"/>
                <w:szCs w:val="22"/>
              </w:rPr>
              <w:t xml:space="preserve">Q5 Diagnose</w:t>
            </w:r>
          </w:p>
        </w:tc>
        <w:tc>
          <w:tcPr>
            <w:tcW w:type="dxa" w:w="1260"/>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cr=100</w:t>
            </w:r>
          </w:p>
        </w:tc>
        <w:tc>
          <w:tcPr>
            <w:tcW w:type="dxa" w:w="1200"/>
            <w:vAlign w:val="center"/>
          </w:tcPr>
          <w:p>
            <w:pPr>
              <w:jc w:val="center"/>
            </w:pPr>
            <w:r>
              <w:rPr>
                <w:rFonts w:ascii="Times New Roman" w:cs="Times New Roman" w:eastAsia="Times New Roman" w:hAnsi="Times New Roman"/>
                <w:sz w:val="22"/>
                <w:szCs w:val="22"/>
              </w:rPr>
              <w:t xml:space="preserve">KG (idk), cr=0</w:t>
            </w:r>
          </w:p>
        </w:tc>
        <w:tc>
          <w:tcPr>
            <w:tcW w:type="dxa" w:w="1200"/>
            <w:vAlign w:val="center"/>
          </w:tcPr>
          <w:p>
            <w:pPr>
              <w:jc w:val="center"/>
            </w:pPr>
            <w:r>
              <w:rPr>
                <w:rFonts w:ascii="Times New Roman" w:cs="Times New Roman" w:eastAsia="Times New Roman" w:hAnsi="Times New Roman"/>
                <w:sz w:val="22"/>
                <w:szCs w:val="22"/>
              </w:rPr>
              <w:t xml:space="preserve">KG (idk), cr=0</w:t>
            </w:r>
          </w:p>
        </w:tc>
      </w:tr>
      <w:tr>
        <w:tc>
          <w:tcPr>
            <w:tcW w:type="dxa" w:w="900"/>
            <w:vAlign w:val="center"/>
          </w:tcPr>
          <w:p>
            <w:pPr>
              <w:jc w:val="center"/>
            </w:pPr>
            <w:r>
              <w:rPr>
                <w:rFonts w:ascii="Times New Roman" w:cs="Times New Roman" w:eastAsia="Times New Roman" w:hAnsi="Times New Roman"/>
                <w:sz w:val="22"/>
                <w:szCs w:val="22"/>
              </w:rPr>
              <w:t xml:space="preserve">Q13 Diagnose</w:t>
            </w:r>
          </w:p>
        </w:tc>
        <w:tc>
          <w:tcPr>
            <w:tcW w:type="dxa" w:w="1260"/>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(INS-03), cr=50</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(INS-03)</w:t>
            </w:r>
          </w:p>
        </w:tc>
        <w:tc>
          <w:tcPr>
            <w:tcW w:type="dxa" w:w="1200"/>
            <w:vAlign w:val="center"/>
          </w:tcPr>
          <w:p>
            <w:pPr>
              <w:jc w:val="center"/>
            </w:pPr>
            <w:r>
              <w:rPr>
                <w:rFonts w:ascii="Times New Roman" w:cs="Times New Roman" w:eastAsia="Times New Roman" w:hAnsi="Times New Roman"/>
                <w:sz w:val="22"/>
                <w:szCs w:val="22"/>
              </w:rPr>
              <w:t xml:space="preserve">misconc. (INS-03)</w:t>
            </w:r>
          </w:p>
        </w:tc>
      </w:tr>
      <w:tr>
        <w:tc>
          <w:tcPr>
            <w:tcW w:type="dxa" w:w="900"/>
            <w:vAlign w:val="center"/>
          </w:tcPr>
          <w:p>
            <w:pPr>
              <w:jc w:val="center"/>
            </w:pPr>
            <w:r>
              <w:rPr>
                <w:rFonts w:ascii="Times New Roman" w:cs="Times New Roman" w:eastAsia="Times New Roman" w:hAnsi="Times New Roman"/>
                <w:sz w:val="22"/>
                <w:szCs w:val="22"/>
              </w:rPr>
              <w:t xml:space="preserve">Q37 Confirm</w:t>
            </w:r>
          </w:p>
        </w:tc>
        <w:tc>
          <w:tcPr>
            <w:tcW w:type="dxa" w:w="1260"/>
            <w:vAlign w:val="center"/>
          </w:tcPr>
          <w:p>
            <w:pPr>
              <w:jc w:val="center"/>
            </w:pPr>
            <w:r>
              <w:rPr>
                <w:rFonts w:ascii="Times New Roman" w:cs="Times New Roman" w:eastAsia="Times New Roman" w:hAnsi="Times New Roman"/>
                <w:sz w:val="22"/>
                <w:szCs w:val="22"/>
              </w:rPr>
              <w:t xml:space="preserve">“Liability coverage protects you…”</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partial, cr=50</w:t>
            </w:r>
          </w:p>
        </w:tc>
        <w:tc>
          <w:tcPr>
            <w:tcW w:type="dxa" w:w="1200"/>
            <w:vAlign w:val="center"/>
          </w:tcPr>
          <w:p>
            <w:pPr>
              <w:jc w:val="center"/>
            </w:pPr>
            <w:r>
              <w:rPr>
                <w:rFonts w:ascii="Times New Roman" w:cs="Times New Roman" w:eastAsia="Times New Roman" w:hAnsi="Times New Roman"/>
                <w:sz w:val="22"/>
                <w:szCs w:val="22"/>
              </w:rPr>
              <w:t xml:space="preserve">verified, cr=100</w:t>
            </w:r>
          </w:p>
        </w:tc>
      </w:tr>
    </w:tbl>
    <w:p>
      <w:pPr>
        <w:spacing w:line="360" w:after="200"/>
      </w:pPr>
      <w:r>
        <w:rPr>
          <w:rFonts w:ascii="Times New Roman" w:cs="Times New Roman" w:eastAsia="Times New Roman" w:hAnsi="Times New Roman"/>
          <w:b/>
          <w:bCs/>
          <w:sz w:val="24"/>
          <w:szCs w:val="24"/>
        </w:rPr>
        <w:t xml:space="preserve">Selection Rationale. </w:t>
      </w:r>
      <w:r>
        <w:rPr>
          <w:rFonts w:ascii="Times New Roman" w:cs="Times New Roman" w:eastAsia="Times New Roman" w:hAnsi="Times New Roman"/>
          <w:sz w:val="24"/>
          <w:szCs w:val="24"/>
        </w:rPr>
        <w:t xml:space="preserve">GPT-4.1 was selected as the production scorer based on the following criteria: (a) zero schema violations across all 20 test items, (b) zero parse or API errors, (c) appropriate use of credit=50 for borderline misconceptions (e.g., Q5, where the student’s reasoning was directionally aligned with a misconception but lacked specificity), (d) balanced classification distributions that were neither overly lenient (as with Gemini 2.0 Flash, which classified 66.7% of confirm items as “verified”) nor overly strict (as with GPT-4o-mini, which classified only 11.1% as “verified”), and (e) reasonable throughput and cost for the full corpus (~33 minutes, ~$2.86 for 953 responses). On the disputed items, GPT-4.1’s classifications aligned with the majority of the zero-error models in three of four cases (Q9, Q5, Q37), supporting its position as a concordant central scorer.</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2026-02-10T18:33:53.311Z</dcterms:created>
  <dcterms:modified xsi:type="dcterms:W3CDTF">2026-02-10T18:33:53.311Z</dcterms:modified>
</cp:coreProperties>
</file>

<file path=docProps/custom.xml><?xml version="1.0" encoding="utf-8"?>
<Properties xmlns="http://schemas.openxmlformats.org/officeDocument/2006/custom-properties" xmlns:vt="http://schemas.openxmlformats.org/officeDocument/2006/docPropsVTypes"/>
</file>