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deployment, and diagnostic findings from a 40-item pre-course financial risk literacy assessment for QUIN 102 at Loyola University Chicago. The instrument spans three knowledge domains -- Borrowing and Credit, Risk Management, and Investment and Risk -- using 26 scored and 14 unscored anchor items. A Supplemental Diagnostic Module (SDM-10) adaptively selects up to 10 open-ended follow-up items based on each student's anchor performance; an AI-assisted rubric classifies responses into misconception, knowledge gap, and selection error categories. During the Spring 2026 pilot, 354 research-consented students completed the assessment. The mean anchor score was 67.0% (SD = 17.9%), with notable variation across domains. Among 493 scored diagnostic responses, 53.9% reflected misconceptions, 31.9% selection errors, and 14.2% knowledge gaps. The selection error finding is central: among students who answered incorrectly with high confidence, nearly one in three demonstrated correct understanding in their open-ended explanation, indicating that raw MCQ scores systematically misrepresent student knowledge on format-sensitive items. The diagnostic results yield 10 specific course improvement recommendations -- spanning instructional content, instrument revision, and delivery changes -- each anchored to evidence and paired with a Paper 2 evaluation criterion. We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Assessment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Pipeline Overview and Illustrative Walkthrough</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Adaptive Selection and Diagnostic Priority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Sample Demographics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7.1 </w:t>
      </w:r>
      <w:r>
        <w:rPr>
          <w:rFonts w:ascii="Times New Roman" w:cs="Times New Roman" w:eastAsia="Times New Roman" w:hAnsi="Times New Roman"/>
          <w:color w:val="0563C1"/>
          <w:sz w:val="24"/>
          <w:szCs w:val="24"/>
          <w:u w:val="single"/>
        </w:rPr>
        <w:t xml:space="preserve">Anchor Score Distribution and Domain Breakdown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7.2 </w:t>
      </w:r>
      <w:r>
        <w:rPr>
          <w:rFonts w:ascii="Times New Roman" w:cs="Times New Roman" w:eastAsia="Times New Roman" w:hAnsi="Times New Roman"/>
          <w:color w:val="0563C1"/>
          <w:sz w:val="24"/>
          <w:szCs w:val="24"/>
          <w:u w:val="single"/>
        </w:rPr>
        <w:t xml:space="preserve">Confidence Calibration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7.3 </w:t>
      </w:r>
      <w:r>
        <w:rPr>
          <w:rFonts w:ascii="Times New Roman" w:cs="Times New Roman" w:eastAsia="Times New Roman" w:hAnsi="Times New Roman"/>
          <w:color w:val="0563C1"/>
          <w:sz w:val="24"/>
          <w:szCs w:val="24"/>
          <w:u w:val="single"/>
        </w:rPr>
        <w:t xml:space="preserve">Diagnostic Classification: Diagnose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7.4 </w:t>
      </w:r>
      <w:r>
        <w:rPr>
          <w:rFonts w:ascii="Times New Roman" w:cs="Times New Roman" w:eastAsia="Times New Roman" w:hAnsi="Times New Roman"/>
          <w:color w:val="0563C1"/>
          <w:sz w:val="24"/>
          <w:szCs w:val="24"/>
          <w:u w:val="single"/>
        </w:rPr>
        <w:t xml:space="preserve">Diagnostic Classification: Confirm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7.5 </w:t>
      </w:r>
      <w:r>
        <w:rPr>
          <w:rFonts w:ascii="Times New Roman" w:cs="Times New Roman" w:eastAsia="Times New Roman" w:hAnsi="Times New Roman"/>
          <w:color w:val="0563C1"/>
          <w:sz w:val="24"/>
          <w:szCs w:val="24"/>
          <w:u w:val="single"/>
        </w:rPr>
        <w:t xml:space="preserve">Misconception Clusters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7.6 </w:t>
      </w:r>
      <w:r>
        <w:rPr>
          <w:rFonts w:ascii="Times New Roman" w:cs="Times New Roman" w:eastAsia="Times New Roman" w:hAnsi="Times New Roman"/>
          <w:color w:val="0563C1"/>
          <w:sz w:val="24"/>
          <w:szCs w:val="24"/>
          <w:u w:val="single"/>
        </w:rPr>
        <w:t xml:space="preserve">Selection Error Patterns and Item Revision Targets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7.7 </w:t>
      </w:r>
      <w:r>
        <w:rPr>
          <w:rFonts w:ascii="Times New Roman" w:cs="Times New Roman" w:eastAsia="Times New Roman" w:hAnsi="Times New Roman"/>
          <w:color w:val="0563C1"/>
          <w:sz w:val="24"/>
          <w:szCs w:val="24"/>
          <w:u w:val="single"/>
        </w:rPr>
        <w:t xml:space="preserve">AI Scoring Validation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8.1 </w:t>
      </w:r>
      <w:r>
        <w:rPr>
          <w:rFonts w:ascii="Times New Roman" w:cs="Times New Roman" w:eastAsia="Times New Roman" w:hAnsi="Times New Roman"/>
          <w:color w:val="0563C1"/>
          <w:sz w:val="24"/>
          <w:szCs w:val="24"/>
          <w:u w:val="single"/>
        </w:rPr>
        <w:t xml:space="preserve">Key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8.2 </w:t>
      </w:r>
      <w:r>
        <w:rPr>
          <w:rFonts w:ascii="Times New Roman" w:cs="Times New Roman" w:eastAsia="Times New Roman" w:hAnsi="Times New Roman"/>
          <w:color w:val="0563C1"/>
          <w:sz w:val="24"/>
          <w:szCs w:val="24"/>
          <w:u w:val="single"/>
        </w:rPr>
        <w:t xml:space="preserve">Course Improvement Recommendations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8.3 </w:t>
      </w:r>
      <w:r>
        <w:rPr>
          <w:rFonts w:ascii="Times New Roman" w:cs="Times New Roman" w:eastAsia="Times New Roman" w:hAnsi="Times New Roman"/>
          <w:color w:val="0563C1"/>
          <w:sz w:val="24"/>
          <w:szCs w:val="24"/>
          <w:u w:val="single"/>
        </w:rPr>
        <w:t xml:space="preserve">Implications for Risk Literacy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8.4 </w:t>
      </w:r>
      <w:r>
        <w:rPr>
          <w:rFonts w:ascii="Times New Roman" w:cs="Times New Roman" w:eastAsia="Times New Roman" w:hAnsi="Times New Roman"/>
          <w:color w:val="0563C1"/>
          <w:sz w:val="24"/>
          <w:szCs w:val="24"/>
          <w:u w:val="single"/>
        </w:rPr>
        <w:t xml:space="preserve">Oral Diagnostics as Future Modality</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F: Technical Implementation</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10).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 interest compounding, inflation, and risk diversification --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 interest rates, inflation, diversification, compound interest, and bond pricing --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Assessment Pipeline</w:t>
      </w:r>
    </w:p>
    <w:p>
      <w:pPr>
        <w:pStyle w:val="Heading2"/>
        <w:spacing w:before="360" w:after="180"/>
      </w:pPr>
      <w:r>
        <w:rPr>
          <w:rFonts w:ascii="Times New Roman" w:cs="Times New Roman" w:eastAsia="Times New Roman" w:hAnsi="Times New Roman"/>
          <w:sz w:val="24"/>
          <w:szCs w:val="24"/>
        </w:rPr>
        <w:t xml:space="preserve">4.1 Pipeline Overview and Illustrative Walkthrough</w:t>
      </w:r>
    </w:p>
    <w:p>
      <w:pPr>
        <w:spacing w:line="360" w:after="200"/>
      </w:pPr>
      <w:r>
        <w:rPr>
          <w:rFonts w:ascii="Times New Roman" w:cs="Times New Roman" w:eastAsia="Times New Roman" w:hAnsi="Times New Roman"/>
          <w:sz w:val="24"/>
          <w:szCs w:val="24"/>
        </w:rPr>
        <w:t xml:space="preserve">The SDM-10 pipeline operates in three stages: (1) compute a diagnostic priority for each concept area based on the student's answer and confidence, (2) select up to 10 follow-up items from a pre-written variant bank ranked by priority (targeting 10, delivering 5--10 depending on available high-priority concepts), and (3) score any open-ended responses using an AI-assisted rubric aligned to the misconception taxonomy. Confidence is captured on a three-level scale (1 = low, 2 = mid, 3 = high). Two illustrative cases show how the pipeline works in practice.</w:t>
      </w:r>
    </w:p>
    <w:p>
      <w:pPr>
        <w:spacing w:line="360" w:after="200"/>
      </w:pPr>
      <w:r>
        <w:rPr>
          <w:rFonts w:ascii="Times New Roman" w:cs="Times New Roman" w:eastAsia="Times New Roman" w:hAnsi="Times New Roman"/>
          <w:b/>
          <w:bCs/>
          <w:sz w:val="24"/>
          <w:szCs w:val="24"/>
        </w:rPr>
        <w:t xml:space="preserve">Case A -- Open_Diagnose (incorrect + high confidence).</w:t>
      </w:r>
      <w:r>
        <w:rPr>
          <w:rFonts w:ascii="Times New Roman" w:cs="Times New Roman" w:eastAsia="Times New Roman" w:hAnsi="Times New Roman"/>
          <w:sz w:val="24"/>
          <w:szCs w:val="24"/>
        </w:rPr>
        <w:t xml:space="preserve"> A student encounters Q6, which asks what a "successful effort to lower inflation" would likely be accompanied by. The student selects "a decrease in the general level of prices" -- the incorrect answer -- and reports high confidence. Because the combination of incorrectness and high confidence produces a high diagnostic priority, the algorithm assigns an Open_Diagnose variant for the Inflation (Lowering) concept area. The student sees an open-ended prompt: </w:t>
      </w:r>
      <w:r>
        <w:rPr>
          <w:rFonts w:ascii="Times New Roman" w:cs="Times New Roman" w:eastAsia="Times New Roman" w:hAnsi="Times New Roman"/>
          <w:i/>
          <w:iCs/>
          <w:sz w:val="24"/>
          <w:szCs w:val="24"/>
        </w:rPr>
        <w:t xml:space="preserve">"You chose 'a decrease in the general level of prices.' In your own words, explain what happens to prices when inflation is lowered."</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"If inflation goes down, prices should go down too -- that's what lower inflation means."</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(INF-01: confuses a decrease in the rate of price increase with an actual decrease in prices) and assigns taxonomy codes. The classification distinguishes this from a knowledge gap (the student has an active belief, not an absence of knowledge) and from a selection error (the student's reasoning is consistent with the wrong answer, not inconsistent with it).</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is an open-ended prompt assigned when a student answers incorrectly with high confidence. Its diagnostic goal is to distinguish three response types: misconception (a specific wrong mental model), knowledge gap (absence of knowledge), or selection error (correct understanding despite the wrong answer choice).</w:t>
      </w:r>
    </w:p>
    <w:p>
      <w:pPr>
        <w:spacing w:line="360" w:after="200"/>
      </w:pPr>
      <w:r>
        <w:rPr>
          <w:rFonts w:ascii="Times New Roman" w:cs="Times New Roman" w:eastAsia="Times New Roman" w:hAnsi="Times New Roman"/>
          <w:b/>
          <w:bCs/>
          <w:sz w:val="24"/>
          <w:szCs w:val="24"/>
        </w:rPr>
        <w:t xml:space="preserve">Case B -- Open_Confirm (correct + low confidence).</w:t>
      </w:r>
      <w:r>
        <w:rPr>
          <w:rFonts w:ascii="Times New Roman" w:cs="Times New Roman" w:eastAsia="Times New Roman" w:hAnsi="Times New Roman"/>
          <w:sz w:val="24"/>
          <w:szCs w:val="24"/>
        </w:rPr>
        <w:t xml:space="preserve"> The same student answers Q29 correctly -- "bond prices fall when interest rates rise" -- but reports low confidence. Because a correct answer paired with low confidence leaves residual uncertainty about whether the student genuinely understands the concept, the algorithm assigns an Open_Confirm variant. The prompt asks: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"I'm not really sure, I think I read it somewhere but I don't remember why."</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 the student cannot articulate the reasoning behind the correct answer. Without this follow-up, the anchor score of 100% on Q29 would overstate the student's understanding.</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is an open-ended prompt assigned when a student answers correctly with low confidence. Its diagnostic goal is to distinguish three response types: verified (genuine understanding), partial (incomplete reasoning), or likely guess (no substantive understanding despite the correct answer).</w:t>
      </w:r>
    </w:p>
    <w:p>
      <w:pPr>
        <w:spacing w:line="360" w:after="200"/>
      </w:pPr>
      <w:r>
        <w:rPr>
          <w:rFonts w:ascii="Times New Roman" w:cs="Times New Roman" w:eastAsia="Times New Roman" w:hAnsi="Times New Roman"/>
          <w:sz w:val="24"/>
          <w:szCs w:val="24"/>
        </w:rPr>
        <w:t xml:space="preserve">Together, these two cases illustrate the SDM-10's central contribution: standard MCQ scores classify responses as simply correct or incorrect, while the diagnostic module reveals whether incorrect answers reflect misconceptions, knowledge gaps, or format-induced errors, and whether correct answers reflect genuine understanding or fortunate guessing.</w:t>
      </w:r>
    </w:p>
    <w:p>
      <w:pPr>
        <w:pStyle w:val="Heading2"/>
        <w:spacing w:before="360" w:after="180"/>
      </w:pPr>
      <w:r>
        <w:rPr>
          <w:rFonts w:ascii="Times New Roman" w:cs="Times New Roman" w:eastAsia="Times New Roman" w:hAnsi="Times New Roman"/>
          <w:sz w:val="24"/>
          <w:szCs w:val="24"/>
        </w:rPr>
        <w:t xml:space="preserve">4.2 Adaptive Selection and Diagnostic Priority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(six variants per anchor knowledge item) using an information deficit model that prioritizes subcategories where the anchor response left the most residual uncertainty about the student's understanding. The selection algorithm computes a diagnostic priority score for each of the 26 knowledge subcategories based on correctness, confidence, and item format (True/False vs. multiple choice). Higher scores indicate greater residual uncertainty; incorrect responses with high confidence receive the highest priority, signaling a likely misconception. The format-aware adjustment reflects differential guessing probability (50% for True/False vs. ~25% for MCQ). A three-phase selection procedure enforces domain minimums, fills remaining slots by descending priority, and applies an understanding-verification fallback when fewer than 10 subcategories are flagged. Open-ended items are capped at three per student to limit response burden. See Appendix A for the complete selection specification.</w:t>
      </w:r>
    </w:p>
    <w:p>
      <w:pPr>
        <w:pStyle w:val="Heading2"/>
        <w:spacing w:before="360" w:after="180"/>
      </w:pPr>
      <w:r>
        <w:rPr>
          <w:rFonts w:ascii="Times New Roman" w:cs="Times New Roman" w:eastAsia="Times New Roman" w:hAnsi="Times New Roman"/>
          <w:sz w:val="24"/>
          <w:szCs w:val="24"/>
        </w:rPr>
        <w:t xml:space="preserve">4.3 Variant Types and Three-Way Classification</w:t>
      </w:r>
    </w:p>
    <w:p>
      <w:pPr>
        <w:spacing w:line="360" w:after="200"/>
      </w:pPr>
      <w:r>
        <w:rPr>
          <w:rFonts w:ascii="Times New Roman" w:cs="Times New Roman" w:eastAsia="Times New Roman" w:hAnsi="Times New Roman"/>
          <w:sz w:val="24"/>
          <w:szCs w:val="24"/>
        </w:rPr>
        <w:t xml:space="preserve">Each SDM-10 item is drawn from one of six variant types determined by the student's anchor response pattern. Incorrect responses with high confidence trigger Open_Diagnose (open-ended); incorrect with mid confidence trigger Lower_MCQ; incorrect with low confidence trigger Lower_TF. Correct responses with low confidence trigger Open_Confirm (open-ended); correct with mid confidence trigger Same_MCQ; correct with high confidence trigger Higher_MCQ. The variant assignment rules are specified in Appendix A (Table A.3).</w:t>
      </w: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4.4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OpenRouter). The model was selected through an 11-model concordance protocol evaluating schema compliance, error rate, classification nuance, throughput, and cost (Appendix D). Each response is processed with an item-specific prompt containing anchor question context, the student's answer and confidence, applicable misconception families, calibration examples, and a structured decision tree. The model returns a JSON classification including diagnosis type, taxonomy codes, credit score, confidence level, evidence quote, and reasoning summary. All item selection decisions are deterministic and rule-based; the language model is used only for open-ended response classification.</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spacing w:line="360" w:after="200"/>
      </w:pPr>
      <w:r>
        <w:rPr>
          <w:rFonts w:ascii="Times New Roman" w:cs="Times New Roman" w:eastAsia="Times New Roman" w:hAnsi="Times New Roman"/>
          <w:sz w:val="24"/>
          <w:szCs w:val="24"/>
        </w:rPr>
        <w:t xml:space="preserve">The platform architecture (Next.js 14, PostgreSQL 15, PgBouncer) and student authentication protocol (one-way SHA-256 hashing with per-course pepper) are described in Appendix F.</w:t>
      </w:r>
    </w:p>
    <w:p>
      <w:pPr>
        <w:pStyle w:val="Heading2"/>
        <w:spacing w:before="360" w:after="180"/>
      </w:pPr>
      <w:r>
        <w:rPr>
          <w:rFonts w:ascii="Times New Roman" w:cs="Times New Roman" w:eastAsia="Times New Roman" w:hAnsi="Times New Roman"/>
          <w:sz w:val="24"/>
          <w:szCs w:val="24"/>
        </w:rPr>
        <w:t xml:space="preserve">5.1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high-priority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6, and 7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pStyle w:val="Heading2"/>
        <w:spacing w:before="360" w:after="180"/>
      </w:pPr>
      <w:r>
        <w:rPr>
          <w:rFonts w:ascii="Times New Roman" w:cs="Times New Roman" w:eastAsia="Times New Roman" w:hAnsi="Times New Roman"/>
          <w:sz w:val="24"/>
          <w:szCs w:val="24"/>
        </w:rPr>
        <w:t xml:space="preserve">6.2 Sample Demographics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sz w:val="24"/>
          <w:szCs w:val="24"/>
        </w:rPr>
        <w:t xml:space="preserve">To protect student privacy, demographic cells with fewer than 10 respondents are collapsed into an "Other/Prefer not to say" grouping or reported as suppressed (&lt; 10), to reduce re-identification risk.</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1"/>
        <w:pageBreakBefore/>
        <w:spacing w:before="480" w:after="240"/>
      </w:pPr>
      <w:r>
        <w:rPr>
          <w:rFonts w:ascii="Times New Roman" w:cs="Times New Roman" w:eastAsia="Times New Roman" w:hAnsi="Times New Roman"/>
          <w:sz w:val="24"/>
          <w:szCs w:val="24"/>
        </w:rPr>
        <w:t xml:space="preserve">7. Results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2"/>
        <w:spacing w:before="360" w:after="180"/>
      </w:pPr>
      <w:r>
        <w:rPr>
          <w:rFonts w:ascii="Times New Roman" w:cs="Times New Roman" w:eastAsia="Times New Roman" w:hAnsi="Times New Roman"/>
          <w:sz w:val="24"/>
          <w:szCs w:val="24"/>
        </w:rPr>
        <w:t xml:space="preserve">7.1 Anchor Score Distribution and Domain Breakdown</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7.1: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7.2: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&gt;=70%),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2"/>
        <w:spacing w:before="360" w:after="180"/>
      </w:pPr>
      <w:r>
        <w:rPr>
          <w:rFonts w:ascii="Times New Roman" w:cs="Times New Roman" w:eastAsia="Times New Roman" w:hAnsi="Times New Roman"/>
          <w:sz w:val="24"/>
          <w:szCs w:val="24"/>
        </w:rPr>
        <w:t xml:space="preserve">7.2 Confidence Calibration Patterns</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spacing w:line="360" w:after="200"/>
      </w:pPr>
      <w:r>
        <w:rPr>
          <w:rFonts w:ascii="Times New Roman" w:cs="Times New Roman" w:eastAsia="Times New Roman" w:hAnsi="Times New Roman"/>
          <w:sz w:val="24"/>
          <w:szCs w:val="24"/>
        </w:rPr>
        <w:t xml:space="preserve">Figure 5 presents the distribution of students across confidence calibration categories based on the alignment between average confidence ratings and anchor accuracy. Calibration patterns inform the SDM-10's adaptive logic: students with high confidence and low accuracy (overconfident) are more likely to trigger Open_Diagnose items, while students with low confidence and high accuracy (underconfident) are more likely to trigger Open_Confirm items. The distribution shows that the majority of students fall within calibrated or mildly overconfident ranges, with a smaller tail of strongly overconfident students whose high-confidence errors drive the diagnose subsample analyzed in Sections 7.3--7.6.</w:t>
      </w:r>
    </w:p>
    <w:p>
      <w:pPr>
        <w:pStyle w:val="Heading2"/>
        <w:spacing w:before="360" w:after="180"/>
      </w:pPr>
      <w:r>
        <w:rPr>
          <w:rFonts w:ascii="Times New Roman" w:cs="Times New Roman" w:eastAsia="Times New Roman" w:hAnsi="Times New Roman"/>
          <w:sz w:val="24"/>
          <w:szCs w:val="24"/>
        </w:rPr>
        <w:t xml:space="preserve">7.3 Diagnostic Classification: Diagnose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diagnose results below reflect students who answered incorrectly with high confidence (the SDM-10 diagnose trigger condition). These rates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7.3: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spacing w:line="360" w:after="200"/>
      </w:pPr>
      <w:r>
        <w:rPr>
          <w:rFonts w:ascii="Times New Roman" w:cs="Times New Roman" w:eastAsia="Times New Roman" w:hAnsi="Times New Roman"/>
          <w:b/>
          <w:bCs/>
          <w:sz w:val="24"/>
          <w:szCs w:val="24"/>
        </w:rPr>
        <w:t xml:space="preserve">Table 7.4: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7 caveat).</w:t>
      </w:r>
    </w:p>
    <w:p>
      <w:pPr>
        <w:spacing w:line="360" w:after="200"/>
      </w:pPr>
      <w:r>
        <w:rPr>
          <w:rFonts w:ascii="Times New Roman" w:cs="Times New Roman" w:eastAsia="Times New Roman" w:hAnsi="Times New Roman"/>
          <w:b/>
          <w:bCs/>
          <w:sz w:val="24"/>
          <w:szCs w:val="24"/>
        </w:rPr>
        <w:t xml:space="preserve">Table 7.5: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2"/>
        <w:spacing w:before="360" w:after="180"/>
      </w:pPr>
      <w:r>
        <w:rPr>
          <w:rFonts w:ascii="Times New Roman" w:cs="Times New Roman" w:eastAsia="Times New Roman" w:hAnsi="Times New Roman"/>
          <w:sz w:val="24"/>
          <w:szCs w:val="24"/>
        </w:rPr>
        <w:t xml:space="preserve">7.4 Diagnostic Classification: Confirm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confirm results below reflect students who answered correctly but with low confidence (the SDM-10 confirm trigger condition). The 13.7% guess rate applies to that conditioned subsample, not to all correct responses.</w:t>
      </w:r>
    </w:p>
    <w:p>
      <w:pPr>
        <w:spacing w:line="360" w:after="200"/>
      </w:pPr>
      <w:r>
        <w:rPr>
          <w:rFonts w:ascii="Times New Roman" w:cs="Times New Roman" w:eastAsia="Times New Roman" w:hAnsi="Times New Roman"/>
          <w:b/>
          <w:bCs/>
          <w:sz w:val="24"/>
          <w:szCs w:val="24"/>
        </w:rPr>
        <w:t xml:space="preserve">Table 7.6: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44.6% demonstrated genuine understanding in their explanation (verified), 41.8% showed partial understanding, and 13.7% were classified as likely guesses -- their explanations showed no understanding of the underlying concept despite selecting the correct answer.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7.7: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7.8: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2"/>
        <w:spacing w:before="360" w:after="180"/>
      </w:pPr>
      <w:r>
        <w:rPr>
          <w:rFonts w:ascii="Times New Roman" w:cs="Times New Roman" w:eastAsia="Times New Roman" w:hAnsi="Times New Roman"/>
          <w:sz w:val="24"/>
          <w:szCs w:val="24"/>
        </w:rPr>
        <w:t xml:space="preserve">7.5 Misconception Clusters by Domain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7.9: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pPr>
        <w:pStyle w:val="Heading2"/>
        <w:spacing w:before="360" w:after="180"/>
      </w:pPr>
      <w:r>
        <w:rPr>
          <w:rFonts w:ascii="Times New Roman" w:cs="Times New Roman" w:eastAsia="Times New Roman" w:hAnsi="Times New Roman"/>
          <w:sz w:val="24"/>
          <w:szCs w:val="24"/>
        </w:rPr>
        <w:t xml:space="preserve">7.6 Selection Error Patterns and Item Revision Targets</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selection error rates below are conditional on the SDM-10 diagnose trigger (incorrect + high confidence). They characterize the composition of errors within that subsample rather than cohort-wide rates.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7.10: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2"/>
        <w:spacing w:before="360" w:after="180"/>
      </w:pPr>
      <w:r>
        <w:rPr>
          <w:rFonts w:ascii="Times New Roman" w:cs="Times New Roman" w:eastAsia="Times New Roman" w:hAnsi="Times New Roman"/>
          <w:sz w:val="24"/>
          <w:szCs w:val="24"/>
        </w:rPr>
        <w:t xml:space="preserve">7.7 AI Scoring Validation</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7.11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7.11: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1"/>
        <w:pageBreakBefore/>
        <w:spacing w:before="480" w:after="240"/>
      </w:pPr>
      <w:r>
        <w:rPr>
          <w:rFonts w:ascii="Times New Roman" w:cs="Times New Roman" w:eastAsia="Times New Roman" w:hAnsi="Times New Roman"/>
          <w:sz w:val="24"/>
          <w:szCs w:val="24"/>
        </w:rPr>
        <w:t xml:space="preserve">8. Discussion</w:t>
      </w:r>
    </w:p>
    <w:p>
      <w:pPr>
        <w:pStyle w:val="Heading2"/>
        <w:spacing w:before="360" w:after="180"/>
      </w:pPr>
      <w:r>
        <w:rPr>
          <w:rFonts w:ascii="Times New Roman" w:cs="Times New Roman" w:eastAsia="Times New Roman" w:hAnsi="Times New Roman"/>
          <w:sz w:val="24"/>
          <w:szCs w:val="24"/>
        </w:rPr>
        <w:t xml:space="preserve">8.1 Key Findings</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All SDM-10 prevalence rates reported in Section 7 reflect conditioned subsamples -- diagnose items target students who answered incorrectly with high confidence, and confirm items target students who answered correctly with low confidence -- not random cross-sections of the class. Four principal findings emerged.</w:t>
      </w:r>
    </w:p>
    <w:p>
      <w:pPr>
        <w:spacing w:line="360" w:after="200"/>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Among students who answered incorrectly with high confidence, 31.9% of classified responses demonstrated correct understanding of the underlying concept. On individual items, selection error rates reached 81% (Q36, diversification), 41% (Q10, credit reports), and 32% (Q2, mortgages). These students receive a score of zero on the anchor assessment despite possessing the targeted knowledge. The pattern is concentrated on True/False items and negation-framed MCQ items, indicating that item format rather than student knowledge drives the errors.</w:t>
      </w:r>
    </w:p>
    <w:p>
      <w:pPr>
        <w:spacing w:line="360" w:after="200"/>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Among students who answered correctly but with low confidence, 13.7% were classified as likely guesses -- they could not articulate any understanding of the concept they ostensibly answered correctly. On individual items such as Q29 (33.3% guess rate) and Q13 (31.8%), anchor scores overestimate true comprehension.</w:t>
      </w:r>
    </w:p>
    <w:p>
      <w:pPr>
        <w:spacing w:line="360" w:after="200"/>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Five dominant clusters emerged: inflation mechanics confusion (INF-01, the most frequent code at n = 42), risk-return reasoning from exceptions (RISK-02), insurance purpose confusion (INS-01/INS-02), empathy-driven reasoning (INF-05), and format-induced errors. These clusters are specific enough to inform targeted instructional interventions. Because the SDM-10 selects for high-priority responses, these rates should not be extrapolated to the full class without adjusting for item-level coverage (see Limitation 2).</w:t>
      </w:r>
    </w:p>
    <w:p>
      <w:pPr>
        <w:spacing w:line="360" w:after="200"/>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The SDM-10's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w:t>
      </w:r>
    </w:p>
    <w:p>
      <w:pPr>
        <w:pStyle w:val="Heading2"/>
        <w:spacing w:before="360" w:after="180"/>
      </w:pPr>
      <w:r>
        <w:rPr>
          <w:rFonts w:ascii="Times New Roman" w:cs="Times New Roman" w:eastAsia="Times New Roman" w:hAnsi="Times New Roman"/>
          <w:sz w:val="24"/>
          <w:szCs w:val="24"/>
        </w:rPr>
        <w:t xml:space="preserve">8.2 Course Improvement Recommendations</w:t>
      </w:r>
    </w:p>
    <w:p>
      <w:pPr>
        <w:spacing w:line="360" w:after="200"/>
      </w:pPr>
      <w:r>
        <w:rPr>
          <w:rFonts w:ascii="Times New Roman" w:cs="Times New Roman" w:eastAsia="Times New Roman" w:hAnsi="Times New Roman"/>
          <w:sz w:val="24"/>
          <w:szCs w:val="24"/>
        </w:rPr>
        <w:t xml:space="preserve">The diagnostic findings from Section 7 translate into 10 specific recommendations for QUIN 102 instruction and instrument revision. Each recommendation is anchored to a specific finding and evidence source; the final column describes how Paper 2 will evaluate whether the change was effective.</w:t>
      </w:r>
    </w:p>
    <w:p>
      <w:pPr>
        <w:spacing w:line="360" w:after="200"/>
      </w:pPr>
      <w:r>
        <w:rPr>
          <w:rFonts w:ascii="Times New Roman" w:cs="Times New Roman" w:eastAsia="Times New Roman" w:hAnsi="Times New Roman"/>
          <w:b/>
          <w:bCs/>
          <w:sz w:val="24"/>
          <w:szCs w:val="24"/>
        </w:rPr>
        <w:t xml:space="preserve">Table 8.1: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Recommended Change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Paper 2 Evaluation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 42/53 classified)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Q6 row; Table 7.9, top code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explicit instruction to distinguishing "lower inflation" (slower price increases) from "falling prices" (deflation), using rate-vs-level visual aids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 diagnose responses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primary function (INS-01/INS-02, 23/28)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Q12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 using frequency-vs-severity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(Q30, 14/17) and 78% (Q35, 7/9) of high-confidence errors reflect reasoning-from-exceptions (RISK-02)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Q30/Q35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principle using financial-domain examples (historical asset class returns) rather than abstract statements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 across Q30 and Q35</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caused by T/F format with negation (34/42)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Q36 row; Section 7.6 case study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 format for the post-assessment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caused by "which is FALSE" negation framing (16/39)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Q10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Q10 to remove negation framing (rewrite as positive identification)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11/24) and 33% guess rate among correct respondents (4/12)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Q29 row; Table 7.7, Q29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explaining inverse interest-rate/price relationship with worked numerical examples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INT-06 prevalence, and confirm guess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32% knowledge gap rate (6/19) -- unfamiliarity with deductible terminology rather than a specific misconception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Q13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covering deductible, premium, copay, and out-of-pocket maximum definitions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(83% SE, 5/6) and Q14 (71% SE, 5/7) show format-driven errors disproportionate to conceptual misunderstanding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Q9/Q14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rephrasing or converting to MCQ</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(36% KG, 8/22) and Q8 (56% misconception INT-05, 19/34) reveal gaps in borrowing mechanics and loan negotiation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Q2/Q8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instructional module covering mortgage term/interest tradeoffs and consumer loan negotiation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 track INT-05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 (Section 7.5)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7.5 cross-item patterns; Figure 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 from pre-course data; distribute targeted review materials before mid-term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within-subject misconception resolution rate (pre-post comparison of individual student profiles)</w:t>
            </w:r>
          </w:p>
        </w:tc>
      </w:tr>
    </w:tbl>
    <w:p>
      <w:pPr>
        <w:spacing w:after="200"/>
      </w:pPr>
    </w:p>
    <w:p>
      <w:pPr>
        <w:spacing w:line="360" w:after="200"/>
      </w:pPr>
      <w:r>
        <w:rPr>
          <w:rFonts w:ascii="Times New Roman" w:cs="Times New Roman" w:eastAsia="Times New Roman" w:hAnsi="Times New Roman"/>
          <w:sz w:val="24"/>
          <w:szCs w:val="24"/>
        </w:rPr>
        <w:t xml:space="preserve">Recommendations 1--3 and 6--7 target instructional content; recommendations 4--5 and 8 target instrument revision; recommendation 9 targets both; recommendation 10 targets instructional delivery. All instructional changes will be implemented before the post-assessment window, enabling Paper 2 to compare pre-post rates on the specific metrics identified above.</w:t>
      </w:r>
    </w:p>
    <w:p>
      <w:pPr>
        <w:pStyle w:val="Heading2"/>
        <w:spacing w:before="360" w:after="180"/>
      </w:pPr>
      <w:r>
        <w:rPr>
          <w:rFonts w:ascii="Times New Roman" w:cs="Times New Roman" w:eastAsia="Times New Roman" w:hAnsi="Times New Roman"/>
          <w:sz w:val="24"/>
          <w:szCs w:val="24"/>
        </w:rPr>
        <w:t xml:space="preserve">8.3 Implications for Risk Literacy Measurement</w:t>
      </w:r>
    </w:p>
    <w:p>
      <w:pPr>
        <w:spacing w:line="360" w:after="200"/>
      </w:pPr>
      <w:r>
        <w:rPr>
          <w:rFonts w:ascii="Times New Roman" w:cs="Times New Roman" w:eastAsia="Times New Roman" w:hAnsi="Times New Roman"/>
          <w:sz w:val="24"/>
          <w:szCs w:val="24"/>
        </w:rPr>
        <w:t xml:space="preserve">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pStyle w:val="Heading2"/>
        <w:spacing w:before="360" w:after="180"/>
      </w:pPr>
      <w:r>
        <w:rPr>
          <w:rFonts w:ascii="Times New Roman" w:cs="Times New Roman" w:eastAsia="Times New Roman" w:hAnsi="Times New Roman"/>
          <w:sz w:val="24"/>
          <w:szCs w:val="24"/>
        </w:rPr>
        <w:t xml:space="preserve">8.4 Oral Diagnostics as Future Modality</w:t>
      </w:r>
    </w:p>
    <w:p>
      <w:pPr>
        <w:spacing w:line="360" w:after="200"/>
      </w:pPr>
      <w:r>
        <w:rPr>
          <w:rFonts w:ascii="Times New Roman" w:cs="Times New Roman" w:eastAsia="Times New Roman" w:hAnsi="Times New Roman"/>
          <w:sz w:val="24"/>
          <w:szCs w:val="24"/>
        </w:rPr>
        <w:t xml:space="preserve">A promising extension of the SDM-10 framework is an oral diagnostic modality implemented as a structured, AI-mediated interview calibrated by each student's highest-priority SDM findings. Written open-ended prompts can yield thin responses that limit diagnostic signal, while a short conversation can adaptively probe reasoning, distinguish misreading from conceptual misunderstanding, and classify misconceptions by depth --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The oral diagnostic would be designed as a constrained clinical-interview script with branching logic: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 including speaking anxiety, language effects, transcription error, and privacy risks associated with voice data -- this modality is proposed only as a small IRB-reviewed volunteer pilot (~20--30 students) to quantify incremental diagnostic value before any scaling. This oral modality is future work and would be implemented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9.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5.1). We exclude the NULL cohort from all research analyses per standard practice (absence of affirmative consent is treated as non-consent). A representativeness check (Section 5.1)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5.1),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10.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spacing w:line="360" w:after="200"/>
      </w:pPr>
      <w:r>
        <w:rPr>
          <w:rFonts w:ascii="Times New Roman" w:cs="Times New Roman" w:eastAsia="Times New Roman" w:hAnsi="Times New Roman"/>
          <w:sz w:val="24"/>
          <w:szCs w:val="24"/>
        </w:rPr>
        <w:t xml:space="preserve">The pilot deployment reported in Sections 4--7 produced several outputs that directly shape the planned Paper 2 design, including instrument revision targets (Section 7.6), a misconception taxonomy for pre-post coding (Appendix C), and baseline coverage estimates (Table 7.5) that inform statistical power for item-level comparisons.</w:t>
      </w:r>
    </w:p>
    <w:p>
      <w:pPr>
        <w:spacing w:line="360" w:after="200"/>
      </w:pPr>
      <w:r>
        <w:rPr>
          <w:rFonts w:ascii="Times New Roman" w:cs="Times New Roman" w:eastAsia="Times New Roman" w:hAnsi="Times New Roman"/>
          <w:sz w:val="24"/>
          <w:szCs w:val="24"/>
        </w:rPr>
        <w:t xml:space="preserve">If approved by the Loyola University Chicago IRB, the following study is planned. A post-course assessment would be administered during the last week of the Spring 2026 semester, using the same 40-item anchor assessment and SDM-10 module with an IRB-reviewed consent process for human-subjects research. Paired pre-post analyses would compute learning gains as the difference between post-course and pre-course scores for each student, both overall and by domain. Paired t-tests (or nonparametric equivalents) would assess the statistical significance of mean gains, with standardized effect sizes (within-student Cohen's d) reported.</w:t>
      </w:r>
    </w:p>
    <w:p>
      <w:pPr>
        <w:spacing w:line="360" w:after="200"/>
      </w:pPr>
      <w:r>
        <w:rPr>
          <w:rFonts w:ascii="Times New Roman" w:cs="Times New Roman" w:eastAsia="Times New Roman" w:hAnsi="Times New Roman"/>
          <w:sz w:val="24"/>
          <w:szCs w:val="24"/>
        </w:rPr>
        <w:t xml:space="preserve">A multivariable regression framework is planned to model heterogeneity in learning gains as a function of baseline covariates, including demographics, financial background, work status, financial stress, self-rated knowledge, prior product experience, and preference-item responses (Q15--Q28). Separate domain-specific models would reveal whether the predictors of learning gains differ across borrowing, investment, and risk management.</w:t>
      </w:r>
    </w:p>
    <w:p>
      <w:pPr>
        <w:spacing w:line="360" w:after="200"/>
      </w:pPr>
      <w:r>
        <w:rPr>
          <w:rFonts w:ascii="Times New Roman" w:cs="Times New Roman" w:eastAsia="Times New Roman" w:hAnsi="Times New Roman"/>
          <w:sz w:val="24"/>
          <w:szCs w:val="24"/>
        </w:rPr>
        <w:t xml:space="preserve">Psychometric validation is planned contingent on adequate sample size. Exploratory Factor Analysis would assess dimensionality within and across domains, Cronbach's alpha would evaluate internal consistency, and item-level statistics would identify items for refinement in future administrations. If IRB-approved, demographic and financial background subgroup comparisons (by gender, race/ethnicity, first-generation status, work experience, financial stress) would be reported with appropriate transparency practices for multiple comparisons.</w:t>
      </w:r>
    </w:p>
    <w:p>
      <w:pPr>
        <w:spacing w:line="360" w:after="200"/>
      </w:pPr>
      <w:r>
        <w:rPr>
          <w:rFonts w:ascii="Times New Roman" w:cs="Times New Roman" w:eastAsia="Times New Roman" w:hAnsi="Times New Roman"/>
          <w:sz w:val="24"/>
          <w:szCs w:val="24"/>
        </w:rPr>
        <w:t xml:space="preserve">A central component of Paper 2 would be the SDM-10 pre-post comparison. Pre-post changes in misconception prevalence, selection error rates, and the distribution of three-way classifications would be analyzed to assess whether instruction reduces specific misconception clusters and improves the alignment between student knowledge and item responses. Paper 2 would pre-specify which misconception codes from the taxonomy are expected to change, based on QUIN 102 curriculum coverage and the 10 recommendations in Table 8.1. Of particular interest is whether the instructional interventions targeting the five dominant misconception clusters identified in Section 7.5 produce measurable reductions in misconception prevalence, and whether the instrument revisions targeting high selection error items (Q36, Q10, Q9, Q14) reduce format-driven errors as predicted.</w:t>
      </w:r>
    </w:p>
    <w:p>
      <w:pPr>
        <w:spacing w:line="360" w:after="200"/>
      </w:pPr>
      <w:r>
        <w:rPr>
          <w:rFonts w:ascii="Times New Roman" w:cs="Times New Roman" w:eastAsia="Times New Roman" w:hAnsi="Times New Roman"/>
          <w:sz w:val="24"/>
          <w:szCs w:val="24"/>
        </w:rPr>
        <w:t xml:space="preserve">Subgroup analyses would examine whether learning gains vary by demographic and financial background characteristics, including gender, race/ethnicity, first-generation status, work experience, and financial stress. These analyses are contingent on IRB approval and would be reported with appropriate transparency practices for multiple comparisons, including false discovery rate adjustments where applicable.</w:t>
      </w:r>
    </w:p>
    <w:p>
      <w:pPr>
        <w:spacing w:line="360" w:after="200"/>
      </w:pPr>
      <w:r>
        <w:rPr>
          <w:rFonts w:ascii="Times New Roman" w:cs="Times New Roman" w:eastAsia="Times New Roman" w:hAnsi="Times New Roman"/>
          <w:sz w:val="24"/>
          <w:szCs w:val="24"/>
        </w:rPr>
        <w:t xml:space="preserve">The publishable evaluation would be conducted only on IRB-consented data. The existing consent infrastructure (Section 5.1) separates instructional use from research use; this separation would be maintained in the post-assessment. All student data would remain de-identified using the one-way hashing architecture described in Appendix F. No raw student identifiers would appear in any dataset or publication. To protect student privacy in subgroup analyses, Paper 2 would suppress any demographic cell with fewer than 10 observations, consistent with the suppression rule applied in Section 6.2. The post-assessment consent screen would implement a forced active choice design (no default selection) to address the status quo bias limitation identified in Section 9.</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4.4.</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high-priority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diagnostic priority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Diagnostic Priority Score Mapping (Correctness x Confidence x Format)</w:t>
      </w:r>
    </w:p>
    <w:p>
      <w:pPr>
        <w:spacing w:line="360" w:after="200"/>
      </w:pPr>
      <w:r>
        <w:rPr>
          <w:rFonts w:ascii="Times New Roman" w:cs="Times New Roman" w:eastAsia="Times New Roman" w:hAnsi="Times New Roman"/>
          <w:sz w:val="24"/>
          <w:szCs w:val="24"/>
        </w:rPr>
        <w:t xml:space="preserve">The diagnostic priority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highest-priority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Priority-based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diagnostic priority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Understanding-verification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are flagged for follow-up, add understanding-verification items (labeled </w:t>
            </w:r>
            <w:r>
              <w:rPr>
                <w:rFonts w:ascii="Courier New" w:cs="Courier New" w:eastAsia="Courier New" w:hAnsi="Courier New"/>
                <w:sz w:val="22"/>
                <w:szCs w:val="22"/>
              </w:rPr>
              <w:t xml:space="preserve">mastery</w:t>
            </w:r>
            <w:r>
              <w:rPr>
                <w:rFonts w:ascii="Times New Roman" w:cs="Times New Roman" w:eastAsia="Times New Roman" w:hAnsi="Times New Roman"/>
                <w:sz w:val="22"/>
                <w:szCs w:val="22"/>
              </w:rPr>
              <w:t xml:space="preserve"> in the codebase)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Diagnostic Priority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4.4),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The following data files are available for download at: </w:t>
      </w:r>
      <w:r>
        <w:rPr>
          <w:rFonts w:ascii="Times New Roman" w:cs="Times New Roman" w:eastAsia="Times New Roman" w:hAnsi="Times New Roman"/>
          <w:color w:val="0563C1"/>
          <w:sz w:val="24"/>
          <w:szCs w:val="24"/>
          <w:u w:val="single"/>
        </w:rPr>
        <w:t xml:space="preserve">https://financial-literacy.qualiaai.fr/admin/documents</w:t>
      </w:r>
    </w:p>
    <w:p>
      <w:pPr>
        <w:pStyle w:val="ListParagraph"/>
        <w:numPr>
          <w:ilvl w:val="0"/>
          <w:numId w:val="3"/>
        </w:numPr>
        <w:spacing w:line="360" w:after="100"/>
      </w:pP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 Primary analysis dataset containing all anchor and SDM-10 responses for the research-consented subset. Fields: attempt_id, submission_type, submitted_at, duration_s, item_id, item_type, domain, subdomain, is_anchor, is_scored, student_answer, item_score, confidence, answered_at.</w:t>
      </w:r>
    </w:p>
    <w:p>
      <w:pPr>
        <w:pStyle w:val="ListParagraph"/>
        <w:numPr>
          <w:ilvl w:val="0"/>
          <w:numId w:val="3"/>
        </w:numPr>
        <w:spacing w:line="360" w:after="100"/>
      </w:pPr>
      <w:r>
        <w:rPr>
          <w:rFonts w:ascii="Courier New" w:cs="Courier New" w:eastAsia="Courier New" w:hAnsi="Courier New"/>
          <w:sz w:val="24"/>
          <w:szCs w:val="24"/>
        </w:rPr>
        <w:t xml:space="preserve">all_responses_421_students.csv</w:t>
      </w:r>
      <w:r>
        <w:rPr>
          <w:rFonts w:ascii="Times New Roman" w:cs="Times New Roman" w:eastAsia="Times New Roman" w:hAnsi="Times New Roman"/>
          <w:sz w:val="24"/>
          <w:szCs w:val="24"/>
        </w:rPr>
        <w:t xml:space="preserve"> -- Operational dataset including non-consented responses. Used for operational context only; not included in research analyses.</w:t>
      </w:r>
    </w:p>
    <w:p>
      <w:pPr>
        <w:pStyle w:val="ListParagraph"/>
        <w:numPr>
          <w:ilvl w:val="0"/>
          <w:numId w:val="3"/>
        </w:numPr>
        <w:spacing w:line="360" w:after="100"/>
      </w:pPr>
      <w:r>
        <w:rPr>
          <w:rFonts w:ascii="Courier New" w:cs="Courier New" w:eastAsia="Courier New" w:hAnsi="Courier New"/>
          <w:sz w:val="24"/>
          <w:szCs w:val="24"/>
        </w:rPr>
        <w:t xml:space="preserve">question_bank_40items.csv</w:t>
      </w:r>
      <w:r>
        <w:rPr>
          <w:rFonts w:ascii="Times New Roman" w:cs="Times New Roman" w:eastAsia="Times New Roman" w:hAnsi="Times New Roman"/>
          <w:sz w:val="24"/>
          <w:szCs w:val="24"/>
        </w:rPr>
        <w:t xml:space="preserve"> -- Item metadata and answer options for all 40 anchor items plus 13 baseline covariates. Fields: section, subsection, range, question_id, question_text, tags, options, correct_answer.</w:t>
      </w:r>
    </w:p>
    <w:p>
      <w:pPr>
        <w:pStyle w:val="ListParagraph"/>
        <w:numPr>
          <w:ilvl w:val="0"/>
          <w:numId w:val="3"/>
        </w:numPr>
        <w:spacing w:line="360" w:after="100"/>
      </w:pP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 Item-level diagnose classification results showing misconception, knowledge gap, and selection error percentages with Layer 1 and Layer 2 taxonomy codes for each anchor item.</w:t>
      </w:r>
    </w:p>
    <w:p>
      <w:pPr>
        <w:pStyle w:val="ListParagraph"/>
        <w:numPr>
          <w:ilvl w:val="0"/>
          <w:numId w:val="3"/>
        </w:numPr>
        <w:spacing w:line="360" w:after="100"/>
      </w:pP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 Item-level confirm classification results showing verified, partial, and likely-guess percentages for each anchor item.</w:t>
      </w:r>
    </w:p>
    <w:p>
      <w:pPr>
        <w:pStyle w:val="ListParagraph"/>
        <w:numPr>
          <w:ilvl w:val="0"/>
          <w:numId w:val="3"/>
        </w:numPr>
        <w:spacing w:line="360" w:after="100"/>
      </w:pPr>
      <w:r>
        <w:rPr>
          <w:rFonts w:ascii="Courier New" w:cs="Courier New" w:eastAsia="Courier New" w:hAnsi="Courier New"/>
          <w:sz w:val="24"/>
          <w:szCs w:val="24"/>
        </w:rPr>
        <w:t xml:space="preserve">sdm_open_answers.csv</w:t>
      </w:r>
      <w:r>
        <w:rPr>
          <w:rFonts w:ascii="Times New Roman" w:cs="Times New Roman" w:eastAsia="Times New Roman" w:hAnsi="Times New Roman"/>
          <w:sz w:val="24"/>
          <w:szCs w:val="24"/>
        </w:rPr>
        <w:t xml:space="preserve"> -- De-identified open-ended response text from SDM-10 diagnose and confirm items.</w:t>
      </w:r>
    </w:p>
    <w:p>
      <w:pPr>
        <w:pStyle w:val="ListParagraph"/>
        <w:numPr>
          <w:ilvl w:val="0"/>
          <w:numId w:val="3"/>
        </w:numPr>
        <w:spacing w:line="360" w:after="100"/>
      </w:pPr>
      <w:r>
        <w:rPr>
          <w:rFonts w:ascii="Courier New" w:cs="Courier New" w:eastAsia="Courier New" w:hAnsi="Courier New"/>
          <w:sz w:val="24"/>
          <w:szCs w:val="24"/>
        </w:rPr>
        <w:t xml:space="preserve">misconception_taxonomy_observed.csv</w:t>
      </w:r>
      <w:r>
        <w:rPr>
          <w:rFonts w:ascii="Times New Roman" w:cs="Times New Roman" w:eastAsia="Times New Roman" w:hAnsi="Times New Roman"/>
          <w:sz w:val="24"/>
          <w:szCs w:val="24"/>
        </w:rPr>
        <w:t xml:space="preserve"> -- 62 observed misconception patterns mapped to items and subcategories, with Layer 1 codes, Layer 2 tags, and frequency counts.</w:t>
      </w:r>
    </w:p>
    <w:p>
      <w:pPr>
        <w:pStyle w:val="ListParagraph"/>
        <w:numPr>
          <w:ilvl w:val="0"/>
          <w:numId w:val="3"/>
        </w:numPr>
        <w:spacing w:line="360" w:after="100"/>
      </w:pPr>
      <w:r>
        <w:rPr>
          <w:rFonts w:ascii="Courier New" w:cs="Courier New" w:eastAsia="Courier New" w:hAnsi="Courier New"/>
          <w:sz w:val="24"/>
          <w:szCs w:val="24"/>
        </w:rPr>
        <w:t xml:space="preserve">model_selection_concordance.csv</w:t>
      </w:r>
      <w:r>
        <w:rPr>
          <w:rFonts w:ascii="Times New Roman" w:cs="Times New Roman" w:eastAsia="Times New Roman" w:hAnsi="Times New Roman"/>
          <w:sz w:val="24"/>
          <w:szCs w:val="24"/>
        </w:rPr>
        <w:t xml:space="preserve"> -- 11-model comparison for AI scorer selection, with schema compliance, error rates, throughput, cost estimates, and verdict for each model.</w:t>
      </w:r>
    </w:p>
    <w:p>
      <w:pPr>
        <w:pStyle w:val="ListParagraph"/>
        <w:numPr>
          <w:ilvl w:val="0"/>
          <w:numId w:val="3"/>
        </w:numPr>
        <w:spacing w:line="360" w:after="100"/>
      </w:pP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 Canonical SDM item bank containing 182 variant rows across 26 anchor items. Fields include anchor ID, variant type, trigger condition, question text, answer options, correct answer, scoring rubric, and misconception tags.</w:t>
      </w:r>
    </w:p>
    <w:p>
      <w:pPr>
        <w:pStyle w:val="Heading1"/>
        <w:pageBreakBefore/>
        <w:spacing w:before="480" w:after="240"/>
      </w:pPr>
      <w:r>
        <w:rPr>
          <w:rFonts w:ascii="Times New Roman" w:cs="Times New Roman" w:eastAsia="Times New Roman" w:hAnsi="Times New Roman"/>
          <w:sz w:val="24"/>
          <w:szCs w:val="24"/>
        </w:rPr>
        <w:t xml:space="preserve">Appendix F: Technical Implementation</w:t>
      </w:r>
    </w:p>
    <w:p>
      <w:pPr>
        <w:pStyle w:val="Heading2"/>
        <w:spacing w:before="360" w:after="180"/>
      </w:pPr>
      <w:r>
        <w:rPr>
          <w:rFonts w:ascii="Times New Roman" w:cs="Times New Roman" w:eastAsia="Times New Roman" w:hAnsi="Times New Roman"/>
          <w:sz w:val="24"/>
          <w:szCs w:val="24"/>
        </w:rPr>
        <w:t xml:space="preserve">F.1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application runs as a Docker containerized service with automated deployment via GitHub Actions and Traefik reverse proxy for SSL termination.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F.2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undefined"/><Relationship Id="rId9" Type="http://schemas.openxmlformats.org/officeDocument/2006/relationships/image" Target="media/a2ded5315995609fcf1cc70a7f7a979402eaf036.undefined"/><Relationship Id="rId10" Type="http://schemas.openxmlformats.org/officeDocument/2006/relationships/image" Target="media/1dd102a4ef1d5ee1253ce89081466c70eb774a29.undefined"/><Relationship Id="rId11" Type="http://schemas.openxmlformats.org/officeDocument/2006/relationships/image" Target="media/6b924f66c73cf875d83a03e08e0bb344059457b2.undefined"/><Relationship Id="rId12" Type="http://schemas.openxmlformats.org/officeDocument/2006/relationships/image" Target="media/e20a754195d8797c443e631068bf6cc458b9e9b8.undefined"/><Relationship Id="rId13" Type="http://schemas.openxmlformats.org/officeDocument/2006/relationships/image" Target="media/ad2f2b8ca0c97fa3c78aa94b3459085c92207e53.undefined"/><Relationship Id="rId14" Type="http://schemas.openxmlformats.org/officeDocument/2006/relationships/image" Target="media/0a2b849edc804f65e3c6bff571fb8bd51b09c574.undefined"/><Relationship Id="rId15" Type="http://schemas.openxmlformats.org/officeDocument/2006/relationships/image" Target="media/fb3ef5bb6345b74d5a49530286d89685d865057b.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2026-02-13T21:46:45.505Z</dcterms:created>
  <dcterms:modified xsi:type="dcterms:W3CDTF">2026-02-13T21:46:45.514Z</dcterms:modified>
</cp:coreProperties>
</file>

<file path=docProps/custom.xml><?xml version="1.0" encoding="utf-8"?>
<Properties xmlns="http://schemas.openxmlformats.org/officeDocument/2006/custom-properties" xmlns:vt="http://schemas.openxmlformats.org/officeDocument/2006/docPropsVTypes"/>
</file>