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(Borrowing and Credit, Risk Management, and Investment and Risk)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354 research-consented students completed the assessment. The mean anchor score was 67.0% (SD = 17.9%), with notable variation across domains. Among 493 scored diagnostic responses, 53.9% reflected misconceptions, 31.9% selection errors, and 14.2% knowledge gaps. The selection error finding is central: among students who answered incorrectly with high confidence, nearly one in three demonstrated correct understanding in their open-ended explanation, indicating that raw MCQ scores systematically misrepresent student knowledge on format-sensitive items. The diagnostic results yield 10 specific course improvement recommendations, spanning instructional content, instrument revision, and delivery changes, each anchored to evidence and paired with a Paper 2 evaluation criterion. We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10).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(interest compounding, inflation, and risk diversification)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(knowledge, behavior, and attitudes)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(interest rates, inflation, diversification, compound interest, and bond pricing)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(exponential growth bias, the pervasive tendency to linearize exponential functions)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(scoring above average on perceived knowledge but failing basic literacy questions)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182-variant item bank (see Appendix 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(knowledge score, confidence calibration, and open-ended classification)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Pipeline Overview and Illustrative Walkthrough</w:t>
      </w:r>
    </w:p>
    <w:p>
      <w:pPr>
        <w:spacing w:line="360" w:after="200"/>
      </w:pPr>
      <w:r>
        <w:rPr>
          <w:rFonts w:ascii="Times New Roman" w:cs="Times New Roman" w:eastAsia="Times New Roman" w:hAnsi="Times New Roman"/>
          <w:sz w:val="24"/>
          <w:szCs w:val="24"/>
        </w:rPr>
        <w:t xml:space="preserve">The SDM-10 pipeline operates in three stages: (1) compute a diagnostic priority for each concept area based on the student's answer and confidence, (2) select up to 10 follow-up items from a pre-written variant bank ranked by priority (targeting 10, delivering 5–10 depending on available high-priority concepts), and (3) score any open-ended responses using an AI-assisted rubric aligned to the misconception taxonomy. Confidence is captured on a three-level scale (1 = low, 2 = mid, 3 = high). Two illustrative cases show how the pipeline works in practice.</w:t>
      </w:r>
    </w:p>
    <w:p>
      <w:pPr>
        <w:spacing w:line="360" w:after="200"/>
      </w:pPr>
      <w:r>
        <w:rPr>
          <w:rFonts w:ascii="Times New Roman" w:cs="Times New Roman" w:eastAsia="Times New Roman" w:hAnsi="Times New Roman"/>
          <w:b/>
          <w:bCs/>
          <w:sz w:val="24"/>
          <w:szCs w:val="24"/>
        </w:rPr>
        <w:t xml:space="preserve">Case A: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(the incorrect answer)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an open-ended prompt assigned when a student answers incorrectly with high confidence. Its diagnostic goal is to distinguish three response types: misconception (a specific wrong mental model), knowledge gap (absence of knowledge), or selection error (correct understanding despite the wrong answer choice).</w:t>
      </w:r>
    </w:p>
    <w:p>
      <w:pPr>
        <w:spacing w:line="360" w:after="200"/>
      </w:pPr>
      <w:r>
        <w:rPr>
          <w:rFonts w:ascii="Times New Roman" w:cs="Times New Roman" w:eastAsia="Times New Roman" w:hAnsi="Times New Roman"/>
          <w:b/>
          <w:bCs/>
          <w:sz w:val="24"/>
          <w:szCs w:val="24"/>
        </w:rPr>
        <w:t xml:space="preserve">Case B: Open_Confirm (correct + low confidence).</w:t>
      </w:r>
      <w:r>
        <w:rPr>
          <w:rFonts w:ascii="Times New Roman" w:cs="Times New Roman" w:eastAsia="Times New Roman" w:hAnsi="Times New Roman"/>
          <w:sz w:val="24"/>
          <w:szCs w:val="24"/>
        </w:rPr>
        <w:t xml:space="preserve"> The same student answers Q29 correctly ("bond prices fall when interest rates rise")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an open-ended prompt assigned when a student answers correctly with low confidence. Its diagnostic goal is to distinguish three response types: verified (genuine understanding), partial (incomplete reasoning), or likely guess (no substantive understanding despite the correct answer).</w:t>
      </w:r>
    </w:p>
    <w:p>
      <w:pPr>
        <w:spacing w:line="360" w:after="200"/>
      </w:pPr>
      <w:r>
        <w:rPr>
          <w:rFonts w:ascii="Times New Roman" w:cs="Times New Roman" w:eastAsia="Times New Roman" w:hAnsi="Times New Roman"/>
          <w:sz w:val="24"/>
          <w:szCs w:val="24"/>
        </w:rPr>
        <w:t xml:space="preserve">Together, these two cases illustrate the SDM-10's central contribution: standard MCQ scores classify responses as simply correct or incorrect, while the diagnostic module reveals whether incorrect answers reflect misconceptions, knowledge gaps, or format-induced errors, and whether correct answers reflect genuine understanding or fortunate guessing.</w:t>
      </w:r>
    </w:p>
    <w:p>
      <w:pPr>
        <w:pStyle w:val="Heading2"/>
        <w:spacing w:before="360" w:after="180"/>
      </w:pPr>
      <w:r>
        <w:rPr>
          <w:rFonts w:ascii="Times New Roman" w:cs="Times New Roman" w:eastAsia="Times New Roman" w:hAnsi="Times New Roman"/>
          <w:sz w:val="24"/>
          <w:szCs w:val="24"/>
        </w:rPr>
        <w:t xml:space="preserve">4.2 Adaptive Selection and Diagnostic Priority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182 variants across 26 anchor items (see Appendix E) using an information deficit model that prioritizes subcategories where the anchor response left the most residual uncertainty about the student's understanding. The selection algorithm computes a diagnostic priority score for each of the 26 knowledge subcategories based on correctness, confidence, and item format (True/False vs. multiple choice). Higher scores indicate greater residual uncertainty; incorrect responses with high confidence receive the highest priority, signaling a likely misconception. The format-aware adjustment reflects differential guessing probability (50% for True/False vs. ~25% for MCQ). A three-phase selection procedure enforces domain minimums, fills remaining slots by descending priority, and applies an understanding-verification fallback when fewer than 10 subcategories are flagged. Open-ended items are capped at three per student to limit response burden. See Appendix A for the complete selection specification.</w:t>
      </w:r>
    </w:p>
    <w:p>
      <w:pPr>
        <w:pStyle w:val="Heading2"/>
        <w:spacing w:before="360" w:after="180"/>
      </w:pPr>
      <w:r>
        <w:rPr>
          <w:rFonts w:ascii="Times New Roman" w:cs="Times New Roman" w:eastAsia="Times New Roman" w:hAnsi="Times New Roman"/>
          <w:sz w:val="24"/>
          <w:szCs w:val="24"/>
        </w:rPr>
        <w:t xml:space="preserve">4.3 Variant Types and Three-Way Classification</w:t>
      </w:r>
    </w:p>
    <w:p>
      <w:pPr>
        <w:spacing w:line="360" w:after="200"/>
      </w:pPr>
      <w:r>
        <w:rPr>
          <w:rFonts w:ascii="Times New Roman" w:cs="Times New Roman" w:eastAsia="Times New Roman" w:hAnsi="Times New Roman"/>
          <w:sz w:val="24"/>
          <w:szCs w:val="24"/>
        </w:rPr>
        <w:t xml:space="preserve">Each SDM-10 item is drawn from one of six variant types determined by the student's anchor response pattern. Incorrect responses with high confidence trigger Open_Diagnose (open-ended); incorrect with mid confidence trigger Lower_MCQ; incorrect with low confidence trigger Lower_TF. Correct responses with low confidence trigger Open_Confirm (open-ended); correct with mid confidence trigger Same_MCQ; correct with high confidence trigger Higher_MCQ. The variant assignment rules are specified in Appendix A (Table A.3).</w:t>
      </w: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as indicated by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4.4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OpenRouter). The model was selected through an 11-model concordance protocol evaluating schema compliance, error rate, classification nuance, throughput, and cost (Appendix D). Each response is processed with an item-specific prompt containing anchor question context, the student's answer and confidence, applicable misconception families, calibration examples, and a structured decision tree. The model returns a JSON classification including diagnosis type, taxonomy codes, credit score, confidence level, evidence quote, and reasoning summary. All item selection decisions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6, and 7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students with high confidence and low accuracy (overconfident) are more likely to trigger Open_Diagnose items, while students with low confidence and high accuracy (underconfident) are more likely to trigger Open_Confirm items.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that is,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demonstrated genuine understanding in their explanation (verified), 41.8% showed partial understanding, and 13.7% were classified as likely guesses; their explanations showed no understanding of the underlying concept despite selecting the correct answer.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7.11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All SDM-10 prevalence rates reported in Section 7 reflect conditioned subsamples (diagnose items target students who answered incorrectly with high confidence, and confirm items target students who answered correctly with low confidence), not random cross-sections of the class. Four principal findings emerged.</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demonstrated correct understanding of the underlying concept. On individual items, selection error rates reached 81% (Q36, diversification), 41% (Q10, credit reports), and 32% (Q2, mortgages). These students receive a score of zero on the anchor assessment despite possessing the targeted knowledge. The pattern is concentrated on True/False items and negation-framed MCQ items, indicating that item format rather than student knowledge drives the errors.</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they could not articulate any understanding of the concept they ostensibly answered correctly. On individual items such as Q29 (33.3% guess rate) and Q13 (31.8%), anchor scores overestimate true comprehension.</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Five dominant clusters emerged: inflation mechanics confusion (INF-01, the most frequent code at n = 42), risk-return reasoning from exceptions (RISK-02), insurance purpose confusion (INS-01/INS-02), empathy-driven reasoning (INF-05), and format-induced errors. These clusters are specific enough to inform targeted instructional interventions.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translate into 10 specific recommendations for QUIN 102 instruction and instrument revision. Each recommendation is anchored to a specific finding and evidence source; the final column describes how Paper 2 will evaluate whether the change was effective.</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reflecting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will be implemented before the post-assessment window, enabling Paper 2 to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promising extension of the SDM-10 framework is an oral diagnostic modality implemented as a structured, AI-mediated interview calibrated by each student's highest-priority SDM findings. Written open-ended prompts can yield thin responses that limit diagnostic signal, while a short conversation can adaptively probe reasoning, distinguish misreading from conceptual misunderstanding, and classify misconceptions by depth;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(including speaking anxiety, language effects, transcription error, and privacy risks associated with voice data),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5.1). We exclude the NULL cohort from all research analyses per standard practice (absence of affirmative consent is treated as non-consent). A representativeness check (Section 5.1)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spacing w:line="360" w:after="200"/>
      </w:pPr>
      <w:r>
        <w:rPr>
          <w:rFonts w:ascii="Times New Roman" w:cs="Times New Roman" w:eastAsia="Times New Roman" w:hAnsi="Times New Roman"/>
          <w:sz w:val="24"/>
          <w:szCs w:val="24"/>
        </w:rPr>
        <w:t xml:space="preserve">The pilot deployment reported in Sections 4–7 produced several outputs that directly shape the planned Paper 2 design, including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A post-course assessment would be administered during the last week of the Spring 2026 semester, using the same 40-item anchor assessment and SDM-10 module with an IRB-reviewed consent process for human-subjects research.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reveal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contingent on adequate sample size. Exploratory Factor Analysis would assess dimensionality within and across domains, Cronbach's alpha would evaluate internal consistency, and item-level statistics would identify items for refinement in future administrations. If IRB-approved,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central component of Paper 2 would be the SDM-10 pre-post comparison. Pre-post changes in misconception prevalence, selection error rates, and the distribution of three-way classifications would be analyzed to assess whether instruction reduces specific misconception clusters and improves the alignment between student knowledge and item responses. Paper 2 would pre-specify which misconception codes from the taxonomy are expected to change, based on QUIN 102 curriculum coverage and the 10 recommendations in Table 8.1. Of particular interest is whether the instructional interventions targeting the five dominant misconception clusters identified in Section 7.5 produce measurable reductions in misconception prevalence, and whether the instrument revisions targeting high selection error items (Q36, Q10, Q9, Q14) reduce format-driven errors as predicted.</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publishable evaluation would be conducted only on IRB-consented data. The existing consent infrastructure (Section 5.1) separates instructional use from research use; this separation would be maintained in the post-assessment. All student data would remain de-identified using the one-way hashing architecture described in Appendix F. No raw student identifiers would appear in any dataset or publication.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4.4.</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182-variant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4.4),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spacing w:line="360" w:after="200"/>
      </w:pPr>
      <w:r>
        <w:rPr>
          <w:rFonts w:ascii="Times New Roman" w:cs="Times New Roman" w:eastAsia="Times New Roman" w:hAnsi="Times New Roman"/>
          <w:b/>
          <w:bCs/>
          <w:sz w:val="24"/>
          <w:szCs w:val="24"/>
        </w:rPr>
        <w:t xml:space="preserve">Data and materials availability.</w:t>
      </w:r>
      <w:r>
        <w:rPr>
          <w:rFonts w:ascii="Times New Roman" w:cs="Times New Roman" w:eastAsia="Times New Roman" w:hAnsi="Times New Roman"/>
          <w:sz w:val="24"/>
          <w:szCs w:val="24"/>
        </w:rPr>
        <w:t xml:space="preserve"> The de-identified data exports, orientation video, source code,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described below are available in the project repository (Bolivard, 2026). Direct download links are provided in the repository README.</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verification script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from the project repository:</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the Financial Literacy Toolkit,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undefined"/><Relationship Id="rId9" Type="http://schemas.openxmlformats.org/officeDocument/2006/relationships/image" Target="media/a2ded5315995609fcf1cc70a7f7a979402eaf036.undefined"/><Relationship Id="rId10" Type="http://schemas.openxmlformats.org/officeDocument/2006/relationships/image" Target="media/1dd102a4ef1d5ee1253ce89081466c70eb774a29.undefined"/><Relationship Id="rId11" Type="http://schemas.openxmlformats.org/officeDocument/2006/relationships/image" Target="media/6b924f66c73cf875d83a03e08e0bb344059457b2.undefined"/><Relationship Id="rId12" Type="http://schemas.openxmlformats.org/officeDocument/2006/relationships/image" Target="media/e20a754195d8797c443e631068bf6cc458b9e9b8.undefined"/><Relationship Id="rId13" Type="http://schemas.openxmlformats.org/officeDocument/2006/relationships/image" Target="media/ad2f2b8ca0c97fa3c78aa94b3459085c92207e53.undefined"/><Relationship Id="rId14" Type="http://schemas.openxmlformats.org/officeDocument/2006/relationships/image" Target="media/0a2b849edc804f65e3c6bff571fb8bd51b09c574.undefined"/><Relationship Id="rId15" Type="http://schemas.openxmlformats.org/officeDocument/2006/relationships/image" Target="media/fb3ef5bb6345b74d5a49530286d89685d865057b.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2026-02-13T22:24:32.082Z</dcterms:created>
  <dcterms:modified xsi:type="dcterms:W3CDTF">2026-02-13T22:24:32.082Z</dcterms:modified>
</cp:coreProperties>
</file>

<file path=docProps/custom.xml><?xml version="1.0" encoding="utf-8"?>
<Properties xmlns="http://schemas.openxmlformats.org/officeDocument/2006/custom-properties" xmlns:vt="http://schemas.openxmlformats.org/officeDocument/2006/docPropsVTypes"/>
</file>