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QUIN 102 Pre-Test Results Report (SDM-10)</w:t>
      </w:r>
    </w:p>
    <w:p>
      <w:pPr>
        <w:spacing w:after="240"/>
        <w:jc w:val="center"/>
      </w:pPr>
      <w:r>
        <w:rPr>
          <w:rFonts w:ascii="Times New Roman" w:cs="Times New Roman" w:eastAsia="Times New Roman" w:hAnsi="Times New Roman"/>
          <w:sz w:val="28"/>
          <w:szCs w:val="28"/>
        </w:rPr>
        <w:t xml:space="preserve">Term: Spring 2026</w:t>
      </w:r>
    </w:p>
    <w:p>
      <w:pPr>
        <w:spacing w:after="240"/>
        <w:jc w:val="center"/>
      </w:pPr>
      <w:r>
        <w:rPr>
          <w:rFonts w:ascii="Times New Roman" w:cs="Times New Roman" w:eastAsia="Times New Roman" w:hAnsi="Times New Roman"/>
          <w:sz w:val="28"/>
          <w:szCs w:val="28"/>
        </w:rPr>
        <w:t xml:space="preserve">Assessment Window: February 2–10, 2026</w:t>
      </w:r>
    </w:p>
    <w:p>
      <w:pPr>
        <w:spacing w:after="240"/>
        <w:jc w:val="center"/>
      </w:pPr>
      <w:r>
        <w:rPr>
          <w:rFonts w:ascii="Times New Roman" w:cs="Times New Roman" w:eastAsia="Times New Roman" w:hAnsi="Times New Roman"/>
          <w:sz w:val="28"/>
          <w:szCs w:val="28"/>
        </w:rPr>
        <w:t xml:space="preserve">Prepared by: Guillaume Bolivard</w:t>
      </w:r>
    </w:p>
    <w:p>
      <w:pPr>
        <w:spacing w:after="240"/>
        <w:jc w:val="center"/>
      </w:pPr>
      <w:r>
        <w:rPr>
          <w:rFonts w:ascii="Times New Roman" w:cs="Times New Roman" w:eastAsia="Times New Roman" w:hAnsi="Times New Roman"/>
          <w:sz w:val="28"/>
          <w:szCs w:val="28"/>
        </w:rPr>
        <w:t xml:space="preserve">Audience: QUIN 102 Instructor and Teaching Team</w:t>
      </w:r>
    </w:p>
    <w:p>
      <w:pPr>
        <w:sectPr>
          <w:pgSz w:w="12240" w:h="15840" w:orient="portrait"/>
          <w:pgMar w:top="1440" w:right="1440" w:bottom="1440" w:left="1440" w:header="708" w:footer="708" w:gutter="0"/>
          <w:pgNumType/>
          <w:docGrid w:linePitch="360"/>
        </w:sectPr>
      </w:pPr>
    </w:p>
    <w:p>
      <w:pPr>
        <w:spacing w:line="360" w:after="200"/>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This report summarizes the results of the QUIN 102 pre-course financial literacy assessment, including the Supplemental Diagnostic Module (SDM-10). It is written for the teaching team — not for publication. The goal is to translate pre-test findings into actionable guidance: what students know, where they struggle, and what the diagnostic data suggest about how to focus instruction this semester. All findings are descriptive. No causal claims are made.</w:t>
      </w:r>
    </w:p>
    <w:p>
      <w:pPr>
        <w:pStyle w:val="Heading1"/>
        <w:pageBreakBefore/>
        <w:spacing w:before="480" w:after="240"/>
      </w:pPr>
      <w:r>
        <w:rPr>
          <w:rFonts w:ascii="Times New Roman" w:cs="Times New Roman" w:eastAsia="Times New Roman" w:hAnsi="Times New Roman"/>
          <w:sz w:val="24"/>
          <w:szCs w:val="24"/>
        </w:rPr>
        <w:t xml:space="preserve">1. Executive Summary</w:t>
      </w:r>
    </w:p>
    <w:p>
      <w:pPr>
        <w:pStyle w:val="Heading2"/>
        <w:spacing w:before="360" w:after="180"/>
      </w:pPr>
      <w:r>
        <w:rPr>
          <w:rFonts w:ascii="Times New Roman" w:cs="Times New Roman" w:eastAsia="Times New Roman" w:hAnsi="Times New Roman"/>
          <w:sz w:val="24"/>
          <w:szCs w:val="24"/>
        </w:rPr>
        <w:t xml:space="preserve">Key Findings</w:t>
      </w:r>
    </w:p>
    <w:p>
      <w:pPr>
        <w:pStyle w:val="ListParagraph"/>
        <w:numPr>
          <w:ilvl w:val="0"/>
          <w:numId w:val="2"/>
        </w:numPr>
        <w:spacing w:line="360" w:after="100"/>
      </w:pPr>
      <w:r>
        <w:rPr>
          <w:rFonts w:ascii="Times New Roman" w:cs="Times New Roman" w:eastAsia="Times New Roman" w:hAnsi="Times New Roman"/>
          <w:sz w:val="24"/>
          <w:szCs w:val="24"/>
        </w:rPr>
        <w:t xml:space="preserve">The mean anchor score was 66.4% across all submitted students (N = 431). This is slightly above the 40–60% ranges typically seen in prior financial literacy research with college-age and adult populations (Chen &amp; Volpe, 1998; Lusardi, 2019).</w:t>
      </w:r>
    </w:p>
    <w:p>
      <w:pPr>
        <w:pStyle w:val="ListParagraph"/>
        <w:numPr>
          <w:ilvl w:val="0"/>
          <w:numId w:val="2"/>
        </w:numPr>
        <w:spacing w:line="360" w:after="100"/>
      </w:pPr>
      <w:r>
        <w:rPr>
          <w:rFonts w:ascii="Times New Roman" w:cs="Times New Roman" w:eastAsia="Times New Roman" w:hAnsi="Times New Roman"/>
          <w:sz w:val="24"/>
          <w:szCs w:val="24"/>
        </w:rPr>
        <w:t xml:space="preserve">Investment and Risk/Return was the weakest domain, averaging 63.8% (N = 431). Behavioral and Risk Management was strongest at 73.3%.</w:t>
      </w:r>
    </w:p>
    <w:p>
      <w:pPr>
        <w:pStyle w:val="ListParagraph"/>
        <w:numPr>
          <w:ilvl w:val="0"/>
          <w:numId w:val="2"/>
        </w:numPr>
        <w:spacing w:line="360" w:after="100"/>
      </w:pPr>
      <w:r>
        <w:rPr>
          <w:rFonts w:ascii="Times New Roman" w:cs="Times New Roman" w:eastAsia="Times New Roman" w:hAnsi="Times New Roman"/>
          <w:sz w:val="24"/>
          <w:szCs w:val="24"/>
        </w:rPr>
        <w:t xml:space="preserve">Over half the sample (58.2%) scored below 70%, which in this assessment corresponds to developing or at-risk performance (N = 431).</w:t>
      </w:r>
    </w:p>
    <w:p>
      <w:pPr>
        <w:pStyle w:val="ListParagraph"/>
        <w:numPr>
          <w:ilvl w:val="0"/>
          <w:numId w:val="2"/>
        </w:numPr>
        <w:spacing w:line="360" w:after="100"/>
      </w:pPr>
      <w:r>
        <w:rPr>
          <w:rFonts w:ascii="Times New Roman" w:cs="Times New Roman" w:eastAsia="Times New Roman" w:hAnsi="Times New Roman"/>
          <w:sz w:val="24"/>
          <w:szCs w:val="24"/>
        </w:rPr>
        <w:t xml:space="preserve">About 30% of students were moderately or highly overconfident — their self-rated confidence exceeded their actual accuracy (N = 431).</w:t>
      </w:r>
    </w:p>
    <w:p>
      <w:pPr>
        <w:pStyle w:val="ListParagraph"/>
        <w:numPr>
          <w:ilvl w:val="0"/>
          <w:numId w:val="2"/>
        </w:numPr>
        <w:spacing w:line="360" w:after="100"/>
      </w:pPr>
      <w:r>
        <w:rPr>
          <w:rFonts w:ascii="Times New Roman" w:cs="Times New Roman" w:eastAsia="Times New Roman" w:hAnsi="Times New Roman"/>
          <w:sz w:val="24"/>
          <w:szCs w:val="24"/>
        </w:rPr>
        <w:t xml:space="preserve">The three hardest items involved inflation mechanics and bond pricing, with correct rates below 37% (N = 431).</w:t>
      </w:r>
    </w:p>
    <w:p>
      <w:pPr>
        <w:pStyle w:val="ListParagraph"/>
        <w:numPr>
          <w:ilvl w:val="0"/>
          <w:numId w:val="2"/>
        </w:numPr>
        <w:spacing w:line="360" w:after="100"/>
      </w:pPr>
      <w:r>
        <w:rPr>
          <w:rFonts w:ascii="Times New Roman" w:cs="Times New Roman" w:eastAsia="Times New Roman" w:hAnsi="Times New Roman"/>
          <w:sz w:val="24"/>
          <w:szCs w:val="24"/>
        </w:rPr>
        <w:t xml:space="preserve">Among high-confidence errors in the consented diagnostic sample, 53.9% reflected misconceptions and 31.9% were selection errors — meaning almost one in three students who answered wrong actually understood the concept (n = 354 consented, 479 classified diagnose responses).</w:t>
      </w:r>
    </w:p>
    <w:p>
      <w:pPr>
        <w:pStyle w:val="ListParagraph"/>
        <w:numPr>
          <w:ilvl w:val="0"/>
          <w:numId w:val="2"/>
        </w:numPr>
        <w:spacing w:line="360" w:after="100"/>
      </w:pPr>
      <w:r>
        <w:rPr>
          <w:rFonts w:ascii="Times New Roman" w:cs="Times New Roman" w:eastAsia="Times New Roman" w:hAnsi="Times New Roman"/>
          <w:sz w:val="24"/>
          <w:szCs w:val="24"/>
        </w:rPr>
        <w:t xml:space="preserve">Among correct answers paired with low confidence, 13.7% were likely guesses — students picked the right answer but could not explain why (n = 354 consented, 285 confirm responses).</w:t>
      </w:r>
    </w:p>
    <w:p>
      <w:pPr>
        <w:pStyle w:val="ListParagraph"/>
        <w:numPr>
          <w:ilvl w:val="0"/>
          <w:numId w:val="2"/>
        </w:numPr>
        <w:spacing w:line="360" w:after="100"/>
      </w:pPr>
      <w:r>
        <w:rPr>
          <w:rFonts w:ascii="Times New Roman" w:cs="Times New Roman" w:eastAsia="Times New Roman" w:hAnsi="Times New Roman"/>
          <w:sz w:val="24"/>
          <w:szCs w:val="24"/>
        </w:rPr>
        <w:t xml:space="preserve">The single most common misconception was confusing "lower inflation" with "falling prices" (INF-01), which appeared in 42 diagnosed responses from the consented sample.</w:t>
      </w:r>
    </w:p>
    <w:p>
      <w:pPr>
        <w:pStyle w:val="ListParagraph"/>
        <w:numPr>
          <w:ilvl w:val="0"/>
          <w:numId w:val="2"/>
        </w:numPr>
        <w:spacing w:line="360" w:after="100"/>
      </w:pPr>
      <w:r>
        <w:rPr>
          <w:rFonts w:ascii="Times New Roman" w:cs="Times New Roman" w:eastAsia="Times New Roman" w:hAnsi="Times New Roman"/>
          <w:sz w:val="24"/>
          <w:szCs w:val="24"/>
        </w:rPr>
        <w:t xml:space="preserve">True/False items and negation-framed questions showed the highest selection error rates — up to 81% on Q36 (diversification principle).</w:t>
      </w:r>
    </w:p>
    <w:p>
      <w:pPr>
        <w:pStyle w:val="Heading2"/>
        <w:spacing w:before="360" w:after="180"/>
      </w:pPr>
      <w:r>
        <w:rPr>
          <w:rFonts w:ascii="Times New Roman" w:cs="Times New Roman" w:eastAsia="Times New Roman" w:hAnsi="Times New Roman"/>
          <w:sz w:val="24"/>
          <w:szCs w:val="24"/>
        </w:rPr>
        <w:t xml:space="preserve">Teaching Takeaways</w:t>
      </w:r>
    </w:p>
    <w:p>
      <w:pPr>
        <w:pStyle w:val="ListParagraph"/>
        <w:numPr>
          <w:ilvl w:val="0"/>
          <w:numId w:val="3"/>
        </w:numPr>
        <w:spacing w:line="360" w:after="100"/>
      </w:pPr>
      <w:r>
        <w:rPr>
          <w:rFonts w:ascii="Times New Roman" w:cs="Times New Roman" w:eastAsia="Times New Roman" w:hAnsi="Times New Roman"/>
          <w:b/>
          <w:bCs/>
          <w:sz w:val="24"/>
          <w:szCs w:val="24"/>
        </w:rPr>
        <w:t xml:space="preserve">Inflation rate vs. price level</w:t>
      </w:r>
      <w:r>
        <w:rPr>
          <w:rFonts w:ascii="Times New Roman" w:cs="Times New Roman" w:eastAsia="Times New Roman" w:hAnsi="Times New Roman"/>
          <w:sz w:val="24"/>
          <w:szCs w:val="24"/>
        </w:rPr>
        <w:t xml:space="preserve"> is the top instructional priority. Students consistently confuse a slower rate of price increase with an actual decrease in prices. Visual aids showing rate-of-change vs. level may help.</w:t>
      </w:r>
    </w:p>
    <w:p>
      <w:pPr>
        <w:pStyle w:val="ListParagraph"/>
        <w:numPr>
          <w:ilvl w:val="0"/>
          <w:numId w:val="3"/>
        </w:numPr>
        <w:spacing w:line="360" w:after="100"/>
      </w:pPr>
      <w:r>
        <w:rPr>
          <w:rFonts w:ascii="Times New Roman" w:cs="Times New Roman" w:eastAsia="Times New Roman" w:hAnsi="Times New Roman"/>
          <w:b/>
          <w:bCs/>
          <w:sz w:val="24"/>
          <w:szCs w:val="24"/>
        </w:rPr>
        <w:t xml:space="preserve">Insurance purpose</w:t>
      </w:r>
      <w:r>
        <w:rPr>
          <w:rFonts w:ascii="Times New Roman" w:cs="Times New Roman" w:eastAsia="Times New Roman" w:hAnsi="Times New Roman"/>
          <w:sz w:val="24"/>
          <w:szCs w:val="24"/>
        </w:rPr>
        <w:t xml:space="preserve"> needs direct attention early. Most errors on Q12 came from the belief that routine care is insurance's main function. Framing insurance as catastrophic protection first, routine coverage second, may address this.</w:t>
      </w:r>
    </w:p>
    <w:p>
      <w:pPr>
        <w:pStyle w:val="ListParagraph"/>
        <w:numPr>
          <w:ilvl w:val="0"/>
          <w:numId w:val="3"/>
        </w:numPr>
        <w:spacing w:line="360" w:after="100"/>
      </w:pPr>
      <w:r>
        <w:rPr>
          <w:rFonts w:ascii="Times New Roman" w:cs="Times New Roman" w:eastAsia="Times New Roman" w:hAnsi="Times New Roman"/>
          <w:b/>
          <w:bCs/>
          <w:sz w:val="24"/>
          <w:szCs w:val="24"/>
        </w:rPr>
        <w:t xml:space="preserve">Risk-return reasoning</w:t>
      </w:r>
      <w:r>
        <w:rPr>
          <w:rFonts w:ascii="Times New Roman" w:cs="Times New Roman" w:eastAsia="Times New Roman" w:hAnsi="Times New Roman"/>
          <w:sz w:val="24"/>
          <w:szCs w:val="24"/>
        </w:rPr>
        <w:t xml:space="preserve"> tends to break down when students use real-world counterexamples to argue against general financial principles. Using historical asset-class return data rather than abstract statements is worth trying.</w:t>
      </w:r>
    </w:p>
    <w:p>
      <w:pPr>
        <w:pStyle w:val="ListParagraph"/>
        <w:numPr>
          <w:ilvl w:val="0"/>
          <w:numId w:val="3"/>
        </w:numPr>
        <w:spacing w:line="360" w:after="100"/>
      </w:pPr>
      <w:r>
        <w:rPr>
          <w:rFonts w:ascii="Times New Roman" w:cs="Times New Roman" w:eastAsia="Times New Roman" w:hAnsi="Times New Roman"/>
          <w:b/>
          <w:bCs/>
          <w:sz w:val="24"/>
          <w:szCs w:val="24"/>
        </w:rPr>
        <w:t xml:space="preserve">Bond pricing</w:t>
      </w:r>
      <w:r>
        <w:rPr>
          <w:rFonts w:ascii="Times New Roman" w:cs="Times New Roman" w:eastAsia="Times New Roman" w:hAnsi="Times New Roman"/>
          <w:sz w:val="24"/>
          <w:szCs w:val="24"/>
        </w:rPr>
        <w:t xml:space="preserve"> (inverse interest-rate/price relationship) showed both high misconception and high guess rates. Worked numerical examples may help more than verbal explanations alone.</w:t>
      </w:r>
    </w:p>
    <w:p>
      <w:pPr>
        <w:pStyle w:val="ListParagraph"/>
        <w:numPr>
          <w:ilvl w:val="0"/>
          <w:numId w:val="3"/>
        </w:numPr>
        <w:spacing w:line="360" w:after="100"/>
      </w:pPr>
      <w:r>
        <w:rPr>
          <w:rFonts w:ascii="Times New Roman" w:cs="Times New Roman" w:eastAsia="Times New Roman" w:hAnsi="Times New Roman"/>
          <w:b/>
          <w:bCs/>
          <w:sz w:val="24"/>
          <w:szCs w:val="24"/>
        </w:rPr>
        <w:t xml:space="preserve">Nearly one in three high-confidence errors are format-driven, not knowledge-driven.</w:t>
      </w:r>
      <w:r>
        <w:rPr>
          <w:rFonts w:ascii="Times New Roman" w:cs="Times New Roman" w:eastAsia="Times New Roman" w:hAnsi="Times New Roman"/>
          <w:sz w:val="24"/>
          <w:szCs w:val="24"/>
        </w:rPr>
        <w:t xml:space="preserve"> Students may know more than their scores suggest. This has direct implications for grading and for how we interpret pre-post score changes.</w:t>
      </w:r>
    </w:p>
    <w:p>
      <w:pPr>
        <w:pStyle w:val="Heading2"/>
        <w:spacing w:before="360" w:after="180"/>
      </w:pPr>
      <w:r>
        <w:rPr>
          <w:rFonts w:ascii="Times New Roman" w:cs="Times New Roman" w:eastAsia="Times New Roman" w:hAnsi="Times New Roman"/>
          <w:sz w:val="24"/>
          <w:szCs w:val="24"/>
        </w:rPr>
        <w:t xml:space="preserve">Assessment and Design Takeaways</w:t>
      </w:r>
    </w:p>
    <w:p>
      <w:pPr>
        <w:pStyle w:val="ListParagraph"/>
        <w:numPr>
          <w:ilvl w:val="0"/>
          <w:numId w:val="4"/>
        </w:numPr>
        <w:spacing w:line="360" w:after="100"/>
      </w:pPr>
      <w:r>
        <w:rPr>
          <w:rFonts w:ascii="Times New Roman" w:cs="Times New Roman" w:eastAsia="Times New Roman" w:hAnsi="Times New Roman"/>
          <w:b/>
          <w:bCs/>
          <w:sz w:val="24"/>
          <w:szCs w:val="24"/>
        </w:rPr>
        <w:t xml:space="preserve">True/False items with negation</w:t>
      </w:r>
      <w:r>
        <w:rPr>
          <w:rFonts w:ascii="Times New Roman" w:cs="Times New Roman" w:eastAsia="Times New Roman" w:hAnsi="Times New Roman"/>
          <w:sz w:val="24"/>
          <w:szCs w:val="24"/>
        </w:rPr>
        <w:t xml:space="preserve"> produce disproportionate selection errors. Q36 (diversification) had an 81% selection error rate — students understood the concept but picked "False." Converting these to standard MCQ format for the post-test is worth considering.</w:t>
      </w:r>
    </w:p>
    <w:p>
      <w:pPr>
        <w:pStyle w:val="ListParagraph"/>
        <w:numPr>
          <w:ilvl w:val="0"/>
          <w:numId w:val="4"/>
        </w:numPr>
        <w:spacing w:line="360" w:after="100"/>
      </w:pPr>
      <w:r>
        <w:rPr>
          <w:rFonts w:ascii="Times New Roman" w:cs="Times New Roman" w:eastAsia="Times New Roman" w:hAnsi="Times New Roman"/>
          <w:b/>
          <w:bCs/>
          <w:sz w:val="24"/>
          <w:szCs w:val="24"/>
        </w:rPr>
        <w:t xml:space="preserve">"Which is FALSE" framing</w:t>
      </w:r>
      <w:r>
        <w:rPr>
          <w:rFonts w:ascii="Times New Roman" w:cs="Times New Roman" w:eastAsia="Times New Roman" w:hAnsi="Times New Roman"/>
          <w:sz w:val="24"/>
          <w:szCs w:val="24"/>
        </w:rPr>
        <w:t xml:space="preserve"> tripped up students on Q10 (credit reports) even when they understood the material. Rephrasing to positive identification may help.</w:t>
      </w:r>
    </w:p>
    <w:p>
      <w:pPr>
        <w:pStyle w:val="ListParagraph"/>
        <w:numPr>
          <w:ilvl w:val="0"/>
          <w:numId w:val="4"/>
        </w:numPr>
        <w:spacing w:line="360" w:after="100"/>
      </w:pPr>
      <w:r>
        <w:rPr>
          <w:rFonts w:ascii="Times New Roman" w:cs="Times New Roman" w:eastAsia="Times New Roman" w:hAnsi="Times New Roman"/>
          <w:b/>
          <w:bCs/>
          <w:sz w:val="24"/>
          <w:szCs w:val="24"/>
        </w:rPr>
        <w:t xml:space="preserve">Three items below 50% correct</w:t>
      </w:r>
      <w:r>
        <w:rPr>
          <w:rFonts w:ascii="Times New Roman" w:cs="Times New Roman" w:eastAsia="Times New Roman" w:hAnsi="Times New Roman"/>
          <w:sz w:val="24"/>
          <w:szCs w:val="24"/>
        </w:rPr>
        <w:t xml:space="preserve"> (Q38 at 23.7%, Q6 at 32.9%, Q29 at 36.2%) may need difficulty recalibration or restructuring, though their diagnostic value is high precisely because so many students get them wrong.</w:t>
      </w:r>
    </w:p>
    <w:p>
      <w:pPr>
        <w:pStyle w:val="ListParagraph"/>
        <w:numPr>
          <w:ilvl w:val="0"/>
          <w:numId w:val="4"/>
        </w:numPr>
        <w:spacing w:line="360" w:after="100"/>
      </w:pPr>
      <w:r>
        <w:rPr>
          <w:rFonts w:ascii="Times New Roman" w:cs="Times New Roman" w:eastAsia="Times New Roman" w:hAnsi="Times New Roman"/>
          <w:b/>
          <w:bCs/>
          <w:sz w:val="24"/>
          <w:szCs w:val="24"/>
        </w:rPr>
        <w:t xml:space="preserve">Anchor scores both overstate and understate knowledge.</w:t>
      </w:r>
      <w:r>
        <w:rPr>
          <w:rFonts w:ascii="Times New Roman" w:cs="Times New Roman" w:eastAsia="Times New Roman" w:hAnsi="Times New Roman"/>
          <w:sz w:val="24"/>
          <w:szCs w:val="24"/>
        </w:rPr>
        <w:t xml:space="preserve"> The 13.7% guess rate among correct-but-uncertain answers means some students get credit for understanding they don't have. The 31.9% selection error rate means some students lose credit for understanding they do have.</w:t>
      </w:r>
    </w:p>
    <w:p>
      <w:pPr>
        <w:pStyle w:val="ListParagraph"/>
        <w:numPr>
          <w:ilvl w:val="0"/>
          <w:numId w:val="4"/>
        </w:numPr>
        <w:spacing w:line="360" w:after="100"/>
      </w:pPr>
      <w:r>
        <w:rPr>
          <w:rFonts w:ascii="Times New Roman" w:cs="Times New Roman" w:eastAsia="Times New Roman" w:hAnsi="Times New Roman"/>
          <w:b/>
          <w:bCs/>
          <w:sz w:val="24"/>
          <w:szCs w:val="24"/>
        </w:rPr>
        <w:t xml:space="preserve">Tracking selection error rates</w:t>
      </w:r>
      <w:r>
        <w:rPr>
          <w:rFonts w:ascii="Times New Roman" w:cs="Times New Roman" w:eastAsia="Times New Roman" w:hAnsi="Times New Roman"/>
          <w:sz w:val="24"/>
          <w:szCs w:val="24"/>
        </w:rPr>
        <w:t xml:space="preserve"> on revised items in the post-test will be important for evaluating whether format changes, rather than instructional changes, are responsible for any score differences.</w:t>
      </w:r>
    </w:p>
    <w:p>
      <w:pPr>
        <w:pStyle w:val="Heading1"/>
        <w:pageBreakBefore/>
        <w:spacing w:before="480" w:after="240"/>
      </w:pPr>
      <w:r>
        <w:rPr>
          <w:rFonts w:ascii="Times New Roman" w:cs="Times New Roman" w:eastAsia="Times New Roman" w:hAnsi="Times New Roman"/>
          <w:sz w:val="24"/>
          <w:szCs w:val="24"/>
        </w:rPr>
        <w:t xml:space="preserve">2. Methodology Overview</w:t>
      </w:r>
    </w:p>
    <w:p>
      <w:pPr>
        <w:pStyle w:val="Heading2"/>
        <w:spacing w:before="360" w:after="180"/>
      </w:pPr>
      <w:r>
        <w:rPr>
          <w:rFonts w:ascii="Times New Roman" w:cs="Times New Roman" w:eastAsia="Times New Roman" w:hAnsi="Times New Roman"/>
          <w:sz w:val="24"/>
          <w:szCs w:val="24"/>
        </w:rPr>
        <w:t xml:space="preserve">What Students Did</w:t>
      </w:r>
    </w:p>
    <w:p>
      <w:pPr>
        <w:spacing w:line="360" w:after="200"/>
      </w:pPr>
      <w:r>
        <w:rPr>
          <w:rFonts w:ascii="Times New Roman" w:cs="Times New Roman" w:eastAsia="Times New Roman" w:hAnsi="Times New Roman"/>
          <w:sz w:val="24"/>
          <w:szCs w:val="24"/>
        </w:rPr>
        <w:t xml:space="preserve">Students enrolled in QUIN 102 were invited to complete a pre-course financial literacy assessment through a web-based platform. The assessment had three parts:</w:t>
      </w:r>
    </w:p>
    <w:p>
      <w:pPr>
        <w:pStyle w:val="ListParagraph"/>
        <w:numPr>
          <w:ilvl w:val="0"/>
          <w:numId w:val="5"/>
        </w:numPr>
        <w:spacing w:line="360" w:after="100"/>
      </w:pPr>
      <w:r>
        <w:rPr>
          <w:rFonts w:ascii="Times New Roman" w:cs="Times New Roman" w:eastAsia="Times New Roman" w:hAnsi="Times New Roman"/>
          <w:b/>
          <w:bCs/>
          <w:sz w:val="24"/>
          <w:szCs w:val="24"/>
        </w:rPr>
        <w:t xml:space="preserve">Onboarding</w:t>
      </w:r>
      <w:r>
        <w:rPr>
          <w:rFonts w:ascii="Times New Roman" w:cs="Times New Roman" w:eastAsia="Times New Roman" w:hAnsi="Times New Roman"/>
          <w:sz w:val="24"/>
          <w:szCs w:val="24"/>
        </w:rPr>
        <w:t xml:space="preserve"> — 13 demographic and financial background questions (not scored)</w:t>
      </w:r>
    </w:p>
    <w:p>
      <w:pPr>
        <w:pStyle w:val="ListParagraph"/>
        <w:numPr>
          <w:ilvl w:val="0"/>
          <w:numId w:val="5"/>
        </w:numPr>
        <w:spacing w:line="360" w:after="100"/>
      </w:pPr>
      <w:r>
        <w:rPr>
          <w:rFonts w:ascii="Times New Roman" w:cs="Times New Roman" w:eastAsia="Times New Roman" w:hAnsi="Times New Roman"/>
          <w:b/>
          <w:bCs/>
          <w:sz w:val="24"/>
          <w:szCs w:val="24"/>
        </w:rPr>
        <w:t xml:space="preserve">Anchor assessment</w:t>
      </w:r>
      <w:r>
        <w:rPr>
          <w:rFonts w:ascii="Times New Roman" w:cs="Times New Roman" w:eastAsia="Times New Roman" w:hAnsi="Times New Roman"/>
          <w:sz w:val="24"/>
          <w:szCs w:val="24"/>
        </w:rPr>
        <w:t xml:space="preserve"> — 40 items: 26 scored knowledge questions and 14 unscored preference/attitude questions, each with a confidence rating (1 = low, 2 = mid, 3 = high)</w:t>
      </w:r>
    </w:p>
    <w:p>
      <w:pPr>
        <w:pStyle w:val="ListParagraph"/>
        <w:numPr>
          <w:ilvl w:val="0"/>
          <w:numId w:val="5"/>
        </w:numPr>
        <w:spacing w:line="360" w:after="100"/>
      </w:pPr>
      <w:r>
        <w:rPr>
          <w:rFonts w:ascii="Times New Roman" w:cs="Times New Roman" w:eastAsia="Times New Roman" w:hAnsi="Times New Roman"/>
          <w:b/>
          <w:bCs/>
          <w:sz w:val="24"/>
          <w:szCs w:val="24"/>
        </w:rPr>
        <w:t xml:space="preserve">SDM-10</w:t>
      </w:r>
      <w:r>
        <w:rPr>
          <w:rFonts w:ascii="Times New Roman" w:cs="Times New Roman" w:eastAsia="Times New Roman" w:hAnsi="Times New Roman"/>
          <w:sz w:val="24"/>
          <w:szCs w:val="24"/>
        </w:rPr>
        <w:t xml:space="preserve"> — up to 10 adaptive follow-up items selected based on the student's anchor responses</w:t>
      </w:r>
    </w:p>
    <w:p>
      <w:pPr>
        <w:spacing w:line="360" w:after="200"/>
      </w:pPr>
      <w:r>
        <w:rPr>
          <w:rFonts w:ascii="Times New Roman" w:cs="Times New Roman" w:eastAsia="Times New Roman" w:hAnsi="Times New Roman"/>
          <w:sz w:val="24"/>
          <w:szCs w:val="24"/>
        </w:rPr>
        <w:t xml:space="preserve">The SDM-10 is diagnostic only. It does not contribute to any course grade.</w:t>
      </w:r>
    </w:p>
    <w:p>
      <w:pPr>
        <w:pStyle w:val="Heading2"/>
        <w:spacing w:before="360" w:after="180"/>
      </w:pPr>
      <w:r>
        <w:rPr>
          <w:rFonts w:ascii="Times New Roman" w:cs="Times New Roman" w:eastAsia="Times New Roman" w:hAnsi="Times New Roman"/>
          <w:sz w:val="24"/>
          <w:szCs w:val="24"/>
        </w:rPr>
        <w:t xml:space="preserve">What the SDM-10 Adds</w:t>
      </w:r>
    </w:p>
    <w:p>
      <w:pPr>
        <w:spacing w:line="360" w:after="200"/>
      </w:pPr>
      <w:r>
        <w:rPr>
          <w:rFonts w:ascii="Times New Roman" w:cs="Times New Roman" w:eastAsia="Times New Roman" w:hAnsi="Times New Roman"/>
          <w:sz w:val="24"/>
          <w:szCs w:val="24"/>
        </w:rPr>
        <w:t xml:space="preserve">Standard multiple-choice tests tell you whether a student got the answer right or wrong, but they don't tell you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they got it wrong. The SDM-10 fills that gap.</w:t>
      </w:r>
    </w:p>
    <w:p>
      <w:pPr>
        <w:spacing w:line="360" w:after="200"/>
      </w:pPr>
      <w:r>
        <w:rPr>
          <w:rFonts w:ascii="Times New Roman" w:cs="Times New Roman" w:eastAsia="Times New Roman" w:hAnsi="Times New Roman"/>
          <w:sz w:val="24"/>
          <w:szCs w:val="24"/>
        </w:rPr>
        <w:t xml:space="preserve">Based on each student's anchor answers and confidence ratings, the algorithm selects follow-up items from a bank of 182 pre-written variants. Two types of open-ended follow-ups are particularly important:</w:t>
      </w:r>
    </w:p>
    <w:p>
      <w:pPr>
        <w:pStyle w:val="ListParagraph"/>
        <w:numPr>
          <w:ilvl w:val="0"/>
          <w:numId w:val="2"/>
        </w:numPr>
        <w:spacing w:line="360" w:after="1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Triggered when a student answers incorrectly with high confidence. The student explains their reasoning. The response gets classified as a </w:t>
      </w:r>
      <w:r>
        <w:rPr>
          <w:rFonts w:ascii="Times New Roman" w:cs="Times New Roman" w:eastAsia="Times New Roman" w:hAnsi="Times New Roman"/>
          <w:i/>
          <w:iCs/>
          <w:sz w:val="24"/>
          <w:szCs w:val="24"/>
        </w:rPr>
        <w:t xml:space="preserve">misconception</w:t>
      </w:r>
      <w:r>
        <w:rPr>
          <w:rFonts w:ascii="Times New Roman" w:cs="Times New Roman" w:eastAsia="Times New Roman" w:hAnsi="Times New Roman"/>
          <w:sz w:val="24"/>
          <w:szCs w:val="24"/>
        </w:rPr>
        <w:t xml:space="preserve"> (active wrong belief), a </w:t>
      </w:r>
      <w:r>
        <w:rPr>
          <w:rFonts w:ascii="Times New Roman" w:cs="Times New Roman" w:eastAsia="Times New Roman" w:hAnsi="Times New Roman"/>
          <w:i/>
          <w:iCs/>
          <w:sz w:val="24"/>
          <w:szCs w:val="24"/>
        </w:rPr>
        <w:t xml:space="preserve">knowledge gap</w:t>
      </w:r>
      <w:r>
        <w:rPr>
          <w:rFonts w:ascii="Times New Roman" w:cs="Times New Roman" w:eastAsia="Times New Roman" w:hAnsi="Times New Roman"/>
          <w:sz w:val="24"/>
          <w:szCs w:val="24"/>
        </w:rPr>
        <w:t xml:space="preserve"> (no knowledge), or a </w:t>
      </w:r>
      <w:r>
        <w:rPr>
          <w:rFonts w:ascii="Times New Roman" w:cs="Times New Roman" w:eastAsia="Times New Roman" w:hAnsi="Times New Roman"/>
          <w:i/>
          <w:iCs/>
          <w:sz w:val="24"/>
          <w:szCs w:val="24"/>
        </w:rPr>
        <w:t xml:space="preserve">selection error</w:t>
      </w:r>
      <w:r>
        <w:rPr>
          <w:rFonts w:ascii="Times New Roman" w:cs="Times New Roman" w:eastAsia="Times New Roman" w:hAnsi="Times New Roman"/>
          <w:sz w:val="24"/>
          <w:szCs w:val="24"/>
        </w:rPr>
        <w:t xml:space="preserve"> (understood the concept but picked the wrong answer).</w:t>
      </w:r>
    </w:p>
    <w:p>
      <w:pPr>
        <w:pStyle w:val="ListParagraph"/>
        <w:numPr>
          <w:ilvl w:val="0"/>
          <w:numId w:val="2"/>
        </w:numPr>
        <w:spacing w:line="360" w:after="1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Triggered when a student answers correctly with low confidence. The student explains why the correct answer is right. The response gets classified as </w:t>
      </w:r>
      <w:r>
        <w:rPr>
          <w:rFonts w:ascii="Times New Roman" w:cs="Times New Roman" w:eastAsia="Times New Roman" w:hAnsi="Times New Roman"/>
          <w:i/>
          <w:iCs/>
          <w:sz w:val="24"/>
          <w:szCs w:val="24"/>
        </w:rPr>
        <w:t xml:space="preserve">verified</w:t>
      </w:r>
      <w:r>
        <w:rPr>
          <w:rFonts w:ascii="Times New Roman" w:cs="Times New Roman" w:eastAsia="Times New Roman" w:hAnsi="Times New Roman"/>
          <w:sz w:val="24"/>
          <w:szCs w:val="24"/>
        </w:rPr>
        <w:t xml:space="preserve"> (genuine understanding), </w:t>
      </w:r>
      <w:r>
        <w:rPr>
          <w:rFonts w:ascii="Times New Roman" w:cs="Times New Roman" w:eastAsia="Times New Roman" w:hAnsi="Times New Roman"/>
          <w:i/>
          <w:iCs/>
          <w:sz w:val="24"/>
          <w:szCs w:val="24"/>
        </w:rPr>
        <w:t xml:space="preserve">partial</w:t>
      </w:r>
      <w:r>
        <w:rPr>
          <w:rFonts w:ascii="Times New Roman" w:cs="Times New Roman" w:eastAsia="Times New Roman" w:hAnsi="Times New Roman"/>
          <w:sz w:val="24"/>
          <w:szCs w:val="24"/>
        </w:rPr>
        <w:t xml:space="preserve"> (incomplete reasoning), or </w:t>
      </w:r>
      <w:r>
        <w:rPr>
          <w:rFonts w:ascii="Times New Roman" w:cs="Times New Roman" w:eastAsia="Times New Roman" w:hAnsi="Times New Roman"/>
          <w:i/>
          <w:iCs/>
          <w:sz w:val="24"/>
          <w:szCs w:val="24"/>
        </w:rPr>
        <w:t xml:space="preserve">likely guess</w:t>
      </w:r>
      <w:r>
        <w:rPr>
          <w:rFonts w:ascii="Times New Roman" w:cs="Times New Roman" w:eastAsia="Times New Roman" w:hAnsi="Times New Roman"/>
          <w:sz w:val="24"/>
          <w:szCs w:val="24"/>
        </w:rPr>
        <w:t xml:space="preserve"> (no real understanding).</w:t>
      </w:r>
    </w:p>
    <w:p>
      <w:pPr>
        <w:spacing w:line="360" w:after="200"/>
      </w:pPr>
      <w:r>
        <w:rPr>
          <w:rFonts w:ascii="Times New Roman" w:cs="Times New Roman" w:eastAsia="Times New Roman" w:hAnsi="Times New Roman"/>
          <w:sz w:val="24"/>
          <w:szCs w:val="24"/>
        </w:rPr>
        <w:t xml:space="preserve">These two follow-up types are alternatives — a given anchor item triggers one or the other, never both.</w:t>
      </w:r>
    </w:p>
    <w:p>
      <w:pPr>
        <w:pStyle w:val="Heading2"/>
        <w:spacing w:before="360" w:after="180"/>
      </w:pPr>
      <w:r>
        <w:rPr>
          <w:rFonts w:ascii="Times New Roman" w:cs="Times New Roman" w:eastAsia="Times New Roman" w:hAnsi="Times New Roman"/>
          <w:sz w:val="24"/>
          <w:szCs w:val="24"/>
        </w:rPr>
        <w:t xml:space="preserve">Denominator Map</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Label</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Usage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Course roster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653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Context only; never used as a performance denominator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Platform onboarded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Students who completed onboarding</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Submitted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N = 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 descriptive results and figures</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Research-consented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b/>
                <w:bCs/>
                <w:sz w:val="22"/>
                <w:szCs w:val="22"/>
              </w:rPr>
              <w:t xml:space="preserve">n = 354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All diagnostic and open-ended classifications</w:t>
            </w:r>
          </w:p>
        </w:tc>
      </w:tr>
    </w:tbl>
    <w:p>
      <w:pPr>
        <w:spacing w:after="200"/>
      </w:pPr>
    </w:p>
    <w:p>
      <w:pPr>
        <w:pStyle w:val="Heading2"/>
        <w:spacing w:before="360" w:after="180"/>
      </w:pPr>
      <w:r>
        <w:rPr>
          <w:rFonts w:ascii="Times New Roman" w:cs="Times New Roman" w:eastAsia="Times New Roman" w:hAnsi="Times New Roman"/>
          <w:sz w:val="24"/>
          <w:szCs w:val="24"/>
        </w:rPr>
        <w:t xml:space="preserve">Privacy and Suppression Rule</w:t>
      </w:r>
    </w:p>
    <w:p>
      <w:pPr>
        <w:spacing w:line="360" w:after="200"/>
      </w:pPr>
      <w:r>
        <w:rPr>
          <w:rFonts w:ascii="Times New Roman" w:cs="Times New Roman" w:eastAsia="Times New Roman" w:hAnsi="Times New Roman"/>
          <w:sz w:val="24"/>
          <w:szCs w:val="24"/>
        </w:rPr>
        <w:t xml:space="preserve">To protect student privacy, any demographic or socioeconomic category with fewer than 10 respondents is suppressed or collapsed into an adjacent group. This report does not print any raw count below 10. Where a category is suppressed, it is labeled "&lt; 10 (suppressed)" or combined with a neighboring category.</w:t>
      </w:r>
    </w:p>
    <w:p>
      <w:pPr>
        <w:pStyle w:val="Heading1"/>
        <w:pageBreakBefore/>
        <w:spacing w:before="480" w:after="240"/>
      </w:pPr>
      <w:r>
        <w:rPr>
          <w:rFonts w:ascii="Times New Roman" w:cs="Times New Roman" w:eastAsia="Times New Roman" w:hAnsi="Times New Roman"/>
          <w:sz w:val="24"/>
          <w:szCs w:val="24"/>
        </w:rPr>
        <w:t xml:space="preserve">3. Results: Submitted Sample (N = 431)</w:t>
      </w:r>
    </w:p>
    <w:p>
      <w:pPr>
        <w:pStyle w:val="Heading2"/>
        <w:spacing w:before="360" w:after="180"/>
      </w:pPr>
      <w:r>
        <w:rPr>
          <w:rFonts w:ascii="Times New Roman" w:cs="Times New Roman" w:eastAsia="Times New Roman" w:hAnsi="Times New Roman"/>
          <w:sz w:val="24"/>
          <w:szCs w:val="24"/>
        </w:rPr>
        <w:t xml:space="preserve">3.1 Participation Funnel</w:t>
      </w:r>
    </w:p>
    <w:p>
      <w:pPr>
        <w:spacing w:line="360" w:after="200"/>
      </w:pPr>
      <w:r>
        <w:rPr>
          <w:rFonts w:ascii="Times New Roman" w:cs="Times New Roman" w:eastAsia="Times New Roman" w:hAnsi="Times New Roman"/>
          <w:sz w:val="24"/>
          <w:szCs w:val="24"/>
        </w:rPr>
        <w:t xml:space="preserve">Of the 653 students on the QUIN 102 roster, 443 completed onboarding on the assessment platform. Of those, 431 submitted the full assessment — a 97.3% completion rate among those who started. The remaining 12 students began the assessment but did not finish.</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R3. Daily Enrollment and Completion (Feb 2–10, 2026). Bars show daily new enrollments and completions; the dashed line shows cumulative submitted assessments.</w:t>
      </w:r>
    </w:p>
    <w:p>
      <w:pPr>
        <w:spacing w:line="360" w:after="200"/>
      </w:pPr>
      <w:r>
        <w:rPr>
          <w:rFonts w:ascii="Times New Roman" w:cs="Times New Roman" w:eastAsia="Times New Roman" w:hAnsi="Times New Roman"/>
          <w:sz w:val="24"/>
          <w:szCs w:val="24"/>
        </w:rPr>
        <w:t xml:space="preserve">Enrollment was spread across the nine-day window, with the first day (Feb 2) and the last weekend (Feb 8–9) accounting for the largest cohorts.</w:t>
      </w:r>
    </w:p>
    <w:p>
      <w:pPr>
        <w:pStyle w:val="Heading2"/>
        <w:spacing w:before="360" w:after="180"/>
      </w:pPr>
      <w:r>
        <w:rPr>
          <w:rFonts w:ascii="Times New Roman" w:cs="Times New Roman" w:eastAsia="Times New Roman" w:hAnsi="Times New Roman"/>
          <w:sz w:val="24"/>
          <w:szCs w:val="24"/>
        </w:rPr>
        <w:t xml:space="preserve">3.2 Overall Score Distribution</w:t>
      </w:r>
    </w:p>
    <w:p>
      <w:pPr>
        <w:spacing w:line="360" w:after="200"/>
      </w:pPr>
      <w:r>
        <w:rPr>
          <w:rFonts w:ascii="Times New Roman" w:cs="Times New Roman" w:eastAsia="Times New Roman" w:hAnsi="Times New Roman"/>
          <w:sz w:val="24"/>
          <w:szCs w:val="24"/>
        </w:rPr>
        <w:t xml:space="preserve">The mean anchor score was 66.4% (N = 431). The score distribution was roughly bell-shaped, with the peak in the 60–69% range (125 students, 29.0% of the sample).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R1. Pre-Course Overall Score Distribution (N = 431). The dashed line marks the mean (66.4%). The gold bar highlights the modal bin (60–69%).</w:t>
      </w:r>
    </w:p>
    <w:p>
      <w:pPr>
        <w:spacing w:line="360" w:after="200"/>
      </w:pPr>
      <w:r>
        <w:rPr>
          <w:rFonts w:ascii="Times New Roman" w:cs="Times New Roman" w:eastAsia="Times New Roman" w:hAnsi="Times New Roman"/>
          <w:sz w:val="24"/>
          <w:szCs w:val="24"/>
        </w:rPr>
        <w:t xml:space="preserve">When grouped into performance bands: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N = 431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Below 50%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55</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50–69%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200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46.4%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70–79%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19.0%</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80% and above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21.8%</w:t>
            </w:r>
          </w:p>
        </w:tc>
      </w:tr>
    </w:tbl>
    <w:p>
      <w:pPr>
        <w:spacing w:after="200"/>
      </w:pPr>
    </w:p>
    <w:p>
      <w:pPr>
        <w:spacing w:line="360" w:after="200"/>
      </w:pPr>
      <w:r>
        <w:rPr>
          <w:rFonts w:ascii="Times New Roman" w:cs="Times New Roman" w:eastAsia="Times New Roman" w:hAnsi="Times New Roman"/>
          <w:i/>
          <w:iCs/>
          <w:sz w:val="24"/>
          <w:szCs w:val="24"/>
        </w:rPr>
        <w:t xml:space="preserve">Source: docs/data/domain-score-distribution.csv, aggregated by band.</w:t>
      </w:r>
    </w:p>
    <w:p>
      <w:pPr>
        <w:spacing w:line="360" w:after="200"/>
      </w:pPr>
      <w:r>
        <w:rPr>
          <w:rFonts w:ascii="Times New Roman" w:cs="Times New Roman" w:eastAsia="Times New Roman" w:hAnsi="Times New Roman"/>
          <w:sz w:val="24"/>
          <w:szCs w:val="24"/>
        </w:rPr>
        <w:t xml:space="preserve">Over half the submitted sample (59.2%) scored below 70%. The 12.8% below 50% are the students most at risk of struggling with course material without additional support.</w:t>
      </w:r>
    </w:p>
    <w:p>
      <w:pPr>
        <w:spacing w:line="360" w:after="200"/>
      </w:pPr>
      <w:r>
        <w:rPr>
          <w:rFonts w:ascii="Times New Roman" w:cs="Times New Roman" w:eastAsia="Times New Roman" w:hAnsi="Times New Roman"/>
          <w:sz w:val="24"/>
          <w:szCs w:val="24"/>
        </w:rPr>
        <w:t xml:space="preserve">For context, prior financial literacy research with adult and college-age populations has typically reported mean scores in the 40–60% range. Chen and Volpe (1998) found a mean of about 53% among 924 college students, and Lusardi (2019) documented that roughly one-third of adults globally can answer basic financial literacy questions correctly. Our sample's 66.4% mean is slightly above that range, which may reflect the fact that QUIN 102 students have some prior interest in financial topics.</w:t>
      </w:r>
    </w:p>
    <w:p>
      <w:pPr>
        <w:pStyle w:val="Heading2"/>
        <w:spacing w:before="360" w:after="180"/>
      </w:pPr>
      <w:r>
        <w:rPr>
          <w:rFonts w:ascii="Times New Roman" w:cs="Times New Roman" w:eastAsia="Times New Roman" w:hAnsi="Times New Roman"/>
          <w:sz w:val="24"/>
          <w:szCs w:val="24"/>
        </w:rPr>
        <w:t xml:space="preserve">3.3 Domain Performance</w:t>
      </w:r>
    </w:p>
    <w:p>
      <w:pPr>
        <w:spacing w:line="360" w:after="200"/>
      </w:pPr>
      <w:r>
        <w:rPr>
          <w:rFonts w:ascii="Times New Roman" w:cs="Times New Roman" w:eastAsia="Times New Roman" w:hAnsi="Times New Roman"/>
          <w:sz w:val="24"/>
          <w:szCs w:val="24"/>
        </w:rPr>
        <w:t xml:space="preserve">The 26 scored anchor items span three knowledge domains. Domain-level means (N = 431) were: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SD</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Behavioral and Risk Management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73.3%</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26.4%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Borrowing, Interest, and Numeracy</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69.2%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19.0%</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Investment and Risk/Return</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63.8%</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21.5%</w:t>
            </w:r>
          </w:p>
        </w:tc>
      </w:tr>
    </w:tbl>
    <w:p>
      <w:pPr>
        <w:spacing w:after="200"/>
      </w:pPr>
    </w:p>
    <w:p>
      <w:pPr>
        <w:spacing w:line="360" w:after="200"/>
      </w:pPr>
      <w:r>
        <w:rPr>
          <w:rFonts w:ascii="Times New Roman" w:cs="Times New Roman" w:eastAsia="Times New Roman" w:hAnsi="Times New Roman"/>
          <w:i/>
          <w:iCs/>
          <w:sz w:val="24"/>
          <w:szCs w:val="24"/>
        </w:rPr>
        <w:t xml:space="preserve">Source: generate_charts.py lines 85-86 (not available in any CSV; confirmed by Final DOCX Figure 2).</w:t>
      </w:r>
    </w:p>
    <w:p>
      <w:pPr>
        <w:spacing w:before="360" w:after="120"/>
        <w:jc w:val="center"/>
      </w:pPr>
      <w:r>
        <w:drawing>
          <wp:inline distT="0" distB="0" distL="0" distR="0">
            <wp:extent cx="55245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0767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R2. Domain-Level Performance Comparison (N = 431). Error bars show plus or minus one standard deviation. The dashed line marks the overall mean (66.4%).</w:t>
      </w:r>
    </w:p>
    <w:p>
      <w:pPr>
        <w:spacing w:line="360" w:after="200"/>
      </w:pPr>
      <w:r>
        <w:rPr>
          <w:rFonts w:ascii="Times New Roman" w:cs="Times New Roman" w:eastAsia="Times New Roman" w:hAnsi="Times New Roman"/>
          <w:sz w:val="24"/>
          <w:szCs w:val="24"/>
        </w:rPr>
        <w:t xml:space="preserve">Investment and Risk/Return is the weakest area, about 10 percentage points below Risk Management. This gap is partly driven by difficult items on inflation protection (Q38, 23.7% correct) and bond pricing (Q29, 36.2% correct), though high selection error counts in this domain mean that some of the apparent weakness is format-related rather than knowledge-related.</w:t>
      </w:r>
    </w:p>
    <w:p>
      <w:pPr>
        <w:pStyle w:val="Heading2"/>
        <w:spacing w:before="360" w:after="180"/>
      </w:pPr>
      <w:r>
        <w:rPr>
          <w:rFonts w:ascii="Times New Roman" w:cs="Times New Roman" w:eastAsia="Times New Roman" w:hAnsi="Times New Roman"/>
          <w:sz w:val="24"/>
          <w:szCs w:val="24"/>
        </w:rPr>
        <w:t xml:space="preserve">3.4 Confidence Calibration</w:t>
      </w:r>
    </w:p>
    <w:p>
      <w:pPr>
        <w:spacing w:line="360" w:after="200"/>
      </w:pPr>
      <w:r>
        <w:rPr>
          <w:rFonts w:ascii="Times New Roman" w:cs="Times New Roman" w:eastAsia="Times New Roman" w:hAnsi="Times New Roman"/>
          <w:sz w:val="24"/>
          <w:szCs w:val="24"/>
        </w:rPr>
        <w:t xml:space="preserve">Each anchor item includes a confidence rating (1 = low, 2 = mid, 3 = high). We computed an overconfidence index (OI) for each student as the difference between their average normalized confidence and their average accuracy. The thresholds are: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OI Range</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Students</w:t>
            </w:r>
          </w:p>
        </w:tc>
        <w:tc>
          <w:tcPr>
            <w:tcW w:type="dxa" w:w="234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N = 431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Underconfident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OI &lt; −0.10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32.5%</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Well-Calibrated</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−0.10 to 0.10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160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37.1%</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Moderately Overconfident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0.10 to 0.30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101</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23.4%</w:t>
            </w:r>
          </w:p>
        </w:tc>
      </w:tr>
      <w:tr>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Highly Overconfident</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OI ≥ 0.30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30</w:t>
            </w:r>
          </w:p>
        </w:tc>
        <w:tc>
          <w:tcPr>
            <w:tcW w:type="dxa" w:w="234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7.0%</w:t>
            </w:r>
          </w:p>
        </w:tc>
      </w:tr>
    </w:tbl>
    <w:p>
      <w:pPr>
        <w:spacing w:after="200"/>
      </w:pPr>
    </w:p>
    <w:p>
      <w:pPr>
        <w:spacing w:line="360" w:after="200"/>
      </w:pPr>
      <w:r>
        <w:rPr>
          <w:rFonts w:ascii="Times New Roman" w:cs="Times New Roman" w:eastAsia="Times New Roman" w:hAnsi="Times New Roman"/>
          <w:i/>
          <w:iCs/>
          <w:sz w:val="24"/>
          <w:szCs w:val="24"/>
        </w:rPr>
        <w:t xml:space="preserve">Source: generate_charts.py lines 190-191 (bin counts from scores.overconfidence_index, N = 431).</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R4. Confidence Calibration Categories (N = 431). OI = average normalized confidence minus average correctness.</w:t>
      </w:r>
    </w:p>
    <w:p>
      <w:pPr>
        <w:spacing w:line="360" w:after="200"/>
      </w:pPr>
      <w:r>
        <w:rPr>
          <w:rFonts w:ascii="Times New Roman" w:cs="Times New Roman" w:eastAsia="Times New Roman" w:hAnsi="Times New Roman"/>
          <w:sz w:val="24"/>
          <w:szCs w:val="24"/>
        </w:rPr>
        <w:t xml:space="preserve">Most students (69.6%) fall in the underconfident or well-calibrated ranges. About 30% are overconfident to some degree. The 7% who are highly overconfident are the students most likely to resist corrective feedback — they feel sure about answers they are getting wrong.</w:t>
      </w:r>
    </w:p>
    <w:p>
      <w:pPr>
        <w:spacing w:line="360" w:after="200"/>
      </w:pPr>
      <w:r>
        <w:rPr>
          <w:rFonts w:ascii="Times New Roman" w:cs="Times New Roman" w:eastAsia="Times New Roman" w:hAnsi="Times New Roman"/>
          <w:sz w:val="24"/>
          <w:szCs w:val="24"/>
        </w:rPr>
        <w:t xml:space="preserve">This matters for teaching because overconfident students are less likely to seek help or revisit material they believe they already understand.</w:t>
      </w:r>
    </w:p>
    <w:p>
      <w:pPr>
        <w:pStyle w:val="Heading2"/>
        <w:spacing w:before="360" w:after="180"/>
      </w:pPr>
      <w:r>
        <w:rPr>
          <w:rFonts w:ascii="Times New Roman" w:cs="Times New Roman" w:eastAsia="Times New Roman" w:hAnsi="Times New Roman"/>
          <w:sz w:val="24"/>
          <w:szCs w:val="24"/>
        </w:rPr>
        <w:t xml:space="preserve">3.5 Item Difficulty</w:t>
      </w:r>
    </w:p>
    <w:p>
      <w:pPr>
        <w:spacing w:line="360" w:after="200"/>
      </w:pPr>
      <w:r>
        <w:rPr>
          <w:rFonts w:ascii="Times New Roman" w:cs="Times New Roman" w:eastAsia="Times New Roman" w:hAnsi="Times New Roman"/>
          <w:sz w:val="24"/>
          <w:szCs w:val="24"/>
        </w:rPr>
        <w:t xml:space="preserve">The 26 scored anchor items ranged from 92.8% correct (Q4, basic borrowing) down to 23.7% correct (Q38, inflation protection).</w:t>
      </w:r>
    </w:p>
    <w:p>
      <w:pPr>
        <w:spacing w:before="360" w:after="120"/>
        <w:jc w:val="center"/>
      </w:pPr>
      <w:r>
        <w:drawing>
          <wp:inline distT="0" distB="0" distL="0" distR="0">
            <wp:extent cx="5524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44817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R5. Item Difficulty Ranking by Subdomain (N = 431). Green = strong (70% or above), gold = moderate (50–69%), red = weak (below 50%).</w:t>
      </w:r>
    </w:p>
    <w:p>
      <w:pPr>
        <w:spacing w:line="360" w:after="200"/>
      </w:pPr>
      <w:r>
        <w:rPr>
          <w:rFonts w:ascii="Times New Roman" w:cs="Times New Roman" w:eastAsia="Times New Roman" w:hAnsi="Times New Roman"/>
          <w:b/>
          <w:bCs/>
          <w:sz w:val="24"/>
          <w:szCs w:val="24"/>
        </w:rPr>
        <w:t xml:space="preserve">Strongest items</w:t>
      </w:r>
      <w:r>
        <w:rPr>
          <w:rFonts w:ascii="Times New Roman" w:cs="Times New Roman" w:eastAsia="Times New Roman" w:hAnsi="Times New Roman"/>
          <w:sz w:val="24"/>
          <w:szCs w:val="24"/>
        </w:rPr>
        <w:t xml:space="preserve"> (above 85% correct): Q4 (Borrowing/Interest, 92.8%), Q1 (Compound Interest, 91.4%), Q3 (Inflation definition, 85.9%), Q14 (Diversification, 84.5%).</w:t>
      </w:r>
    </w:p>
    <w:p>
      <w:pPr>
        <w:spacing w:line="360" w:after="200"/>
      </w:pPr>
      <w:r>
        <w:rPr>
          <w:rFonts w:ascii="Times New Roman" w:cs="Times New Roman" w:eastAsia="Times New Roman" w:hAnsi="Times New Roman"/>
          <w:b/>
          <w:bCs/>
          <w:sz w:val="24"/>
          <w:szCs w:val="24"/>
        </w:rPr>
        <w:t xml:space="preserve">Weakest items</w:t>
      </w:r>
      <w:r>
        <w:rPr>
          <w:rFonts w:ascii="Times New Roman" w:cs="Times New Roman" w:eastAsia="Times New Roman" w:hAnsi="Times New Roman"/>
          <w:sz w:val="24"/>
          <w:szCs w:val="24"/>
        </w:rPr>
        <w:t xml:space="preserve"> (below 50%): Q38 (Inflation Protection, 23.7%), Q6 (Inflation Lowering, 32.9%), Q29 (Interest Rates and Bonds, 36.2%), Q32 (Long-Term Asset Returns, 52.7%), Q10 (Credit Reports, 52.4%).</w:t>
      </w:r>
    </w:p>
    <w:p>
      <w:pPr>
        <w:spacing w:line="360" w:after="200"/>
      </w:pPr>
      <w:r>
        <w:rPr>
          <w:rFonts w:ascii="Times New Roman" w:cs="Times New Roman" w:eastAsia="Times New Roman" w:hAnsi="Times New Roman"/>
          <w:i/>
          <w:iCs/>
          <w:sz w:val="24"/>
          <w:szCs w:val="24"/>
        </w:rPr>
        <w:t xml:space="preserve">Source: generate_charts.py lines 229-256 (percent correct per item, N = 431).</w:t>
      </w:r>
    </w:p>
    <w:p>
      <w:pPr>
        <w:spacing w:line="360" w:after="200"/>
      </w:pPr>
      <w:r>
        <w:rPr>
          <w:rFonts w:ascii="Times New Roman" w:cs="Times New Roman" w:eastAsia="Times New Roman" w:hAnsi="Times New Roman"/>
          <w:sz w:val="24"/>
          <w:szCs w:val="24"/>
        </w:rPr>
        <w:t xml:space="preserve">The three hardest items all involve relationships that students tend to confuse: what happens to prices when inflation slows (Q6), which assets protect against inflation (Q38), and what happens to bond prices when interest rates change (Q29). These are the areas where targeted instruction is likely to matter most.</w:t>
      </w:r>
    </w:p>
    <w:p>
      <w:pPr>
        <w:pStyle w:val="Heading2"/>
        <w:spacing w:before="360" w:after="180"/>
      </w:pPr>
      <w:r>
        <w:rPr>
          <w:rFonts w:ascii="Times New Roman" w:cs="Times New Roman" w:eastAsia="Times New Roman" w:hAnsi="Times New Roman"/>
          <w:sz w:val="24"/>
          <w:szCs w:val="24"/>
        </w:rPr>
        <w:t xml:space="preserve">3.6 Submission Timing</w:t>
      </w:r>
    </w:p>
    <w:p>
      <w:pPr>
        <w:spacing w:line="360" w:after="200"/>
      </w:pPr>
      <w:r>
        <w:rPr>
          <w:rFonts w:ascii="Times New Roman" w:cs="Times New Roman" w:eastAsia="Times New Roman" w:hAnsi="Times New Roman"/>
          <w:sz w:val="24"/>
          <w:szCs w:val="24"/>
        </w:rPr>
        <w:t xml:space="preserve">Peak submission times were between 2 PM and 10 PM Chicago time, consistent with students completing the assessment in the afternoon and evening. The median active assessment time was about 18 minutes.</w:t>
      </w:r>
    </w:p>
    <w:p>
      <w:pPr>
        <w:pStyle w:val="Heading1"/>
        <w:pageBreakBefore/>
        <w:spacing w:before="480" w:after="240"/>
      </w:pPr>
      <w:r>
        <w:rPr>
          <w:rFonts w:ascii="Times New Roman" w:cs="Times New Roman" w:eastAsia="Times New Roman" w:hAnsi="Times New Roman"/>
          <w:sz w:val="24"/>
          <w:szCs w:val="24"/>
        </w:rPr>
        <w:t xml:space="preserve">4. Results by Student Characteristics (N = 431)</w:t>
      </w:r>
    </w:p>
    <w:p>
      <w:pPr>
        <w:pStyle w:val="Heading2"/>
        <w:spacing w:before="360" w:after="180"/>
      </w:pPr>
      <w:r>
        <w:rPr>
          <w:rFonts w:ascii="Times New Roman" w:cs="Times New Roman" w:eastAsia="Times New Roman" w:hAnsi="Times New Roman"/>
          <w:sz w:val="24"/>
          <w:szCs w:val="24"/>
        </w:rPr>
        <w:t xml:space="preserve">4.1 Demographics</w:t>
      </w:r>
    </w:p>
    <w:p>
      <w:pPr>
        <w:spacing w:before="360" w:after="120"/>
        <w:jc w:val="center"/>
      </w:pPr>
      <w:r>
        <w:drawing>
          <wp:inline distT="0" distB="0" distL="0" distR="0">
            <wp:extent cx="5524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R6. Sample Demographics (N = 431, submitted). Categories with fewer than 10 respondents are suppressed.</w:t>
      </w:r>
    </w:p>
    <w:p>
      <w:pPr>
        <w:spacing w:line="360" w:after="200"/>
      </w:pPr>
      <w:r>
        <w:rPr>
          <w:rFonts w:ascii="Times New Roman" w:cs="Times New Roman" w:eastAsia="Times New Roman" w:hAnsi="Times New Roman"/>
          <w:sz w:val="24"/>
          <w:szCs w:val="24"/>
        </w:rPr>
        <w:t xml:space="preserve">The submitted sample was majority female (58.2%), with males at 40.4% and a suppressed category for students who selected other options or preferred not to answer (&lt; 10 students).</w:t>
      </w:r>
    </w:p>
    <w:p>
      <w:pPr>
        <w:spacing w:line="360" w:after="200"/>
      </w:pPr>
      <w:r>
        <w:rPr>
          <w:rFonts w:ascii="Times New Roman" w:cs="Times New Roman" w:eastAsia="Times New Roman" w:hAnsi="Times New Roman"/>
          <w:sz w:val="24"/>
          <w:szCs w:val="24"/>
        </w:rPr>
        <w:t xml:space="preserve">Most students (85.2%) were age 20 or younger. About 13.7% were over 20. A small group preferred not to answer (suppressed).</w:t>
      </w:r>
    </w:p>
    <w:p>
      <w:pPr>
        <w:spacing w:line="360" w:after="200"/>
      </w:pPr>
      <w:r>
        <w:rPr>
          <w:rFonts w:ascii="Times New Roman" w:cs="Times New Roman" w:eastAsia="Times New Roman" w:hAnsi="Times New Roman"/>
          <w:sz w:val="24"/>
          <w:szCs w:val="24"/>
        </w:rPr>
        <w:t xml:space="preserve">The racial and ethnic composition was: White 48.7%, Hispanic/Latino 21.8%, Asian 12.5%, Black 6.7%, Two or More Races 6.5%, Other or Prefer Not to Say 3.7%.</w:t>
      </w:r>
    </w:p>
    <w:p>
      <w:pPr>
        <w:spacing w:line="360" w:after="200"/>
      </w:pPr>
      <w:r>
        <w:rPr>
          <w:rFonts w:ascii="Times New Roman" w:cs="Times New Roman" w:eastAsia="Times New Roman" w:hAnsi="Times New Roman"/>
          <w:sz w:val="24"/>
          <w:szCs w:val="24"/>
        </w:rPr>
        <w:t xml:space="preserve">About 70.3% of students worked part-time. Full-time workers made up 13.2%, and 14.6% reported no employment. A small group preferred not to answer (suppressed).</w:t>
      </w:r>
    </w:p>
    <w:p>
      <w:pPr>
        <w:spacing w:line="360" w:after="200"/>
      </w:pPr>
      <w:r>
        <w:rPr>
          <w:rFonts w:ascii="Times New Roman" w:cs="Times New Roman" w:eastAsia="Times New Roman" w:hAnsi="Times New Roman"/>
          <w:sz w:val="24"/>
          <w:szCs w:val="24"/>
        </w:rPr>
        <w:t xml:space="preserve">About 28.1% of students identified as first-generation college students. The remainder (68.9%) were not first-generation. A small group (3.0%) preferred not to answer.</w:t>
      </w:r>
    </w:p>
    <w:p>
      <w:pPr>
        <w:spacing w:line="360" w:after="200"/>
      </w:pPr>
      <w:r>
        <w:rPr>
          <w:rFonts w:ascii="Times New Roman" w:cs="Times New Roman" w:eastAsia="Times New Roman" w:hAnsi="Times New Roman"/>
          <w:i/>
          <w:iCs/>
          <w:sz w:val="24"/>
          <w:szCs w:val="24"/>
        </w:rPr>
        <w:t xml:space="preserve">Source: generate_charts.py lines 297-366 (percentages only; categories with fewer than 10 respondents are suppressed).</w:t>
      </w:r>
    </w:p>
    <w:p>
      <w:pPr>
        <w:pStyle w:val="Heading2"/>
        <w:spacing w:before="360" w:after="180"/>
      </w:pPr>
      <w:r>
        <w:rPr>
          <w:rFonts w:ascii="Times New Roman" w:cs="Times New Roman" w:eastAsia="Times New Roman" w:hAnsi="Times New Roman"/>
          <w:sz w:val="24"/>
          <w:szCs w:val="24"/>
        </w:rPr>
        <w:t xml:space="preserve">4.2 Financial Background and Self-Assessment</w:t>
      </w:r>
    </w:p>
    <w:p>
      <w:pPr>
        <w:spacing w:before="360" w:after="120"/>
        <w:jc w:val="center"/>
      </w:pPr>
      <w:r>
        <w:drawing>
          <wp:inline distT="0" distB="0" distL="0" distR="0">
            <wp:extent cx="5524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743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R7. Financial Background and Self-Assessment (N = 431, submitted). Categories with fewer than 10 respondents are suppressed.</w:t>
      </w:r>
    </w:p>
    <w:p>
      <w:pPr>
        <w:spacing w:line="360" w:after="200"/>
      </w:pPr>
      <w:r>
        <w:rPr>
          <w:rFonts w:ascii="Times New Roman" w:cs="Times New Roman" w:eastAsia="Times New Roman" w:hAnsi="Times New Roman"/>
          <w:b/>
          <w:bCs/>
          <w:sz w:val="24"/>
          <w:szCs w:val="24"/>
        </w:rPr>
        <w:t xml:space="preserve">Financial stress.</w:t>
      </w:r>
      <w:r>
        <w:rPr>
          <w:rFonts w:ascii="Times New Roman" w:cs="Times New Roman" w:eastAsia="Times New Roman" w:hAnsi="Times New Roman"/>
          <w:sz w:val="24"/>
          <w:szCs w:val="24"/>
        </w:rPr>
        <w:t xml:space="preserve"> The most common response was "sometimes" (43.9%), followed by "rarely" (21.6%), "often" (18.8%), and "never" (10.7%). A small group reported "always" (4.2%). Students who preferred not to answer were suppressed.</w:t>
      </w:r>
    </w:p>
    <w:p>
      <w:pPr>
        <w:spacing w:line="360" w:after="200"/>
      </w:pPr>
      <w:r>
        <w:rPr>
          <w:rFonts w:ascii="Times New Roman" w:cs="Times New Roman" w:eastAsia="Times New Roman" w:hAnsi="Times New Roman"/>
          <w:b/>
          <w:bCs/>
          <w:sz w:val="24"/>
          <w:szCs w:val="24"/>
        </w:rPr>
        <w:t xml:space="preserve">Self-rated financial knowledge.</w:t>
      </w:r>
      <w:r>
        <w:rPr>
          <w:rFonts w:ascii="Times New Roman" w:cs="Times New Roman" w:eastAsia="Times New Roman" w:hAnsi="Times New Roman"/>
          <w:sz w:val="24"/>
          <w:szCs w:val="24"/>
        </w:rPr>
        <w:t xml:space="preserve"> The majority rated their knowledge as moderate (58.7%). About a quarter rated it as low or very low (combined: 26.9%), and about one in seven rated it as high or very high (combined: 13.7%). Students who preferred not to answer were suppressed.</w:t>
      </w:r>
    </w:p>
    <w:p>
      <w:pPr>
        <w:spacing w:line="360" w:after="200"/>
      </w:pPr>
      <w:r>
        <w:rPr>
          <w:rFonts w:ascii="Times New Roman" w:cs="Times New Roman" w:eastAsia="Times New Roman" w:hAnsi="Times New Roman"/>
          <w:i/>
          <w:iCs/>
          <w:sz w:val="24"/>
          <w:szCs w:val="24"/>
        </w:rPr>
        <w:t xml:space="preserve">Source: generate_charts.py lines 387-420 (percentages only; "Very Low" and "Very High" categories each had fewer than 10 respondents and were collapsed into adjacent categories).</w:t>
      </w:r>
    </w:p>
    <w:p>
      <w:pPr>
        <w:spacing w:line="360" w:after="200"/>
      </w:pPr>
      <w:r>
        <w:rPr>
          <w:rFonts w:ascii="Times New Roman" w:cs="Times New Roman" w:eastAsia="Times New Roman" w:hAnsi="Times New Roman"/>
          <w:sz w:val="24"/>
          <w:szCs w:val="24"/>
        </w:rPr>
        <w:t xml:space="preserve">The fact that nearly two-thirds of students experience financial stress at least sometimes is worth keeping in mind. Students dealing with financial pressure may engage differently with course material about budgeting, debt, and savings — not because they lack interest, but because the topics hit close to home.</w:t>
      </w:r>
    </w:p>
    <w:p>
      <w:pPr>
        <w:pStyle w:val="Heading1"/>
        <w:pageBreakBefore/>
        <w:spacing w:before="480" w:after="240"/>
      </w:pPr>
      <w:r>
        <w:rPr>
          <w:rFonts w:ascii="Times New Roman" w:cs="Times New Roman" w:eastAsia="Times New Roman" w:hAnsi="Times New Roman"/>
          <w:sz w:val="24"/>
          <w:szCs w:val="24"/>
        </w:rPr>
        <w:t xml:space="preserve">5. Diagnostic Insights from Consented Sample (n = 354)</w:t>
      </w:r>
    </w:p>
    <w:p>
      <w:pPr>
        <w:spacing w:line="360" w:after="200"/>
      </w:pPr>
      <w:r>
        <w:rPr>
          <w:rFonts w:ascii="Times New Roman" w:cs="Times New Roman" w:eastAsia="Times New Roman" w:hAnsi="Times New Roman"/>
          <w:sz w:val="24"/>
          <w:szCs w:val="24"/>
        </w:rPr>
        <w:t xml:space="preserve">The diagnostic results in this section come from the 354 students who provided research consent. Of those, 306 (86.4%) received at least one open-ended follow-up item through the SDM-10, generating 778 scored responses. The AI scoring pipeline classified these with zero processing errors.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diagnose items target students who answered incorrectly with high confidence. The confirm items target students who answered correctly with low confidence. These results describe the tails of the confidence-accuracy distribution, not a random cross-section of the whole class. Misconception rates from this section should not be generalized to all 431 students without accounting for this conditioning.</w:t>
      </w:r>
    </w:p>
    <w:p>
      <w:pPr>
        <w:pStyle w:val="Heading2"/>
        <w:spacing w:before="360" w:after="180"/>
      </w:pPr>
      <w:r>
        <w:rPr>
          <w:rFonts w:ascii="Times New Roman" w:cs="Times New Roman" w:eastAsia="Times New Roman" w:hAnsi="Times New Roman"/>
          <w:sz w:val="24"/>
          <w:szCs w:val="24"/>
        </w:rPr>
        <w:t xml:space="preserve">5.1 Diagnose Composition</w:t>
      </w:r>
    </w:p>
    <w:p>
      <w:pPr>
        <w:spacing w:line="360" w:after="200"/>
      </w:pPr>
      <w:r>
        <w:rPr>
          <w:rFonts w:ascii="Times New Roman" w:cs="Times New Roman" w:eastAsia="Times New Roman" w:hAnsi="Times New Roman"/>
          <w:sz w:val="24"/>
          <w:szCs w:val="24"/>
        </w:rPr>
        <w:t xml:space="preserve">Of 493 diagnose responses scored from the consented sample, 479 (97.2%) were classifiable into the three-way taxonomy:</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258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53.9%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Selection error</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153</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31.9%</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Knowledge gap</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68</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Unclassified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14</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r>
    </w:tbl>
    <w:p>
      <w:pPr>
        <w:spacing w:after="200"/>
      </w:pPr>
    </w:p>
    <w:p>
      <w:pPr>
        <w:spacing w:line="360" w:after="200"/>
      </w:pPr>
      <w:r>
        <w:rPr>
          <w:rFonts w:ascii="Times New Roman" w:cs="Times New Roman" w:eastAsia="Times New Roman" w:hAnsi="Times New Roman"/>
          <w:i/>
          <w:iCs/>
          <w:sz w:val="24"/>
          <w:szCs w:val="24"/>
        </w:rPr>
        <w:t xml:space="preserve">Source: exports/diagnose_by_item.csv, column sums (misconception, knowledge_gap, selection_error). Confirmed by Final DOCX Table 7.4.</w:t>
      </w:r>
    </w:p>
    <w:p>
      <w:pPr>
        <w:spacing w:line="360" w:after="200"/>
      </w:pPr>
      <w:r>
        <w:rPr>
          <w:rFonts w:ascii="Times New Roman" w:cs="Times New Roman" w:eastAsia="Times New Roman" w:hAnsi="Times New Roman"/>
          <w:sz w:val="24"/>
          <w:szCs w:val="24"/>
        </w:rPr>
        <w:t xml:space="preserve">The misconception finding is expected — most wrong answers with high confidence reflect a specific wrong belief. The selection error finding is the more surprising result. It means that among students who answered incorrectly and felt confident about it, almost one in three actually understood the concept correctly. Their error came from the question format (True/False phrasing, negation, ambiguity) rather than from a gap in knowledge.</w:t>
      </w:r>
    </w:p>
    <w:p>
      <w:pPr>
        <w:spacing w:line="360" w:after="200"/>
      </w:pPr>
      <w:r>
        <w:rPr>
          <w:rFonts w:ascii="Times New Roman" w:cs="Times New Roman" w:eastAsia="Times New Roman" w:hAnsi="Times New Roman"/>
          <w:sz w:val="24"/>
          <w:szCs w:val="24"/>
        </w:rPr>
        <w:t xml:space="preserve">Put differently: if we relied only on anchor scores, we would overcount the number of students who hold misconceptions and undercount the number who already understand the material.</w:t>
      </w:r>
    </w:p>
    <w:p>
      <w:pPr>
        <w:pStyle w:val="Heading2"/>
        <w:spacing w:before="360" w:after="180"/>
      </w:pPr>
      <w:r>
        <w:rPr>
          <w:rFonts w:ascii="Times New Roman" w:cs="Times New Roman" w:eastAsia="Times New Roman" w:hAnsi="Times New Roman"/>
          <w:sz w:val="24"/>
          <w:szCs w:val="24"/>
        </w:rPr>
        <w:t xml:space="preserve">5.2 Confirm Composition</w:t>
      </w:r>
    </w:p>
    <w:p>
      <w:pPr>
        <w:spacing w:line="360" w:after="200"/>
      </w:pPr>
      <w:r>
        <w:rPr>
          <w:rFonts w:ascii="Times New Roman" w:cs="Times New Roman" w:eastAsia="Times New Roman" w:hAnsi="Times New Roman"/>
          <w:sz w:val="24"/>
          <w:szCs w:val="24"/>
        </w:rPr>
        <w:t xml:space="preserve">Of 285 confirm responses from the consented sample: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Responses</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Verified understanding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127</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44.6%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Partial understanding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119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41.8%</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Likely guess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i/>
          <w:iCs/>
          <w:sz w:val="24"/>
          <w:szCs w:val="24"/>
        </w:rPr>
        <w:t xml:space="preserve">Source: exports/confirm_by_item.csv, column sums (verified, partial, likely_guess). Confirmed by Final DOCX Table 7.6.</w:t>
      </w:r>
    </w:p>
    <w:p>
      <w:pPr>
        <w:spacing w:line="360" w:after="200"/>
      </w:pPr>
      <w:r>
        <w:rPr>
          <w:rFonts w:ascii="Times New Roman" w:cs="Times New Roman" w:eastAsia="Times New Roman" w:hAnsi="Times New Roman"/>
          <w:sz w:val="24"/>
          <w:szCs w:val="24"/>
        </w:rPr>
        <w:t xml:space="preserve">Among students who answered correctly but with low confidence, about one in seven (13.7%) could not explain the concept at all — suggesting they guessed correctly. On specific items, guess rates ran higher: Q29 (bond pricing) and Q13 (insurance deductibles) both showed guess rates above 30% among their confirm responses.</w:t>
      </w:r>
    </w:p>
    <w:p>
      <w:pPr>
        <w:spacing w:line="360" w:after="200"/>
      </w:pPr>
      <w:r>
        <w:rPr>
          <w:rFonts w:ascii="Times New Roman" w:cs="Times New Roman" w:eastAsia="Times New Roman" w:hAnsi="Times New Roman"/>
          <w:sz w:val="24"/>
          <w:szCs w:val="24"/>
        </w:rPr>
        <w:t xml:space="preserve">The upshot is that raw anchor scores may overstate genuine understanding on these items. A student who gets Q29 right but can't explain why bond prices fall when interest rates rise doesn't really "know" bond pricing.</w:t>
      </w:r>
    </w:p>
    <w:p>
      <w:pPr>
        <w:pStyle w:val="Heading2"/>
        <w:spacing w:before="360" w:after="180"/>
      </w:pPr>
      <w:r>
        <w:rPr>
          <w:rFonts w:ascii="Times New Roman" w:cs="Times New Roman" w:eastAsia="Times New Roman" w:hAnsi="Times New Roman"/>
          <w:sz w:val="24"/>
          <w:szCs w:val="24"/>
        </w:rPr>
        <w:t xml:space="preserve">5.3 Priority Misconception Clusters</w:t>
      </w:r>
    </w:p>
    <w:p>
      <w:pPr>
        <w:spacing w:line="360" w:after="200"/>
      </w:pPr>
      <w:r>
        <w:rPr>
          <w:rFonts w:ascii="Times New Roman" w:cs="Times New Roman" w:eastAsia="Times New Roman" w:hAnsi="Times New Roman"/>
          <w:sz w:val="24"/>
          <w:szCs w:val="24"/>
        </w:rPr>
        <w:t xml:space="preserve">Five misconception patterns stood out across the diagnostic data. Each one is specific enough to suggest a targeted instructional response.</w:t>
      </w:r>
    </w:p>
    <w:p>
      <w:pPr>
        <w:spacing w:line="360" w:after="200"/>
      </w:pPr>
      <w:r>
        <w:rPr>
          <w:rFonts w:ascii="Times New Roman" w:cs="Times New Roman" w:eastAsia="Times New Roman" w:hAnsi="Times New Roman"/>
          <w:b/>
          <w:bCs/>
          <w:sz w:val="24"/>
          <w:szCs w:val="24"/>
        </w:rPr>
        <w:t xml:space="preserve">1. Inflation mechanics confusion (INF-01).</w:t>
      </w:r>
      <w:r>
        <w:rPr>
          <w:rFonts w:ascii="Times New Roman" w:cs="Times New Roman" w:eastAsia="Times New Roman" w:hAnsi="Times New Roman"/>
          <w:sz w:val="24"/>
          <w:szCs w:val="24"/>
        </w:rPr>
        <w:t xml:space="preserve"> This was the single most common misconception code, appearing in 42 diagnose responses. Students consistently treated "lower inflation" as meaning "prices go down" rather than "prices rise more slowly." On Q6, 79% of the 53 diagnosed responses reflected this confusion. Some students also linked lower inflation to lower unemployment — economically incorrect reasoning driven by loose associations.</w:t>
      </w:r>
    </w:p>
    <w:p>
      <w:pPr>
        <w:spacing w:line="360" w:after="200"/>
      </w:pPr>
      <w:r>
        <w:rPr>
          <w:rFonts w:ascii="Times New Roman" w:cs="Times New Roman" w:eastAsia="Times New Roman" w:hAnsi="Times New Roman"/>
          <w:b/>
          <w:bCs/>
          <w:sz w:val="24"/>
          <w:szCs w:val="24"/>
        </w:rPr>
        <w:t xml:space="preserve">2. Insurance purpose confusion (INS-01/INS-02).</w:t>
      </w:r>
      <w:r>
        <w:rPr>
          <w:rFonts w:ascii="Times New Roman" w:cs="Times New Roman" w:eastAsia="Times New Roman" w:hAnsi="Times New Roman"/>
          <w:sz w:val="24"/>
          <w:szCs w:val="24"/>
        </w:rPr>
        <w:t xml:space="preserve"> On Q12, 82% of the 28 diagnosed responses reflected the belief that routine care is the main purpose of health insurance. Students used frequency-of-use reasoning: because doctor visits happen more often than emergencies, they must be the primary function. This is a consumer-experience bias — students generalize from their own usage patterns rather than understanding insurance as a risk-pooling mechanism.</w:t>
      </w:r>
    </w:p>
    <w:p>
      <w:pPr>
        <w:spacing w:line="360" w:after="200"/>
      </w:pPr>
      <w:r>
        <w:rPr>
          <w:rFonts w:ascii="Times New Roman" w:cs="Times New Roman" w:eastAsia="Times New Roman" w:hAnsi="Times New Roman"/>
          <w:b/>
          <w:bCs/>
          <w:sz w:val="24"/>
          <w:szCs w:val="24"/>
        </w:rPr>
        <w:t xml:space="preserve">3. Risk-return reasoning from exceptions (RISK-02).</w:t>
      </w:r>
      <w:r>
        <w:rPr>
          <w:rFonts w:ascii="Times New Roman" w:cs="Times New Roman" w:eastAsia="Times New Roman" w:hAnsi="Times New Roman"/>
          <w:sz w:val="24"/>
          <w:szCs w:val="24"/>
        </w:rPr>
        <w:t xml:space="preserve"> On Q30, 14 of 17 diagnosed responses (82%) showed students using real-world counterexamples to argue against the risk-return tradeoff principle. They cited specific cases where low-risk investments did well, or high-risk investments failed, to invalidate the general principle. This is inductive reasoning applied where deductive understanding is needed.</w:t>
      </w:r>
    </w:p>
    <w:p>
      <w:pPr>
        <w:spacing w:line="360" w:after="200"/>
      </w:pPr>
      <w:r>
        <w:rPr>
          <w:rFonts w:ascii="Times New Roman" w:cs="Times New Roman" w:eastAsia="Times New Roman" w:hAnsi="Times New Roman"/>
          <w:b/>
          <w:bCs/>
          <w:sz w:val="24"/>
          <w:szCs w:val="24"/>
        </w:rPr>
        <w:t xml:space="preserve">4. Empathy-driven inflation reasoning (INF-05).</w:t>
      </w:r>
      <w:r>
        <w:rPr>
          <w:rFonts w:ascii="Times New Roman" w:cs="Times New Roman" w:eastAsia="Times New Roman" w:hAnsi="Times New Roman"/>
          <w:sz w:val="24"/>
          <w:szCs w:val="24"/>
        </w:rPr>
        <w:t xml:space="preserve"> On Q7 (which group is most hurt by inflation), 26% of the 54 diagnosed responses showed students picking "young couples" because they identified personally with that demographic rather than reasoning through fixed-income vulnerability. This is not a factual error so much as a reasoning shortcut — picking the answer that feels emotionally right rather than thinking through the economic mechanism.</w:t>
      </w:r>
    </w:p>
    <w:p>
      <w:pPr>
        <w:spacing w:line="360" w:after="200"/>
      </w:pPr>
      <w:r>
        <w:rPr>
          <w:rFonts w:ascii="Times New Roman" w:cs="Times New Roman" w:eastAsia="Times New Roman" w:hAnsi="Times New Roman"/>
          <w:b/>
          <w:bCs/>
          <w:sz w:val="24"/>
          <w:szCs w:val="24"/>
        </w:rPr>
        <w:t xml:space="preserve">5. Bond pricing misconception (INT-06).</w:t>
      </w:r>
      <w:r>
        <w:rPr>
          <w:rFonts w:ascii="Times New Roman" w:cs="Times New Roman" w:eastAsia="Times New Roman" w:hAnsi="Times New Roman"/>
          <w:sz w:val="24"/>
          <w:szCs w:val="24"/>
        </w:rPr>
        <w:t xml:space="preserve"> On Q29, 46% of the 24 diagnosed responses reflected a belief that interest rates and bond prices move in the same direction. This is a factual error that's common in financial literacy research and tends to persist without direct instruction using numerical examples.</w:t>
      </w:r>
    </w:p>
    <w:p>
      <w:pPr>
        <w:spacing w:line="360" w:after="200"/>
      </w:pPr>
      <w:r>
        <w:rPr>
          <w:rFonts w:ascii="Times New Roman" w:cs="Times New Roman" w:eastAsia="Times New Roman" w:hAnsi="Times New Roman"/>
          <w:i/>
          <w:iCs/>
          <w:sz w:val="24"/>
          <w:szCs w:val="24"/>
        </w:rPr>
        <w:t xml:space="preserve">Source: exports/misconception_taxonomy_observed.csv and exports/diagnose_by_item.csv. Misconception counts from Final DOCX Table 7.9.</w:t>
      </w:r>
    </w:p>
    <w:p>
      <w:pPr>
        <w:pStyle w:val="Heading2"/>
        <w:spacing w:before="360" w:after="180"/>
      </w:pPr>
      <w:r>
        <w:rPr>
          <w:rFonts w:ascii="Times New Roman" w:cs="Times New Roman" w:eastAsia="Times New Roman" w:hAnsi="Times New Roman"/>
          <w:sz w:val="24"/>
          <w:szCs w:val="24"/>
        </w:rPr>
        <w:t xml:space="preserve">5.4 Selection-Error Hotspots</w:t>
      </w:r>
    </w:p>
    <w:p>
      <w:pPr>
        <w:spacing w:line="360" w:after="200"/>
      </w:pPr>
      <w:r>
        <w:rPr>
          <w:rFonts w:ascii="Times New Roman" w:cs="Times New Roman" w:eastAsia="Times New Roman" w:hAnsi="Times New Roman"/>
          <w:sz w:val="24"/>
          <w:szCs w:val="24"/>
        </w:rPr>
        <w:t xml:space="preserve">Selection errors — cases where students understood the concept but picked the wrong answer — were concentrated on items with specific format features: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Format Issue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872"/>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Diagnose n</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Q36</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Diversification principle</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with negation</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42</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Q10</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Credit reports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"Which is FALSE" framing</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39</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Q37</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Insurance types</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Phrasing ambiguity</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17</w:t>
            </w:r>
          </w:p>
        </w:tc>
      </w:tr>
      <w:tr>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Mortgage term and total interest</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True/False reversal</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32%</w:t>
            </w:r>
          </w:p>
        </w:tc>
        <w:tc>
          <w:tcPr>
            <w:tcW w:type="dxa" w:w="1872"/>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22</w:t>
            </w:r>
          </w:p>
        </w:tc>
      </w:tr>
    </w:tbl>
    <w:p>
      <w:pPr>
        <w:spacing w:after="200"/>
      </w:pPr>
    </w:p>
    <w:p>
      <w:pPr>
        <w:spacing w:line="360" w:after="200"/>
      </w:pPr>
      <w:r>
        <w:rPr>
          <w:rFonts w:ascii="Times New Roman" w:cs="Times New Roman" w:eastAsia="Times New Roman" w:hAnsi="Times New Roman"/>
          <w:i/>
          <w:iCs/>
          <w:sz w:val="24"/>
          <w:szCs w:val="24"/>
        </w:rPr>
        <w:t xml:space="preserve">Source: exports/diagnose_by_item.csv (selection_error_pct column for items with n ≥ 10).</w:t>
      </w:r>
    </w:p>
    <w:p>
      <w:pPr>
        <w:spacing w:line="360" w:after="200"/>
      </w:pPr>
      <w:r>
        <w:rPr>
          <w:rFonts w:ascii="Times New Roman" w:cs="Times New Roman" w:eastAsia="Times New Roman" w:hAnsi="Times New Roman"/>
          <w:sz w:val="24"/>
          <w:szCs w:val="24"/>
        </w:rPr>
        <w:t xml:space="preserve">Q36 is the clearest example. Students who answered "False" (incorrect) on whether placing savings in multiple locations is safer than keeping it all in one place could then explain the principle of diversification correctly. They understood spreading risk across asset classes. The True/False format, combined with the phrasing about "all savings in one place," appears to have confused them. In other words, the item is measuring reading comprehension and test-taking skill more than financial knowledge for these students.</w:t>
      </w:r>
    </w:p>
    <w:p>
      <w:pPr>
        <w:spacing w:line="360" w:after="200"/>
      </w:pPr>
      <w:r>
        <w:rPr>
          <w:rFonts w:ascii="Times New Roman" w:cs="Times New Roman" w:eastAsia="Times New Roman" w:hAnsi="Times New Roman"/>
          <w:sz w:val="24"/>
          <w:szCs w:val="24"/>
        </w:rPr>
        <w:t xml:space="preserve">Several additional items with smaller diagnostic samples showed similarly high selection error rates. This suggests the pattern extends beyond the four items listed here. The common thread is True/False format and negation framing — both known sources of format-induced error in educational testing.</w:t>
      </w:r>
    </w:p>
    <w:p>
      <w:pPr>
        <w:pStyle w:val="Heading2"/>
        <w:spacing w:before="360" w:after="180"/>
      </w:pPr>
      <w:r>
        <w:rPr>
          <w:rFonts w:ascii="Times New Roman" w:cs="Times New Roman" w:eastAsia="Times New Roman" w:hAnsi="Times New Roman"/>
          <w:sz w:val="24"/>
          <w:szCs w:val="24"/>
        </w:rPr>
        <w:t xml:space="preserve">5.5 Why This Matters for Teaching</w:t>
      </w:r>
    </w:p>
    <w:p>
      <w:pPr>
        <w:spacing w:line="360" w:after="200"/>
      </w:pPr>
      <w:r>
        <w:rPr>
          <w:rFonts w:ascii="Times New Roman" w:cs="Times New Roman" w:eastAsia="Times New Roman" w:hAnsi="Times New Roman"/>
          <w:sz w:val="24"/>
          <w:szCs w:val="24"/>
        </w:rPr>
        <w:t xml:space="preserve">The three-way classification (misconception, knowledge gap, selection error) has direct implications for how we think about remediation:</w:t>
      </w:r>
    </w:p>
    <w:p>
      <w:pPr>
        <w:pStyle w:val="ListParagraph"/>
        <w:numPr>
          <w:ilvl w:val="0"/>
          <w:numId w:val="2"/>
        </w:numPr>
        <w:spacing w:line="360" w:after="100"/>
      </w:pPr>
      <w:r>
        <w:rPr>
          <w:rFonts w:ascii="Times New Roman" w:cs="Times New Roman" w:eastAsia="Times New Roman" w:hAnsi="Times New Roman"/>
          <w:b/>
          <w:bCs/>
          <w:sz w:val="24"/>
          <w:szCs w:val="24"/>
        </w:rPr>
        <w:t xml:space="preserve">Misconceptions</w:t>
      </w:r>
      <w:r>
        <w:rPr>
          <w:rFonts w:ascii="Times New Roman" w:cs="Times New Roman" w:eastAsia="Times New Roman" w:hAnsi="Times New Roman"/>
          <w:sz w:val="24"/>
          <w:szCs w:val="24"/>
        </w:rPr>
        <w:t xml:space="preserve"> need targeted correction. A student who believes lower inflation means falling prices won't learn the correct concept from a general lecture on inflation — they need the specific distinction between rate and level called out explicitly.</w:t>
      </w:r>
    </w:p>
    <w:p>
      <w:pPr>
        <w:pStyle w:val="ListParagraph"/>
        <w:numPr>
          <w:ilvl w:val="0"/>
          <w:numId w:val="2"/>
        </w:numPr>
        <w:spacing w:line="360" w:after="100"/>
      </w:pPr>
      <w:r>
        <w:rPr>
          <w:rFonts w:ascii="Times New Roman" w:cs="Times New Roman" w:eastAsia="Times New Roman" w:hAnsi="Times New Roman"/>
          <w:b/>
          <w:bCs/>
          <w:sz w:val="24"/>
          <w:szCs w:val="24"/>
        </w:rPr>
        <w:t xml:space="preserve">Knowledge gaps</w:t>
      </w:r>
      <w:r>
        <w:rPr>
          <w:rFonts w:ascii="Times New Roman" w:cs="Times New Roman" w:eastAsia="Times New Roman" w:hAnsi="Times New Roman"/>
          <w:sz w:val="24"/>
          <w:szCs w:val="24"/>
        </w:rPr>
        <w:t xml:space="preserve"> need foundational instruction. A student who doesn't know what a deductible is needs the definition, not a correction of a wrong belief.</w:t>
      </w:r>
    </w:p>
    <w:p>
      <w:pPr>
        <w:pStyle w:val="ListParagraph"/>
        <w:numPr>
          <w:ilvl w:val="0"/>
          <w:numId w:val="2"/>
        </w:numPr>
        <w:spacing w:line="360" w:after="100"/>
      </w:pPr>
      <w:r>
        <w:rPr>
          <w:rFonts w:ascii="Times New Roman" w:cs="Times New Roman" w:eastAsia="Times New Roman" w:hAnsi="Times New Roman"/>
          <w:b/>
          <w:bCs/>
          <w:sz w:val="24"/>
          <w:szCs w:val="24"/>
        </w:rPr>
        <w:t xml:space="preserve">Selection errors</w:t>
      </w:r>
      <w:r>
        <w:rPr>
          <w:rFonts w:ascii="Times New Roman" w:cs="Times New Roman" w:eastAsia="Times New Roman" w:hAnsi="Times New Roman"/>
          <w:sz w:val="24"/>
          <w:szCs w:val="24"/>
        </w:rPr>
        <w:t xml:space="preserve"> need item revision, not instruction. A student who understands diversification but picks "False" on a T/F item doesn't need more teaching about diversification — they need a better question.</w:t>
      </w:r>
    </w:p>
    <w:p>
      <w:pPr>
        <w:spacing w:line="360" w:after="200"/>
      </w:pPr>
      <w:r>
        <w:rPr>
          <w:rFonts w:ascii="Times New Roman" w:cs="Times New Roman" w:eastAsia="Times New Roman" w:hAnsi="Times New Roman"/>
          <w:sz w:val="24"/>
          <w:szCs w:val="24"/>
        </w:rPr>
        <w:t xml:space="preserve">Treating all three the same way — re-teaching the topic — misses the point for about half the students in the diagnostic sample.</w:t>
      </w:r>
    </w:p>
    <w:p>
      <w:pPr>
        <w:pStyle w:val="Heading1"/>
        <w:pageBreakBefore/>
        <w:spacing w:before="480" w:after="240"/>
      </w:pPr>
      <w:r>
        <w:rPr>
          <w:rFonts w:ascii="Times New Roman" w:cs="Times New Roman" w:eastAsia="Times New Roman" w:hAnsi="Times New Roman"/>
          <w:sz w:val="24"/>
          <w:szCs w:val="24"/>
        </w:rPr>
        <w:t xml:space="preserve">6. Implications for Instruction</w:t>
      </w:r>
    </w:p>
    <w:p>
      <w:pPr>
        <w:pStyle w:val="Heading2"/>
        <w:spacing w:before="360" w:after="180"/>
      </w:pPr>
      <w:r>
        <w:rPr>
          <w:rFonts w:ascii="Times New Roman" w:cs="Times New Roman" w:eastAsia="Times New Roman" w:hAnsi="Times New Roman"/>
          <w:sz w:val="24"/>
          <w:szCs w:val="24"/>
        </w:rPr>
        <w:t xml:space="preserve">6.1 Priorities</w:t>
      </w:r>
    </w:p>
    <w:p>
      <w:pPr>
        <w:spacing w:line="360" w:after="200"/>
      </w:pPr>
      <w:r>
        <w:rPr>
          <w:rFonts w:ascii="Times New Roman" w:cs="Times New Roman" w:eastAsia="Times New Roman" w:hAnsi="Times New Roman"/>
          <w:sz w:val="24"/>
          <w:szCs w:val="24"/>
        </w:rPr>
        <w:t xml:space="preserve">Based on the diagnostic findings, we suggest three tiers of instructional priority:</w:t>
      </w:r>
    </w:p>
    <w:p>
      <w:pPr>
        <w:spacing w:line="360" w:after="200"/>
      </w:pPr>
      <w:r>
        <w:rPr>
          <w:rFonts w:ascii="Times New Roman" w:cs="Times New Roman" w:eastAsia="Times New Roman" w:hAnsi="Times New Roman"/>
          <w:b/>
          <w:bCs/>
          <w:sz w:val="24"/>
          <w:szCs w:val="24"/>
        </w:rPr>
        <w:t xml:space="preserve">Tier 1 — Address within the first two weeks:</w:t>
      </w:r>
    </w:p>
    <w:p>
      <w:pPr>
        <w:pStyle w:val="ListParagraph"/>
        <w:numPr>
          <w:ilvl w:val="0"/>
          <w:numId w:val="2"/>
        </w:numPr>
        <w:spacing w:line="360" w:after="100"/>
      </w:pPr>
      <w:r>
        <w:rPr>
          <w:rFonts w:ascii="Times New Roman" w:cs="Times New Roman" w:eastAsia="Times New Roman" w:hAnsi="Times New Roman"/>
          <w:sz w:val="24"/>
          <w:szCs w:val="24"/>
        </w:rPr>
        <w:t xml:space="preserve">Inflation rate vs. price level (INF-01, the most common misconception)</w:t>
      </w:r>
    </w:p>
    <w:p>
      <w:pPr>
        <w:pStyle w:val="ListParagraph"/>
        <w:numPr>
          <w:ilvl w:val="0"/>
          <w:numId w:val="2"/>
        </w:numPr>
        <w:spacing w:line="360" w:after="100"/>
      </w:pPr>
      <w:r>
        <w:rPr>
          <w:rFonts w:ascii="Times New Roman" w:cs="Times New Roman" w:eastAsia="Times New Roman" w:hAnsi="Times New Roman"/>
          <w:sz w:val="24"/>
          <w:szCs w:val="24"/>
        </w:rPr>
        <w:t xml:space="preserve">Insurance as catastrophic protection vs. routine care (INS-01)</w:t>
      </w:r>
    </w:p>
    <w:p>
      <w:pPr>
        <w:pStyle w:val="ListParagraph"/>
        <w:numPr>
          <w:ilvl w:val="0"/>
          <w:numId w:val="2"/>
        </w:numPr>
        <w:spacing w:line="360" w:after="100"/>
      </w:pPr>
      <w:r>
        <w:rPr>
          <w:rFonts w:ascii="Times New Roman" w:cs="Times New Roman" w:eastAsia="Times New Roman" w:hAnsi="Times New Roman"/>
          <w:sz w:val="24"/>
          <w:szCs w:val="24"/>
        </w:rPr>
        <w:t xml:space="preserve">Bond pricing: inverse interest-rate/price relationship (INT-06)</w:t>
      </w:r>
    </w:p>
    <w:p>
      <w:pPr>
        <w:spacing w:line="360" w:after="200"/>
      </w:pPr>
      <w:r>
        <w:rPr>
          <w:rFonts w:ascii="Times New Roman" w:cs="Times New Roman" w:eastAsia="Times New Roman" w:hAnsi="Times New Roman"/>
          <w:b/>
          <w:bCs/>
          <w:sz w:val="24"/>
          <w:szCs w:val="24"/>
        </w:rPr>
        <w:t xml:space="preserve">Tier 2 — Address before mid-semester:</w:t>
      </w:r>
    </w:p>
    <w:p>
      <w:pPr>
        <w:pStyle w:val="ListParagraph"/>
        <w:numPr>
          <w:ilvl w:val="0"/>
          <w:numId w:val="2"/>
        </w:numPr>
        <w:spacing w:line="360" w:after="100"/>
      </w:pPr>
      <w:r>
        <w:rPr>
          <w:rFonts w:ascii="Times New Roman" w:cs="Times New Roman" w:eastAsia="Times New Roman" w:hAnsi="Times New Roman"/>
          <w:sz w:val="24"/>
          <w:szCs w:val="24"/>
        </w:rPr>
        <w:t xml:space="preserve">Risk-return tradeoff using financial-domain examples (RISK-02)</w:t>
      </w:r>
    </w:p>
    <w:p>
      <w:pPr>
        <w:pStyle w:val="ListParagraph"/>
        <w:numPr>
          <w:ilvl w:val="0"/>
          <w:numId w:val="2"/>
        </w:numPr>
        <w:spacing w:line="360" w:after="100"/>
      </w:pPr>
      <w:r>
        <w:rPr>
          <w:rFonts w:ascii="Times New Roman" w:cs="Times New Roman" w:eastAsia="Times New Roman" w:hAnsi="Times New Roman"/>
          <w:sz w:val="24"/>
          <w:szCs w:val="24"/>
        </w:rPr>
        <w:t xml:space="preserve">Auto loan and mortgage negotiation basics (INT-05, BORROW-03)</w:t>
      </w:r>
    </w:p>
    <w:p>
      <w:pPr>
        <w:pStyle w:val="ListParagraph"/>
        <w:numPr>
          <w:ilvl w:val="0"/>
          <w:numId w:val="2"/>
        </w:numPr>
        <w:spacing w:line="360" w:after="100"/>
      </w:pPr>
      <w:r>
        <w:rPr>
          <w:rFonts w:ascii="Times New Roman" w:cs="Times New Roman" w:eastAsia="Times New Roman" w:hAnsi="Times New Roman"/>
          <w:sz w:val="24"/>
          <w:szCs w:val="24"/>
        </w:rPr>
        <w:t xml:space="preserve">Deductible/premium/copay terminology (knowledge gap on Q13)</w:t>
      </w:r>
    </w:p>
    <w:p>
      <w:pPr>
        <w:spacing w:line="360" w:after="200"/>
      </w:pPr>
      <w:r>
        <w:rPr>
          <w:rFonts w:ascii="Times New Roman" w:cs="Times New Roman" w:eastAsia="Times New Roman" w:hAnsi="Times New Roman"/>
          <w:b/>
          <w:bCs/>
          <w:sz w:val="24"/>
          <w:szCs w:val="24"/>
        </w:rPr>
        <w:t xml:space="preserve">Tier 3 — Reinforce throughout the semester:</w:t>
      </w:r>
    </w:p>
    <w:p>
      <w:pPr>
        <w:pStyle w:val="ListParagraph"/>
        <w:numPr>
          <w:ilvl w:val="0"/>
          <w:numId w:val="2"/>
        </w:numPr>
        <w:spacing w:line="360" w:after="100"/>
      </w:pPr>
      <w:r>
        <w:rPr>
          <w:rFonts w:ascii="Times New Roman" w:cs="Times New Roman" w:eastAsia="Times New Roman" w:hAnsi="Times New Roman"/>
          <w:sz w:val="24"/>
          <w:szCs w:val="24"/>
        </w:rPr>
        <w:t xml:space="preserve">Emergency fund sizing (BORROW-05)</w:t>
      </w:r>
    </w:p>
    <w:p>
      <w:pPr>
        <w:pStyle w:val="ListParagraph"/>
        <w:numPr>
          <w:ilvl w:val="0"/>
          <w:numId w:val="2"/>
        </w:numPr>
        <w:spacing w:line="360" w:after="100"/>
      </w:pPr>
      <w:r>
        <w:rPr>
          <w:rFonts w:ascii="Times New Roman" w:cs="Times New Roman" w:eastAsia="Times New Roman" w:hAnsi="Times New Roman"/>
          <w:sz w:val="24"/>
          <w:szCs w:val="24"/>
        </w:rPr>
        <w:t xml:space="preserve">Stock market function beyond wealth creation (RISK-07)</w:t>
      </w:r>
    </w:p>
    <w:p>
      <w:pPr>
        <w:pStyle w:val="ListParagraph"/>
        <w:numPr>
          <w:ilvl w:val="0"/>
          <w:numId w:val="2"/>
        </w:numPr>
        <w:spacing w:line="360" w:after="100"/>
      </w:pPr>
      <w:r>
        <w:rPr>
          <w:rFonts w:ascii="Times New Roman" w:cs="Times New Roman" w:eastAsia="Times New Roman" w:hAnsi="Times New Roman"/>
          <w:sz w:val="24"/>
          <w:szCs w:val="24"/>
        </w:rPr>
        <w:t xml:space="preserve">Diversification across asset classes (already well-understood by most, but format-sensitive)</w:t>
      </w:r>
    </w:p>
    <w:p>
      <w:pPr>
        <w:pStyle w:val="Heading2"/>
        <w:spacing w:before="360" w:after="180"/>
      </w:pPr>
      <w:r>
        <w:rPr>
          <w:rFonts w:ascii="Times New Roman" w:cs="Times New Roman" w:eastAsia="Times New Roman" w:hAnsi="Times New Roman"/>
          <w:sz w:val="24"/>
          <w:szCs w:val="24"/>
        </w:rPr>
        <w:t xml:space="preserve">6.2 What to Change Next Week</w:t>
      </w:r>
    </w:p>
    <w:p>
      <w:pPr>
        <w:spacing w:line="360" w:after="200"/>
      </w:pPr>
      <w:r>
        <w:rPr>
          <w:rFonts w:ascii="Times New Roman" w:cs="Times New Roman" w:eastAsia="Times New Roman" w:hAnsi="Times New Roman"/>
          <w:sz w:val="24"/>
          <w:szCs w:val="24"/>
        </w:rPr>
        <w:t xml:space="preserve">These are five concrete actions for the first two weeks of instruction:</w:t>
      </w:r>
    </w:p>
    <w:p>
      <w:pPr>
        <w:pStyle w:val="ListParagraph"/>
        <w:numPr>
          <w:ilvl w:val="0"/>
          <w:numId w:val="6"/>
        </w:numPr>
        <w:spacing w:line="360" w:after="100"/>
      </w:pPr>
      <w:r>
        <w:rPr>
          <w:rFonts w:ascii="Times New Roman" w:cs="Times New Roman" w:eastAsia="Times New Roman" w:hAnsi="Times New Roman"/>
          <w:b/>
          <w:bCs/>
          <w:sz w:val="24"/>
          <w:szCs w:val="24"/>
        </w:rPr>
        <w:t xml:space="preserve">15-minute inflation module.</w:t>
      </w:r>
      <w:r>
        <w:rPr>
          <w:rFonts w:ascii="Times New Roman" w:cs="Times New Roman" w:eastAsia="Times New Roman" w:hAnsi="Times New Roman"/>
          <w:sz w:val="24"/>
          <w:szCs w:val="24"/>
        </w:rPr>
        <w:t xml:space="preserve"> Before covering the inflation chapter, spend 15 minutes on the distinction between "inflation is going down" (prices still rising, just more slowly) and "prices are going down" (deflation). A simple two-line graph — one showing the inflation rate, one showing the price level — makes this visual and sticky.</w:t>
      </w:r>
    </w:p>
    <w:p>
      <w:pPr>
        <w:pStyle w:val="ListParagraph"/>
        <w:numPr>
          <w:ilvl w:val="0"/>
          <w:numId w:val="6"/>
        </w:numPr>
        <w:spacing w:line="360" w:after="100"/>
      </w:pPr>
      <w:r>
        <w:rPr>
          <w:rFonts w:ascii="Times New Roman" w:cs="Times New Roman" w:eastAsia="Times New Roman" w:hAnsi="Times New Roman"/>
          <w:b/>
          <w:bCs/>
          <w:sz w:val="24"/>
          <w:szCs w:val="24"/>
        </w:rPr>
        <w:t xml:space="preserve">Insurance framing correction.</w:t>
      </w:r>
      <w:r>
        <w:rPr>
          <w:rFonts w:ascii="Times New Roman" w:cs="Times New Roman" w:eastAsia="Times New Roman" w:hAnsi="Times New Roman"/>
          <w:sz w:val="24"/>
          <w:szCs w:val="24"/>
        </w:rPr>
        <w:t xml:space="preserve"> Before the insurance module, open with this question: "What is the main reason people buy insurance?" Let students answer. Then show them that the answer is catastrophic financial protection, not covering routine expenses. The frequency-vs-severity framing (routine visits are common but cheap; hospitalizations are rare but financially devastating) maps well to how students already think about their own experience.</w:t>
      </w:r>
    </w:p>
    <w:p>
      <w:pPr>
        <w:pStyle w:val="ListParagraph"/>
        <w:numPr>
          <w:ilvl w:val="0"/>
          <w:numId w:val="6"/>
        </w:numPr>
        <w:spacing w:line="360" w:after="100"/>
      </w:pPr>
      <w:r>
        <w:rPr>
          <w:rFonts w:ascii="Times New Roman" w:cs="Times New Roman" w:eastAsia="Times New Roman" w:hAnsi="Times New Roman"/>
          <w:b/>
          <w:bCs/>
          <w:sz w:val="24"/>
          <w:szCs w:val="24"/>
        </w:rPr>
        <w:t xml:space="preserve">Bond pricing worked example.</w:t>
      </w:r>
      <w:r>
        <w:rPr>
          <w:rFonts w:ascii="Times New Roman" w:cs="Times New Roman" w:eastAsia="Times New Roman" w:hAnsi="Times New Roman"/>
          <w:sz w:val="24"/>
          <w:szCs w:val="24"/>
        </w:rPr>
        <w:t xml:space="preserve"> Prepare a one-page handout showing a $1,000 bond paying 5% interest. Then show what happens to its market value when new bonds start paying 6%. Walk through the arithmetic. Students who see the numbers tend to remember the inverse relationship; students who only hear "bond prices fall when rates rise" tend not to.</w:t>
      </w:r>
    </w:p>
    <w:p>
      <w:pPr>
        <w:pStyle w:val="ListParagraph"/>
        <w:numPr>
          <w:ilvl w:val="0"/>
          <w:numId w:val="6"/>
        </w:numPr>
        <w:spacing w:line="360" w:after="100"/>
      </w:pPr>
      <w:r>
        <w:rPr>
          <w:rFonts w:ascii="Times New Roman" w:cs="Times New Roman" w:eastAsia="Times New Roman" w:hAnsi="Times New Roman"/>
          <w:b/>
          <w:bCs/>
          <w:sz w:val="24"/>
          <w:szCs w:val="24"/>
        </w:rPr>
        <w:t xml:space="preserve">"Read the question twice" reminder.</w:t>
      </w:r>
      <w:r>
        <w:rPr>
          <w:rFonts w:ascii="Times New Roman" w:cs="Times New Roman" w:eastAsia="Times New Roman" w:hAnsi="Times New Roman"/>
          <w:sz w:val="24"/>
          <w:szCs w:val="24"/>
        </w:rPr>
        <w:t xml:space="preserve"> For the pre-test, nearly one in three high-confidence errors turned out to be selection errors. Mention to students — without giving away answers — that some questions are tricky to parse, and that reading carefully before answering is worth the extra few seconds. This sets expectations for the post-test.</w:t>
      </w:r>
    </w:p>
    <w:p>
      <w:pPr>
        <w:pStyle w:val="ListParagraph"/>
        <w:numPr>
          <w:ilvl w:val="0"/>
          <w:numId w:val="6"/>
        </w:numPr>
        <w:spacing w:line="360" w:after="100"/>
      </w:pPr>
      <w:r>
        <w:rPr>
          <w:rFonts w:ascii="Times New Roman" w:cs="Times New Roman" w:eastAsia="Times New Roman" w:hAnsi="Times New Roman"/>
          <w:b/>
          <w:bCs/>
          <w:sz w:val="24"/>
          <w:szCs w:val="24"/>
        </w:rPr>
        <w:t xml:space="preserve">Review the misconception taxonomy.</w:t>
      </w:r>
      <w:r>
        <w:rPr>
          <w:rFonts w:ascii="Times New Roman" w:cs="Times New Roman" w:eastAsia="Times New Roman" w:hAnsi="Times New Roman"/>
          <w:sz w:val="24"/>
          <w:szCs w:val="24"/>
        </w:rPr>
        <w:t xml:space="preserve"> Skim the misconception taxonomy data (Appendix B) to see which codes appear most often. Use that to decide where to slow down during lectures and where to add practice problems. The top five codes account for the bulk of diagnosed misconceptions.</w:t>
      </w:r>
    </w:p>
    <w:p>
      <w:pPr>
        <w:pStyle w:val="Heading2"/>
        <w:spacing w:before="360" w:after="180"/>
      </w:pPr>
      <w:r>
        <w:rPr>
          <w:rFonts w:ascii="Times New Roman" w:cs="Times New Roman" w:eastAsia="Times New Roman" w:hAnsi="Times New Roman"/>
          <w:sz w:val="24"/>
          <w:szCs w:val="24"/>
        </w:rPr>
        <w:t xml:space="preserve">6.3 Mid-Semester Reinforcement</w:t>
      </w:r>
    </w:p>
    <w:p>
      <w:pPr>
        <w:spacing w:line="360" w:after="200"/>
      </w:pPr>
      <w:r>
        <w:rPr>
          <w:rFonts w:ascii="Times New Roman" w:cs="Times New Roman" w:eastAsia="Times New Roman" w:hAnsi="Times New Roman"/>
          <w:sz w:val="24"/>
          <w:szCs w:val="24"/>
        </w:rPr>
        <w:t xml:space="preserve">Between mid-semester and the planned post-assessment, consider:</w:t>
      </w:r>
    </w:p>
    <w:p>
      <w:pPr>
        <w:pStyle w:val="ListParagraph"/>
        <w:numPr>
          <w:ilvl w:val="0"/>
          <w:numId w:val="2"/>
        </w:numPr>
        <w:spacing w:line="360" w:after="100"/>
      </w:pPr>
      <w:r>
        <w:rPr>
          <w:rFonts w:ascii="Times New Roman" w:cs="Times New Roman" w:eastAsia="Times New Roman" w:hAnsi="Times New Roman"/>
          <w:b/>
          <w:bCs/>
          <w:sz w:val="24"/>
          <w:szCs w:val="24"/>
        </w:rPr>
        <w:t xml:space="preserve">Misconception spot-checks.</w:t>
      </w:r>
      <w:r>
        <w:rPr>
          <w:rFonts w:ascii="Times New Roman" w:cs="Times New Roman" w:eastAsia="Times New Roman" w:hAnsi="Times New Roman"/>
          <w:sz w:val="24"/>
          <w:szCs w:val="24"/>
        </w:rPr>
        <w:t xml:space="preserve"> After covering each domain, give students a short ungraded quiz that targets the top misconceptions from the pre-test (INF-01, INS-01, RISK-02). If the same errors show up, revisit the material.</w:t>
      </w:r>
    </w:p>
    <w:p>
      <w:pPr>
        <w:pStyle w:val="ListParagraph"/>
        <w:numPr>
          <w:ilvl w:val="0"/>
          <w:numId w:val="2"/>
        </w:numPr>
        <w:spacing w:line="360" w:after="100"/>
      </w:pPr>
      <w:r>
        <w:rPr>
          <w:rFonts w:ascii="Times New Roman" w:cs="Times New Roman" w:eastAsia="Times New Roman" w:hAnsi="Times New Roman"/>
          <w:b/>
          <w:bCs/>
          <w:sz w:val="24"/>
          <w:szCs w:val="24"/>
        </w:rPr>
        <w:t xml:space="preserve">"Myth or fact" exercises.</w:t>
      </w:r>
      <w:r>
        <w:rPr>
          <w:rFonts w:ascii="Times New Roman" w:cs="Times New Roman" w:eastAsia="Times New Roman" w:hAnsi="Times New Roman"/>
          <w:sz w:val="24"/>
          <w:szCs w:val="24"/>
        </w:rPr>
        <w:t xml:space="preserve"> Take the top misconception codes and turn them into true/false warm-ups at the start of class. For example: "Lower inflation means prices are going down — myth or fact?" This lets students self-correct without the pressure of a graded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Student-facing feedback.</w:t>
      </w:r>
      <w:r>
        <w:rPr>
          <w:rFonts w:ascii="Times New Roman" w:cs="Times New Roman" w:eastAsia="Times New Roman" w:hAnsi="Times New Roman"/>
          <w:sz w:val="24"/>
          <w:szCs w:val="24"/>
        </w:rPr>
        <w:t xml:space="preserve"> If the teaching team wants to go further, consider sharing anonymized class-level results (not individual scores) with students so they can see where the class struggled. Transparency about common misconceptions can normalize the idea that financial literacy is something to build, not something you either have or don't.</w:t>
      </w:r>
    </w:p>
    <w:p>
      <w:pPr>
        <w:pStyle w:val="Heading1"/>
        <w:pageBreakBefore/>
        <w:spacing w:before="480" w:after="240"/>
      </w:pPr>
      <w:r>
        <w:rPr>
          <w:rFonts w:ascii="Times New Roman" w:cs="Times New Roman" w:eastAsia="Times New Roman" w:hAnsi="Times New Roman"/>
          <w:sz w:val="24"/>
          <w:szCs w:val="24"/>
        </w:rPr>
        <w:t xml:space="preserve">7. Recommendations</w:t>
      </w:r>
    </w:p>
    <w:p>
      <w:pPr>
        <w:spacing w:line="360" w:after="200"/>
      </w:pPr>
      <w:r>
        <w:rPr>
          <w:rFonts w:ascii="Times New Roman" w:cs="Times New Roman" w:eastAsia="Times New Roman" w:hAnsi="Times New Roman"/>
          <w:sz w:val="24"/>
          <w:szCs w:val="24"/>
        </w:rPr>
        <w:t xml:space="preserve">The table below maps each major finding to a specific teaching or assessment change, with a note on how the planned post-assessment (Paper 2, contingent on IRB approval) could check whether the change made a difference.</w:t>
      </w:r>
    </w:p>
    <w:p>
      <w:pPr>
        <w:spacing w:line="360" w:after="200"/>
      </w:pPr>
      <w:r>
        <w:rPr>
          <w:rFonts w:ascii="Times New Roman" w:cs="Times New Roman" w:eastAsia="Times New Roman" w:hAnsi="Times New Roman"/>
          <w:b/>
          <w:bCs/>
          <w:sz w:val="24"/>
          <w:szCs w:val="24"/>
        </w:rPr>
        <w:t xml:space="preserve">Table 7.1: Course Improvement Recommendations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Finding</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Evidence (denominator, source)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Teaching Change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Assessment Change</w:t>
            </w:r>
          </w:p>
        </w:tc>
        <w:tc>
          <w:tcPr>
            <w:tcW w:type="dxa" w:w="156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Post-Test Check (planned, if approved)</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79% of high-confidence errors on Q6 reflect confusion between inflation rate and price level (INF-01)</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Q6 row: 42 of 53 misconceptions (n = 354 consented)</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Dedicate instruction to distinguishing "lower inflation" from "falling prices" using rate-vs-level visual aids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INF-01 prevalence on Q6</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Q12 reflect belief that routine care is insurance's main function (INS-01)</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Q12 row: 23 of 28 misconceptions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module on health insurance purpose: catastrophic protection vs. routine care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Q12 accuracy and INS-01 prevalence</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3</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82% of high-confidence errors on Q30 reflect reasoning-from-exceptions (RISK-02)</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Q30 row: 14 of 17 misconceptions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Introduce risk-return using historical asset-class return data rather than abstract statements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RISK-02 prevalence</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81% of high-confidence errors on Q36 are selection errors from T/F format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Q36 row: 34 of 42 selection errors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Revise Q36 from True/False to standard 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Q36 selection error rate after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5</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41% of high-confidence errors on Q10 are selection errors from negation framing</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Q10 row: 16 of 39 selection errors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Rewrite Q10 to remove "which is FALSE" framing</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Q10 selection error rate after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Q29 shows 46% misconception rate (INT-06) and high guess rate among correct respondents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Q29 row (n = 24); confirm_by_item.csv, Q29 row (about one-third guesses)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bond pricing segment with worked numerical examples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Q29 accuracy and INT-06 prevalence</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7</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Q13 shows a high knowledge gap rate — unfamiliarity with deductible terminology</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Q13 row: about one-third knowledge gaps (n = 19,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insurance terminology module: deductible, premium, copay, out-of-pocket maximum</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Q13 knowledge gap rate</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8</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Several items show format-driven selection errors disproportionate to actual misunderstanding</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multiple items with high SE% (n = 354)</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Flag Q9 and Q14 for format revision; consider converting to MCQ</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SE rates before and after revision</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9</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Q2 and Q8 reveal gaps in borrowing mechanics and loan negotiation knowledge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diagnose_by_item.csv, Q8 row: 19 of 34 misconceptions, 56% (n = 354); Q2 row: over one-third knowledge gaps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Add credit-literacy module covering mortgage term/interest tradeoffs and consumer loan negotiation</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Compare pre-post accuracy on Q2 and Q8</w:t>
            </w:r>
          </w:p>
        </w:tc>
      </w:tr>
      <w:tr>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10</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Five dominant misconception clusters emerged across the assessment</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misconception_taxonomy_observed.csv (62 codes); diagnose_by_item.csv cross-item patterns</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Generate per-student misconception profiles from pre-course data; distribute targeted review materials before mid-term</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w:t>
            </w:r>
          </w:p>
        </w:tc>
        <w:tc>
          <w:tcPr>
            <w:tcW w:type="dxa" w:w="156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Track within-student misconception resolution rate in pre-post comparison</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A few things to keep in mind when reading this report:</w:t>
      </w:r>
    </w:p>
    <w:p>
      <w:pPr>
        <w:pStyle w:val="ListParagraph"/>
        <w:numPr>
          <w:ilvl w:val="0"/>
          <w:numId w:val="7"/>
        </w:numPr>
        <w:spacing w:line="360" w:after="100"/>
      </w:pPr>
      <w:r>
        <w:rPr>
          <w:rFonts w:ascii="Times New Roman" w:cs="Times New Roman" w:eastAsia="Times New Roman" w:hAnsi="Times New Roman"/>
          <w:b/>
          <w:bCs/>
          <w:sz w:val="24"/>
          <w:szCs w:val="24"/>
        </w:rPr>
        <w:t xml:space="preserve">This is a single pre-test.</w:t>
      </w:r>
      <w:r>
        <w:rPr>
          <w:rFonts w:ascii="Times New Roman" w:cs="Times New Roman" w:eastAsia="Times New Roman" w:hAnsi="Times New Roman"/>
          <w:sz w:val="24"/>
          <w:szCs w:val="24"/>
        </w:rPr>
        <w:t xml:space="preserve"> We are describing what students knew before the course started. There are no learning gains, no before-and-after comparisons, and no way to tell from this data alone whether instruction changed anything. That analysis is planned for Paper 2, contingent on IRB approval.</w:t>
      </w:r>
    </w:p>
    <w:p>
      <w:pPr>
        <w:pStyle w:val="ListParagraph"/>
        <w:numPr>
          <w:ilvl w:val="0"/>
          <w:numId w:val="7"/>
        </w:numPr>
        <w:spacing w:line="360" w:after="100"/>
      </w:pPr>
      <w:r>
        <w:rPr>
          <w:rFonts w:ascii="Times New Roman" w:cs="Times New Roman" w:eastAsia="Times New Roman" w:hAnsi="Times New Roman"/>
          <w:b/>
          <w:bCs/>
          <w:sz w:val="24"/>
          <w:szCs w:val="24"/>
        </w:rPr>
        <w:t xml:space="preserve">The diagnostic sample is not a random cross-section.</w:t>
      </w:r>
      <w:r>
        <w:rPr>
          <w:rFonts w:ascii="Times New Roman" w:cs="Times New Roman" w:eastAsia="Times New Roman" w:hAnsi="Times New Roman"/>
          <w:sz w:val="24"/>
          <w:szCs w:val="24"/>
        </w:rPr>
        <w:t xml:space="preserve"> SDM-10 diagnose items only go to students who answered incorrectly with high confidence. Confirm items only go to students who answered correctly with low confidence. The misconception rates in Section 5 describe the tails of the distribution, not the whole class.</w:t>
      </w:r>
    </w:p>
    <w:p>
      <w:pPr>
        <w:pStyle w:val="ListParagraph"/>
        <w:numPr>
          <w:ilvl w:val="0"/>
          <w:numId w:val="7"/>
        </w:numPr>
        <w:spacing w:line="360" w:after="100"/>
      </w:pPr>
      <w:r>
        <w:rPr>
          <w:rFonts w:ascii="Times New Roman" w:cs="Times New Roman" w:eastAsia="Times New Roman" w:hAnsi="Times New Roman"/>
          <w:b/>
          <w:bCs/>
          <w:sz w:val="24"/>
          <w:szCs w:val="24"/>
        </w:rPr>
        <w:t xml:space="preserve">One AI model scored all open-ended responses.</w:t>
      </w:r>
      <w:r>
        <w:rPr>
          <w:rFonts w:ascii="Times New Roman" w:cs="Times New Roman" w:eastAsia="Times New Roman" w:hAnsi="Times New Roman"/>
          <w:sz w:val="24"/>
          <w:szCs w:val="24"/>
        </w:rPr>
        <w:t xml:space="preserve"> GPT-4.1 classified the 778 consented responses with zero processing errors and high internal confidence. But automated scoring may not agree with human judgment on every borderline case. A human-AI agreement study would strengthen reliability evidence.</w:t>
      </w:r>
    </w:p>
    <w:p>
      <w:pPr>
        <w:pStyle w:val="ListParagraph"/>
        <w:numPr>
          <w:ilvl w:val="0"/>
          <w:numId w:val="7"/>
        </w:numPr>
        <w:spacing w:line="360" w:after="100"/>
      </w:pPr>
      <w:r>
        <w:rPr>
          <w:rFonts w:ascii="Times New Roman" w:cs="Times New Roman" w:eastAsia="Times New Roman" w:hAnsi="Times New Roman"/>
          <w:b/>
          <w:bCs/>
          <w:sz w:val="24"/>
          <w:szCs w:val="24"/>
        </w:rPr>
        <w:t xml:space="preserve">Self-reported demographics.</w:t>
      </w:r>
      <w:r>
        <w:rPr>
          <w:rFonts w:ascii="Times New Roman" w:cs="Times New Roman" w:eastAsia="Times New Roman" w:hAnsi="Times New Roman"/>
          <w:sz w:val="24"/>
          <w:szCs w:val="24"/>
        </w:rPr>
        <w:t xml:space="preserve"> Students self-reported all demographic and financial background information. Response bias (social desirability, opt-out patterns) may affect these distributions.</w:t>
      </w:r>
    </w:p>
    <w:p>
      <w:pPr>
        <w:pStyle w:val="ListParagraph"/>
        <w:numPr>
          <w:ilvl w:val="0"/>
          <w:numId w:val="7"/>
        </w:numPr>
        <w:spacing w:line="360" w:after="100"/>
      </w:pPr>
      <w:r>
        <w:rPr>
          <w:rFonts w:ascii="Times New Roman" w:cs="Times New Roman" w:eastAsia="Times New Roman" w:hAnsi="Times New Roman"/>
          <w:b/>
          <w:bCs/>
          <w:sz w:val="24"/>
          <w:szCs w:val="24"/>
        </w:rPr>
        <w:t xml:space="preserve">No subgroup comparisons.</w:t>
      </w:r>
      <w:r>
        <w:rPr>
          <w:rFonts w:ascii="Times New Roman" w:cs="Times New Roman" w:eastAsia="Times New Roman" w:hAnsi="Times New Roman"/>
          <w:sz w:val="24"/>
          <w:szCs w:val="24"/>
        </w:rPr>
        <w:t xml:space="preserve"> We report demographic breakdowns for context but make no claims about performance differences across groups. Subgroup analysis is planned for Paper 2, contingent on IRB approval.</w:t>
      </w:r>
    </w:p>
    <w:p>
      <w:pPr>
        <w:pStyle w:val="Heading1"/>
        <w:pageBreakBefore/>
        <w:spacing w:before="480" w:after="240"/>
      </w:pPr>
      <w:r>
        <w:rPr>
          <w:rFonts w:ascii="Times New Roman" w:cs="Times New Roman" w:eastAsia="Times New Roman" w:hAnsi="Times New Roman"/>
          <w:sz w:val="24"/>
          <w:szCs w:val="24"/>
        </w:rPr>
        <w:t xml:space="preserve">Appendix A: Definitions</w:t>
      </w:r>
    </w:p>
    <w:p>
      <w:pPr>
        <w:spacing w:line="360" w:after="200"/>
      </w:pPr>
      <w:r>
        <w:rPr>
          <w:rFonts w:ascii="Times New Roman" w:cs="Times New Roman" w:eastAsia="Times New Roman" w:hAnsi="Times New Roman"/>
          <w:b/>
          <w:bCs/>
          <w:sz w:val="24"/>
          <w:szCs w:val="24"/>
        </w:rPr>
        <w:t xml:space="preserve">Anchor item.</w:t>
      </w:r>
      <w:r>
        <w:rPr>
          <w:rFonts w:ascii="Times New Roman" w:cs="Times New Roman" w:eastAsia="Times New Roman" w:hAnsi="Times New Roman"/>
          <w:sz w:val="24"/>
          <w:szCs w:val="24"/>
        </w:rPr>
        <w:t xml:space="preserve"> One of the 40 core assessment questions that every student answers. 26 are scored knowledge items; 14 are unscored preference items.</w:t>
      </w:r>
    </w:p>
    <w:p>
      <w:pPr>
        <w:spacing w:line="360" w:after="200"/>
      </w:pPr>
      <w:r>
        <w:rPr>
          <w:rFonts w:ascii="Times New Roman" w:cs="Times New Roman" w:eastAsia="Times New Roman" w:hAnsi="Times New Roman"/>
          <w:b/>
          <w:bCs/>
          <w:sz w:val="24"/>
          <w:szCs w:val="24"/>
        </w:rPr>
        <w:t xml:space="preserve">Variant.</w:t>
      </w:r>
      <w:r>
        <w:rPr>
          <w:rFonts w:ascii="Times New Roman" w:cs="Times New Roman" w:eastAsia="Times New Roman" w:hAnsi="Times New Roman"/>
          <w:sz w:val="24"/>
          <w:szCs w:val="24"/>
        </w:rPr>
        <w:t xml:space="preserve"> A follow-up item from the SDM-10 bank. Variants are pre-written (not generated on the fly) and come in several formats: multiple choice, True/False, or open-ended.</w:t>
      </w:r>
    </w:p>
    <w:p>
      <w:pPr>
        <w:spacing w:line="360" w:after="200"/>
      </w:pPr>
      <w:r>
        <w:rPr>
          <w:rFonts w:ascii="Times New Roman" w:cs="Times New Roman" w:eastAsia="Times New Roman" w:hAnsi="Times New Roman"/>
          <w:b/>
          <w:bCs/>
          <w:sz w:val="24"/>
          <w:szCs w:val="24"/>
        </w:rPr>
        <w:t xml:space="preserve">Scenario variant.</w:t>
      </w:r>
      <w:r>
        <w:rPr>
          <w:rFonts w:ascii="Times New Roman" w:cs="Times New Roman" w:eastAsia="Times New Roman" w:hAnsi="Times New Roman"/>
          <w:sz w:val="24"/>
          <w:szCs w:val="24"/>
        </w:rPr>
        <w:t xml:space="preserve"> A follow-up that tests the same concept as the anchor item but in a different real-world context.</w:t>
      </w:r>
    </w:p>
    <w:p>
      <w:pPr>
        <w:spacing w:line="360" w:after="200"/>
      </w:pPr>
      <w:r>
        <w:rPr>
          <w:rFonts w:ascii="Times New Roman" w:cs="Times New Roman" w:eastAsia="Times New Roman" w:hAnsi="Times New Roman"/>
          <w:b/>
          <w:bCs/>
          <w:sz w:val="24"/>
          <w:szCs w:val="24"/>
        </w:rPr>
        <w:t xml:space="preserve">Format variant.</w:t>
      </w:r>
      <w:r>
        <w:rPr>
          <w:rFonts w:ascii="Times New Roman" w:cs="Times New Roman" w:eastAsia="Times New Roman" w:hAnsi="Times New Roman"/>
          <w:sz w:val="24"/>
          <w:szCs w:val="24"/>
        </w:rPr>
        <w:t xml:space="preserve"> A follow-up that tests the same concept in a different question format (e.g., MCQ instead of T/F).</w:t>
      </w:r>
    </w:p>
    <w:p>
      <w:pPr>
        <w:spacing w:line="360" w:after="200"/>
      </w:pPr>
      <w:r>
        <w:rPr>
          <w:rFonts w:ascii="Times New Roman" w:cs="Times New Roman" w:eastAsia="Times New Roman" w:hAnsi="Times New Roman"/>
          <w:b/>
          <w:bCs/>
          <w:sz w:val="24"/>
          <w:szCs w:val="24"/>
        </w:rPr>
        <w:t xml:space="preserve">Open_Diagnose.</w:t>
      </w:r>
      <w:r>
        <w:rPr>
          <w:rFonts w:ascii="Times New Roman" w:cs="Times New Roman" w:eastAsia="Times New Roman" w:hAnsi="Times New Roman"/>
          <w:sz w:val="24"/>
          <w:szCs w:val="24"/>
        </w:rPr>
        <w:t xml:space="preserve"> An open-ended follow-up triggered when a student answers incorrectly with high confidence. The student explains their reasoning. Classified as misconception, knowledge gap, or selection error.</w:t>
      </w:r>
    </w:p>
    <w:p>
      <w:pPr>
        <w:spacing w:line="360" w:after="200"/>
      </w:pPr>
      <w:r>
        <w:rPr>
          <w:rFonts w:ascii="Times New Roman" w:cs="Times New Roman" w:eastAsia="Times New Roman" w:hAnsi="Times New Roman"/>
          <w:b/>
          <w:bCs/>
          <w:sz w:val="24"/>
          <w:szCs w:val="24"/>
        </w:rPr>
        <w:t xml:space="preserve">Open_Confirm.</w:t>
      </w:r>
      <w:r>
        <w:rPr>
          <w:rFonts w:ascii="Times New Roman" w:cs="Times New Roman" w:eastAsia="Times New Roman" w:hAnsi="Times New Roman"/>
          <w:sz w:val="24"/>
          <w:szCs w:val="24"/>
        </w:rPr>
        <w:t xml:space="preserve"> An open-ended follow-up triggered when a student answers correctly with low confidence. The student explains why the correct answer is right. Classified as verified, partial, or likely guess.</w:t>
      </w:r>
    </w:p>
    <w:p>
      <w:pPr>
        <w:spacing w:line="360" w:after="200"/>
      </w:pPr>
      <w:r>
        <w:rPr>
          <w:rFonts w:ascii="Times New Roman" w:cs="Times New Roman" w:eastAsia="Times New Roman" w:hAnsi="Times New Roman"/>
          <w:b/>
          <w:bCs/>
          <w:sz w:val="24"/>
          <w:szCs w:val="24"/>
        </w:rPr>
        <w:t xml:space="preserve">These two follow-up types are alternatives, not sequential steps.</w:t>
      </w:r>
      <w:r>
        <w:rPr>
          <w:rFonts w:ascii="Times New Roman" w:cs="Times New Roman" w:eastAsia="Times New Roman" w:hAnsi="Times New Roman"/>
          <w:sz w:val="24"/>
          <w:szCs w:val="24"/>
        </w:rPr>
        <w:t xml:space="preserve"> A given anchor item triggers one or the other based on the student's response — never both.</w:t>
      </w:r>
    </w:p>
    <w:p>
      <w:pPr>
        <w:spacing w:line="360" w:after="200"/>
      </w:pPr>
      <w:r>
        <w:rPr>
          <w:rFonts w:ascii="Times New Roman" w:cs="Times New Roman" w:eastAsia="Times New Roman" w:hAnsi="Times New Roman"/>
          <w:b/>
          <w:bCs/>
          <w:sz w:val="24"/>
          <w:szCs w:val="24"/>
        </w:rPr>
        <w:t xml:space="preserve">Confidence scale.</w:t>
      </w:r>
      <w:r>
        <w:rPr>
          <w:rFonts w:ascii="Times New Roman" w:cs="Times New Roman" w:eastAsia="Times New Roman" w:hAnsi="Times New Roman"/>
          <w:sz w:val="24"/>
          <w:szCs w:val="24"/>
        </w:rPr>
        <w:t xml:space="preserve"> 1 = low confidence, 2 = mid confidence, 3 = high confidence. Assigned by the student for each anchor item.</w:t>
      </w:r>
    </w:p>
    <w:p>
      <w:pPr>
        <w:spacing w:line="360" w:after="200"/>
      </w:pPr>
      <w:r>
        <w:rPr>
          <w:rFonts w:ascii="Times New Roman" w:cs="Times New Roman" w:eastAsia="Times New Roman" w:hAnsi="Times New Roman"/>
          <w:b/>
          <w:bCs/>
          <w:sz w:val="24"/>
          <w:szCs w:val="24"/>
        </w:rPr>
        <w:t xml:space="preserve">Overconfidence Index (OI).</w:t>
      </w:r>
      <w:r>
        <w:rPr>
          <w:rFonts w:ascii="Times New Roman" w:cs="Times New Roman" w:eastAsia="Times New Roman" w:hAnsi="Times New Roman"/>
          <w:sz w:val="24"/>
          <w:szCs w:val="24"/>
        </w:rPr>
        <w:t xml:space="preserve"> Average normalized confidence minus average accuracy. Positive values indicate overconfidence; negative values indicate underconfidence.</w:t>
      </w:r>
    </w:p>
    <w:p>
      <w:pPr>
        <w:spacing w:line="360" w:after="2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understands the concept (as shown in their open-ended explanation) but picked the wrong answer on the anchor item. This is a format or test-taking issue, not a knowledge issue.</w:t>
      </w:r>
    </w:p>
    <w:p>
      <w:pPr>
        <w:spacing w:line="360" w:after="2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acknowledges uncertainty or has no mental model for the concept. They don't hold a specific wrong belief — they just don't know.</w:t>
      </w:r>
    </w:p>
    <w:p>
      <w:pPr>
        <w:spacing w:line="360" w:after="2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an active incorrect belief about the concept. They can articulate what they think and why, but what they think is wrong. Misconceptions are coded using a two-layer taxonomy: Layer 1 has 37 transferable families across seven categories, and Layer 2 has item-specific tags.</w:t>
      </w:r>
    </w:p>
    <w:p>
      <w:pPr>
        <w:pStyle w:val="Heading1"/>
        <w:pageBreakBefore/>
        <w:spacing w:before="480" w:after="240"/>
      </w:pPr>
      <w:r>
        <w:rPr>
          <w:rFonts w:ascii="Times New Roman" w:cs="Times New Roman" w:eastAsia="Times New Roman" w:hAnsi="Times New Roman"/>
          <w:sz w:val="24"/>
          <w:szCs w:val="24"/>
        </w:rPr>
        <w:t xml:space="preserve">Appendix B: Data Sources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CellMar>
          <w:top w:type="dxa" w:w="60"/>
          <w:left w:type="dxa" w:w="120"/>
          <w:bottom w:type="dxa" w:w="60"/>
          <w:right w:type="dxa" w:w="120"/>
        </w:tblCellMar>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File</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3120"/>
            <w:tcBorders>
              <w:top w:val="single" w:color="000000" w:sz="4"/>
              <w:left w:val="single" w:color="000000" w:sz="4"/>
              <w:bottom w:val="single" w:color="000000" w:sz="4"/>
              <w:right w:val="single" w:color="000000" w:sz="4"/>
            </w:tcBorders>
            <w:shd w:fill="D5E8F0" w:color="auto" w:val="clear"/>
            <w:vAlign w:val="center"/>
          </w:tcPr>
          <w:p>
            <w:pPr>
              <w:jc w:val="center"/>
            </w:pPr>
            <w:r>
              <w:rPr>
                <w:rFonts w:ascii="Times New Roman" w:cs="Times New Roman" w:eastAsia="Times New Roman" w:hAnsi="Times New Roman"/>
                <w:b/>
                <w:bCs/>
                <w:sz w:val="22"/>
                <w:szCs w:val="22"/>
              </w:rPr>
              <w:t xml:space="preserve">Used For</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exports/Bolivard_QUIN102_Paper1.docx</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Final research paper (authoritative reference for wording, definitions, tables)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Terminology, funnel numbers (653/443/431), Table 7.4/7.6/7.9/8.1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docs/data/domain-score-distribution.csv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Score counts and percentages by 10-point bin (N = 431)</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3.2 performance bands, Figure R1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docs/data/collection-summary.csv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Daily enrollment and completion counts (Feb 2–10)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3.1 participation funnel, Figure R3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exports/figures/fig1_score_distribution.png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Score distribution histogram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exports/figures/fig2_domain_performance.png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Domain performance bar chart with error bars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exports/figures/fig3_enrollment_timeline.png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Daily enrollment/completion timeline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exports/figures/fig5_confidence_calibration.png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Confidence calibration categories (bar + pie)</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R4</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exports/figures/fig6_item_difficulty.png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Item difficulty ranking (26 items)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R5</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exports/figures/fig7_demographics.png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Demographic panels (6 subplots)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R6</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exports/figures/fig8_financial_background.png</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Financial stress and self-rated knowledge panels</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Figure R7</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exports/diagnose_by_item.csv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AI classification counts per item: misconception, knowledge gap, selection error (n = 354 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Sections 5.1, 5.3, 5.4, Table 7.1</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exports/confirm_by_item.csv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Understanding verification per item: verified, partial, likely guess (n = 354 consented)</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5.2</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exports/misconception_taxonomy_observed.csv</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62 observed misconception instances by Layer 1 code, Layer 2 tag, and item</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 5.3</w:t>
            </w:r>
          </w:p>
        </w:tc>
      </w:tr>
      <w:tr>
        <w:tc>
          <w:tcPr>
            <w:tcW w:type="dxa" w:w="3120"/>
            <w:tcBorders>
              <w:top w:val="single" w:color="000000" w:sz="4"/>
              <w:left w:val="single" w:color="000000" w:sz="4"/>
              <w:bottom w:val="single" w:color="000000" w:sz="4"/>
              <w:right w:val="single" w:color="000000" w:sz="4"/>
            </w:tcBorders>
            <w:vAlign w:val="center"/>
          </w:tcPr>
          <w:p>
            <w:pPr>
              <w:jc w:val="center"/>
            </w:pPr>
            <w:r>
              <w:rPr>
                <w:rFonts w:ascii="Courier New" w:cs="Courier New" w:eastAsia="Courier New" w:hAnsi="Courier New"/>
                <w:sz w:val="22"/>
                <w:szCs w:val="22"/>
              </w:rPr>
              <w:t xml:space="preserve">exports/generate_charts.py</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Chart generation script; source for domain means (lines 85-86), confidence calibration counts (lines 190-191), item difficulty data (lines 229-256), demographic percentages (lines 297-420)</w:t>
            </w:r>
          </w:p>
        </w:tc>
        <w:tc>
          <w:tcPr>
            <w:tcW w:type="dxa" w:w="3120"/>
            <w:tcBorders>
              <w:top w:val="single" w:color="000000" w:sz="4"/>
              <w:left w:val="single" w:color="000000" w:sz="4"/>
              <w:bottom w:val="single" w:color="000000" w:sz="4"/>
              <w:right w:val="single" w:color="000000" w:sz="4"/>
            </w:tcBorders>
            <w:vAlign w:val="center"/>
          </w:tcPr>
          <w:p>
            <w:pPr>
              <w:jc w:val="center"/>
            </w:pPr>
            <w:r>
              <w:rPr>
                <w:rFonts w:ascii="Times New Roman" w:cs="Times New Roman" w:eastAsia="Times New Roman" w:hAnsi="Times New Roman"/>
                <w:sz w:val="22"/>
                <w:szCs w:val="22"/>
              </w:rPr>
              <w:t xml:space="preserve">Sections 3.3, 3.4, 3.5, 4.1, 4.2</w:t>
            </w:r>
          </w:p>
        </w:tc>
      </w:tr>
    </w:tbl>
    <w:p>
      <w:pPr>
        <w:spacing w:after="200"/>
      </w:pP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QUIN 102 Pre-Test Results Report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13b4cc06d4f19c9f7a494309186f24deadb4c52.png"/><Relationship Id="rId9" Type="http://schemas.openxmlformats.org/officeDocument/2006/relationships/image" Target="media/52ef61a80791d306b87559bcf19fca531d0d48fe.png"/><Relationship Id="rId10" Type="http://schemas.openxmlformats.org/officeDocument/2006/relationships/image" Target="media/f287120e03973ac1325460ce717657ea5c72678b.png"/><Relationship Id="rId11" Type="http://schemas.openxmlformats.org/officeDocument/2006/relationships/image" Target="media/04a7889c3544ef505445c93ff0d0c7aff89ceda7.png"/><Relationship Id="rId12" Type="http://schemas.openxmlformats.org/officeDocument/2006/relationships/image" Target="media/8e239a900671f2d0dea033d8fe2d0259fb4980e4.png"/><Relationship Id="rId13" Type="http://schemas.openxmlformats.org/officeDocument/2006/relationships/image" Target="media/d50512e7d1aa53dbd30ee07ece62dfb77bac48c5.png"/><Relationship Id="rId14" Type="http://schemas.openxmlformats.org/officeDocument/2006/relationships/image" Target="media/3a9493bf5d45ff98ff7b525d0583a220d23bc033.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2026-02-15T10:31:11.945Z</dcterms:created>
  <dcterms:modified xsi:type="dcterms:W3CDTF">2026-02-15T10:31:11.945Z</dcterms:modified>
</cp:coreProperties>
</file>

<file path=docProps/custom.xml><?xml version="1.0" encoding="utf-8"?>
<Properties xmlns="http://schemas.openxmlformats.org/officeDocument/2006/custom-properties" xmlns:vt="http://schemas.openxmlformats.org/officeDocument/2006/docPropsVTypes"/>
</file>