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Guillaume Bolivard</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Spring 2026</w:t>
      </w:r>
    </w:p>
    <w:p>
      <w:pPr>
        <w:sectPr>
          <w:pgSz w:w="12240" w:h="15840" w:orient="portrait"/>
          <w:pgMar w:top="1440" w:right="1440" w:bottom="1440" w:left="1440" w:header="708" w:footer="708" w:gutter="0"/>
          <w:pgNumType/>
          <w:docGrid w:linePitch="360"/>
        </w:sectPr>
      </w:pPr>
    </w:p>
    <w:p>
      <w:pPr>
        <w:pStyle w:val="Heading1"/>
        <w:pageBreakBefore/>
        <w:spacing w:before="480" w:after="240"/>
      </w:pPr>
      <w:r>
        <w:rPr>
          <w:rFonts w:ascii="Times New Roman" w:cs="Times New Roman" w:eastAsia="Times New Roman" w:hAnsi="Times New Roman"/>
          <w:sz w:val="24"/>
          <w:szCs w:val="24"/>
        </w:rPr>
        <w:t xml:space="preserve">Abstract</w:t>
      </w:r>
    </w:p>
    <w:p>
      <w:pPr>
        <w:spacing w:line="360" w:after="200"/>
      </w:pPr>
      <w:r>
        <w:rPr>
          <w:rFonts w:ascii="Times New Roman" w:cs="Times New Roman" w:eastAsia="Times New Roman" w:hAnsi="Times New Roman"/>
          <w:sz w:val="24"/>
          <w:szCs w:val="24"/>
        </w:rPr>
        <w:t xml:space="preserve">This paper describes the design, deployment, and diagnostic findings from a 40-item pre-course financial risk literacy assessment for QUIN 102 at Loyola University Chicago. The instrument spans three knowledge domains (Borrowing and Credit, Risk Management, and Investment and Risk) using 26 scored and 14 unscored anchor items. A Supplemental Diagnostic Module (SDM-10) adaptively selects up to 10 open-ended follow-up items based on each student's anchor performance; an AI-assisted rubric classifies responses into misconception, knowledge gap, and selection error categories. During the Spring 2026 pilot, 354 research-consented students completed the assessment. The mean anchor score was 67.0% (SD = 17.9%), with notable variation across domains. Among 493 scored diagnostic responses, 53.9% reflected misconceptions, 31.9% selection errors, and 14.2% knowledge gaps. The selection error finding is central: among students who answered incorrectly with high confidence, nearly one in three demonstrated correct understanding in their open-ended explanation, indicating that raw MCQ scores systematically misrepresent student knowledge on format-sensitive items. The diagnostic results yield 10 specific course improvement recommendations, spanning instructional content, instrument revision, and delivery changes, each anchored to evidence and paired with a Paper 2 evaluation criterion. We outline limitations of the current single-cohort design and preview a planned validation study that will add pre-post measurement, factor analysis, and heterogeneity modeling.</w:t>
      </w:r>
    </w:p>
    <w:p>
      <w:pPr>
        <w:pStyle w:val="Heading1"/>
        <w:pageBreakBefore/>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Assessment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Variant Bank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Pipeline Overview and Illustrative Walkthrough</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Adaptive Selection and Diagnostic Priority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Sample Demographics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7.1 </w:t>
      </w:r>
      <w:r>
        <w:rPr>
          <w:rFonts w:ascii="Times New Roman" w:cs="Times New Roman" w:eastAsia="Times New Roman" w:hAnsi="Times New Roman"/>
          <w:color w:val="0563C1"/>
          <w:sz w:val="24"/>
          <w:szCs w:val="24"/>
          <w:u w:val="single"/>
        </w:rPr>
        <w:t xml:space="preserve">Anchor Score Distribution and Domain Breakdown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7.2 </w:t>
      </w:r>
      <w:r>
        <w:rPr>
          <w:rFonts w:ascii="Times New Roman" w:cs="Times New Roman" w:eastAsia="Times New Roman" w:hAnsi="Times New Roman"/>
          <w:color w:val="0563C1"/>
          <w:sz w:val="24"/>
          <w:szCs w:val="24"/>
          <w:u w:val="single"/>
        </w:rPr>
        <w:t xml:space="preserve">Confidence Calibration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7.3 </w:t>
      </w:r>
      <w:r>
        <w:rPr>
          <w:rFonts w:ascii="Times New Roman" w:cs="Times New Roman" w:eastAsia="Times New Roman" w:hAnsi="Times New Roman"/>
          <w:color w:val="0563C1"/>
          <w:sz w:val="24"/>
          <w:szCs w:val="24"/>
          <w:u w:val="single"/>
        </w:rPr>
        <w:t xml:space="preserve">Diagnostic Classification: Diagnose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7.4 </w:t>
      </w:r>
      <w:r>
        <w:rPr>
          <w:rFonts w:ascii="Times New Roman" w:cs="Times New Roman" w:eastAsia="Times New Roman" w:hAnsi="Times New Roman"/>
          <w:color w:val="0563C1"/>
          <w:sz w:val="24"/>
          <w:szCs w:val="24"/>
          <w:u w:val="single"/>
        </w:rPr>
        <w:t xml:space="preserve">Diagnostic Classification: Confirm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7.5 </w:t>
      </w:r>
      <w:r>
        <w:rPr>
          <w:rFonts w:ascii="Times New Roman" w:cs="Times New Roman" w:eastAsia="Times New Roman" w:hAnsi="Times New Roman"/>
          <w:color w:val="0563C1"/>
          <w:sz w:val="24"/>
          <w:szCs w:val="24"/>
          <w:u w:val="single"/>
        </w:rPr>
        <w:t xml:space="preserve">Misconception Clusters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7.6 </w:t>
      </w:r>
      <w:r>
        <w:rPr>
          <w:rFonts w:ascii="Times New Roman" w:cs="Times New Roman" w:eastAsia="Times New Roman" w:hAnsi="Times New Roman"/>
          <w:color w:val="0563C1"/>
          <w:sz w:val="24"/>
          <w:szCs w:val="24"/>
          <w:u w:val="single"/>
        </w:rPr>
        <w:t xml:space="preserve">Selection Error Patterns and Item Revision Targets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7.7 </w:t>
      </w:r>
      <w:r>
        <w:rPr>
          <w:rFonts w:ascii="Times New Roman" w:cs="Times New Roman" w:eastAsia="Times New Roman" w:hAnsi="Times New Roman"/>
          <w:color w:val="0563C1"/>
          <w:sz w:val="24"/>
          <w:szCs w:val="24"/>
          <w:u w:val="single"/>
        </w:rPr>
        <w:t xml:space="preserve">AI Scoring Validation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8.1 </w:t>
      </w:r>
      <w:r>
        <w:rPr>
          <w:rFonts w:ascii="Times New Roman" w:cs="Times New Roman" w:eastAsia="Times New Roman" w:hAnsi="Times New Roman"/>
          <w:color w:val="0563C1"/>
          <w:sz w:val="24"/>
          <w:szCs w:val="24"/>
          <w:u w:val="single"/>
        </w:rPr>
        <w:t xml:space="preserve">Key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8.2 </w:t>
      </w:r>
      <w:r>
        <w:rPr>
          <w:rFonts w:ascii="Times New Roman" w:cs="Times New Roman" w:eastAsia="Times New Roman" w:hAnsi="Times New Roman"/>
          <w:color w:val="0563C1"/>
          <w:sz w:val="24"/>
          <w:szCs w:val="24"/>
          <w:u w:val="single"/>
        </w:rPr>
        <w:t xml:space="preserve">Course Improvement Recommendations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8.3 </w:t>
      </w:r>
      <w:r>
        <w:rPr>
          <w:rFonts w:ascii="Times New Roman" w:cs="Times New Roman" w:eastAsia="Times New Roman" w:hAnsi="Times New Roman"/>
          <w:color w:val="0563C1"/>
          <w:sz w:val="24"/>
          <w:szCs w:val="24"/>
          <w:u w:val="single"/>
        </w:rPr>
        <w:t xml:space="preserve">Implications for Risk Literacy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8.4 </w:t>
      </w:r>
      <w:r>
        <w:rPr>
          <w:rFonts w:ascii="Times New Roman" w:cs="Times New Roman" w:eastAsia="Times New Roman" w:hAnsi="Times New Roman"/>
          <w:color w:val="0563C1"/>
          <w:sz w:val="24"/>
          <w:szCs w:val="24"/>
          <w:u w:val="single"/>
        </w:rPr>
        <w:t xml:space="preserve">Oral Diagnostics as Future Modality</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F: Technical Implementation</w:t>
      </w:r>
    </w:p>
    <w:p>
      <w:pPr>
        <w:pStyle w:val="Heading1"/>
        <w:pageBreakBefore/>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10).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pPr>
        <w:pStyle w:val="Heading1"/>
        <w:pageBreakBefore/>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Since the early 2000s, a growing body of research has examined how well people understand basic financial concepts and how that understanding shapes their economic decisions. Lusardi and Mitchell (2014) anchored much of this work by defining financial literacy around three core ideas (interest compounding, inflation, and risk diversification) and showing that individuals who grasp these concepts save more, invest more effectively, and accumulate greater wealth over time.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Although the construct is widely acknowledged,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OECD/INFE toolkit (OECD, 2022) has provided a standardized questionnaire measuring three dimensions of financial literacy (knowledge, behavior, and attitudes) deployed across dozens of countries to enable cross-national comparisons.</w:t>
      </w:r>
    </w:p>
    <w:p>
      <w:pPr>
        <w:spacing w:line="360" w:after="200"/>
      </w:pPr>
      <w:r>
        <w:rPr>
          <w:rFonts w:ascii="Times New Roman" w:cs="Times New Roman" w:eastAsia="Times New Roman" w:hAnsi="Times New Roman"/>
          <w:sz w:val="24"/>
          <w:szCs w:val="24"/>
        </w:rPr>
        <w:t xml:space="preserve">In their methodological review, Hastings, Madrian, and Skimmyhorn (2013) examined how researchers actually measure financial literacy and concluded that the "Big Five" questions (interest rates, inflation, diversification, compound interest, and bond pricing) remain the field's most trusted indicators, despite persistent difficulties in drawing causal links between what people know and how they behave financially.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(exponential growth bias, the pervasive tendency to linearize exponential functions)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Within the college population,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(scoring above average on perceived knowledge but failing basic literacy questions)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pPr>
        <w:pStyle w:val="Heading1"/>
        <w:pageBreakBefore/>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knowledge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preference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adaptive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 from 182-variant item bank (see Appendix 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We built the question bank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Starting from an initial pool of approximately 80 candidates, we refined the bank down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We score knowledge items (Q1–Q14, Q29–Q40) as correct/incorrect (binary) and compute both overall and domain-level percent-correct scores across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Each anchor item also carries a confidence rating, which we use for secondary analyses (calibration and diagnostic interpretation) but which does not affect the primary score.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(knowledge score, confidence calibration, and open-ended classification)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We designed the instrument to be internally consistent and transferable. Although piloted first with Loyola University Chicago students in QUIN 102, the item bank, scoring framework, and diagnostic module are intended for adaptation to broader student populations in future work.</w:t>
      </w:r>
    </w:p>
    <w:p>
      <w:pPr>
        <w:pStyle w:val="Heading1"/>
        <w:pageBreakBefore/>
        <w:spacing w:before="480" w:after="240"/>
      </w:pPr>
      <w:r>
        <w:rPr>
          <w:rFonts w:ascii="Times New Roman" w:cs="Times New Roman" w:eastAsia="Times New Roman" w:hAnsi="Times New Roman"/>
          <w:sz w:val="24"/>
          <w:szCs w:val="24"/>
        </w:rPr>
        <w:t xml:space="preserve">4. Assessment Pipeline</w:t>
      </w:r>
    </w:p>
    <w:p>
      <w:pPr>
        <w:pStyle w:val="Heading2"/>
        <w:spacing w:before="360" w:after="180"/>
      </w:pPr>
      <w:r>
        <w:rPr>
          <w:rFonts w:ascii="Times New Roman" w:cs="Times New Roman" w:eastAsia="Times New Roman" w:hAnsi="Times New Roman"/>
          <w:sz w:val="24"/>
          <w:szCs w:val="24"/>
        </w:rPr>
        <w:t xml:space="preserve">4.1 Variant Bank Design</w:t>
      </w:r>
    </w:p>
    <w:p>
      <w:pPr>
        <w:spacing w:line="360" w:after="200"/>
      </w:pPr>
      <w:r>
        <w:rPr>
          <w:rFonts w:ascii="Times New Roman" w:cs="Times New Roman" w:eastAsia="Times New Roman" w:hAnsi="Times New Roman"/>
          <w:sz w:val="24"/>
          <w:szCs w:val="24"/>
        </w:rPr>
        <w:t xml:space="preserve">Before describing the selection algorithm, we explain how the follow-up items were constructed. Each of the 26 anchor knowledge items has a set of pre-written variants stored in a 182-row item bank (see Appendix E). Variants were created by varying two axes only: </w:t>
      </w:r>
      <w:r>
        <w:rPr>
          <w:rFonts w:ascii="Times New Roman" w:cs="Times New Roman" w:eastAsia="Times New Roman" w:hAnsi="Times New Roman"/>
          <w:b/>
          <w:bCs/>
          <w:sz w:val="24"/>
          <w:szCs w:val="24"/>
        </w:rPr>
        <w:t xml:space="preserve">response format</w:t>
      </w:r>
      <w:r>
        <w:rPr>
          <w:rFonts w:ascii="Times New Roman" w:cs="Times New Roman" w:eastAsia="Times New Roman" w:hAnsi="Times New Roman"/>
          <w:sz w:val="24"/>
          <w:szCs w:val="24"/>
        </w:rPr>
        <w:t xml:space="preserve"> (multiple-choice, True/False, or open response) and </w:t>
      </w:r>
      <w:r>
        <w:rPr>
          <w:rFonts w:ascii="Times New Roman" w:cs="Times New Roman" w:eastAsia="Times New Roman" w:hAnsi="Times New Roman"/>
          <w:b/>
          <w:bCs/>
          <w:sz w:val="24"/>
          <w:szCs w:val="24"/>
        </w:rPr>
        <w:t xml:space="preserve">level of understanding probed</w:t>
      </w:r>
      <w:r>
        <w:rPr>
          <w:rFonts w:ascii="Times New Roman" w:cs="Times New Roman" w:eastAsia="Times New Roman" w:hAnsi="Times New Roman"/>
          <w:sz w:val="24"/>
          <w:szCs w:val="24"/>
        </w:rPr>
        <w:t xml:space="preserve"> (recognize/select, apply/transfer, or explain reasoning). Table 4.1 shows the resulting design space.</w:t>
      </w:r>
    </w:p>
    <w:p>
      <w:pPr>
        <w:spacing w:line="360" w:after="200"/>
      </w:pPr>
      <w:r>
        <w:rPr>
          <w:rFonts w:ascii="Times New Roman" w:cs="Times New Roman" w:eastAsia="Times New Roman" w:hAnsi="Times New Roman"/>
          <w:b/>
          <w:bCs/>
          <w:sz w:val="24"/>
          <w:szCs w:val="24"/>
        </w:rPr>
        <w:t xml:space="preserve">Table 4.1: Variant bank design space: format vs. level of understanding</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Level of understanding</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Multiple-choice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True/False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Open response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Recognize/select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item (scored)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variant (same concept)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Apply/transfer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Scenario variant (MCQ)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Scenario variant (T/F)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Explain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 (incorrect + high confidence) or Open_Confirm (correct + low confidence)</w:t>
            </w:r>
          </w:p>
        </w:tc>
      </w:tr>
    </w:tbl>
    <w:p>
      <w:pPr>
        <w:spacing w:after="200"/>
      </w:pPr>
    </w:p>
    <w:p>
      <w:pPr>
        <w:spacing w:line="360" w:after="200"/>
      </w:pPr>
      <w:r>
        <w:rPr>
          <w:rFonts w:ascii="Times New Roman" w:cs="Times New Roman" w:eastAsia="Times New Roman" w:hAnsi="Times New Roman"/>
          <w:sz w:val="24"/>
          <w:szCs w:val="24"/>
        </w:rPr>
        <w:t xml:space="preserve">The closed-format variants (multiple-choice and True/False) test recognition and application at increasing transfer distance from the anchor item. Open-response variants occupy the explain-reasoning row exclusively and serve as the primary diagnostic instruments.</w:t>
      </w:r>
    </w:p>
    <w:p>
      <w:pPr>
        <w:spacing w:line="360" w:after="200"/>
      </w:pPr>
      <w:r>
        <w:rPr>
          <w:rFonts w:ascii="Times New Roman" w:cs="Times New Roman" w:eastAsia="Times New Roman" w:hAnsi="Times New Roman"/>
          <w:b/>
          <w:bCs/>
          <w:sz w:val="24"/>
          <w:szCs w:val="24"/>
        </w:rPr>
        <w:t xml:space="preserve">Open_Diagnose</w:t>
      </w:r>
      <w:r>
        <w:rPr>
          <w:rFonts w:ascii="Times New Roman" w:cs="Times New Roman" w:eastAsia="Times New Roman" w:hAnsi="Times New Roman"/>
          <w:sz w:val="24"/>
          <w:szCs w:val="24"/>
        </w:rPr>
        <w:t xml:space="preserve"> is assigned when a student answers the anchor item incorrectly with high confidence. The student is asked to explain the reasoning behind the chosen answer. The response is classified into one of three categories: misconception (a specific wrong mental model), knowledge gap (absence of knowledge), or selection error (correct understanding despite the wrong answer choice).</w:t>
      </w:r>
    </w:p>
    <w:p>
      <w:pPr>
        <w:spacing w:line="360" w:after="200"/>
      </w:pPr>
      <w:r>
        <w:rPr>
          <w:rFonts w:ascii="Times New Roman" w:cs="Times New Roman" w:eastAsia="Times New Roman" w:hAnsi="Times New Roman"/>
          <w:b/>
          <w:bCs/>
          <w:sz w:val="24"/>
          <w:szCs w:val="24"/>
        </w:rPr>
        <w:t xml:space="preserve">Open_Confirm</w:t>
      </w:r>
      <w:r>
        <w:rPr>
          <w:rFonts w:ascii="Times New Roman" w:cs="Times New Roman" w:eastAsia="Times New Roman" w:hAnsi="Times New Roman"/>
          <w:sz w:val="24"/>
          <w:szCs w:val="24"/>
        </w:rPr>
        <w:t xml:space="preserve"> is assigned when a student answers the anchor item correctly with low confidence. The student is asked to explain why the correct answer holds. The response is classified as verified (genuine understanding), partial (incomplete reasoning), or likely guess (no substantive understanding despite the correct answer).</w:t>
      </w:r>
    </w:p>
    <w:p>
      <w:pPr>
        <w:spacing w:line="360" w:after="200"/>
      </w:pPr>
      <w:r>
        <w:rPr>
          <w:rFonts w:ascii="Times New Roman" w:cs="Times New Roman" w:eastAsia="Times New Roman" w:hAnsi="Times New Roman"/>
          <w:sz w:val="24"/>
          <w:szCs w:val="24"/>
        </w:rPr>
        <w:t xml:space="preserve">Open_Diagnose and Open_Confirm are alternative follow-ups triggered by different anchor states; they are not sequential steps applied to the same item.</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open-ended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4.2 Pipeline Overview and Illustrative Walkthrough</w:t>
      </w:r>
    </w:p>
    <w:p>
      <w:pPr>
        <w:spacing w:line="360" w:after="200"/>
      </w:pPr>
      <w:r>
        <w:rPr>
          <w:rFonts w:ascii="Times New Roman" w:cs="Times New Roman" w:eastAsia="Times New Roman" w:hAnsi="Times New Roman"/>
          <w:sz w:val="24"/>
          <w:szCs w:val="24"/>
        </w:rPr>
        <w:t xml:space="preserve">As described in Section 4.1, SDM selection chooses from pre-written variants that vary by format and level of understanding. The SDM-10 pipeline operates in three stages: (1) compute a diagnostic priority for each concept area based on the student's answer and confidence, (2) select up to 10 follow-up items from the variant bank ranked by priority (targeting 10, delivering 5–10 depending on available high-priority concepts), and (3) score any open-ended responses using an AI-assisted rubric aligned to the misconception taxonomy. Confidence is captured on a three-level scale (1 = low, 2 = mid, 3 = high). Two illustrative cases show how the pipeline works in practice.</w:t>
      </w:r>
    </w:p>
    <w:p>
      <w:pPr>
        <w:spacing w:line="360" w:after="200"/>
      </w:pPr>
      <w:r>
        <w:rPr>
          <w:rFonts w:ascii="Times New Roman" w:cs="Times New Roman" w:eastAsia="Times New Roman" w:hAnsi="Times New Roman"/>
          <w:b/>
          <w:bCs/>
          <w:sz w:val="24"/>
          <w:szCs w:val="24"/>
        </w:rPr>
        <w:t xml:space="preserve">Case A: Open_Diagnose (incorrect + high confidence).</w:t>
      </w:r>
      <w:r>
        <w:rPr>
          <w:rFonts w:ascii="Times New Roman" w:cs="Times New Roman" w:eastAsia="Times New Roman" w:hAnsi="Times New Roman"/>
          <w:sz w:val="24"/>
          <w:szCs w:val="24"/>
        </w:rPr>
        <w:t xml:space="preserve"> A student encounters Q6, which asks what a "successful effort to lower inflation" would likely be accompanied by. The student selects "a decrease in the general level of prices" (the incorrect answer) and reports high confidence. Because the combination of incorrectness and high confidence produces a high diagnostic priority, the algorithm assigns an Open_Diagnose variant for the Inflation (Lowering) concept area. The student sees an open-ended prompt: </w:t>
      </w:r>
      <w:r>
        <w:rPr>
          <w:rFonts w:ascii="Times New Roman" w:cs="Times New Roman" w:eastAsia="Times New Roman" w:hAnsi="Times New Roman"/>
          <w:i/>
          <w:iCs/>
          <w:sz w:val="24"/>
          <w:szCs w:val="24"/>
        </w:rPr>
        <w:t xml:space="preserve">"You chose 'a decrease in the general level of prices.' In your own words, explain what happens to prices when inflation is lowered."</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"If inflation goes down, prices should go down too, that's what lower inflation means."</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(INF-01: confuses a decrease in the rate of price increase with an actual decrease in prices) and assigns taxonomy codes. The classification distinguishes this from a knowledge gap (the student has an active belief, not an absence of knowledge) and from a selection error (the student's reasoning is consistent with the wrong answer, not inconsistent with it).</w:t>
      </w:r>
    </w:p>
    <w:p>
      <w:pPr>
        <w:spacing w:line="360" w:after="200"/>
      </w:pPr>
      <w:r>
        <w:rPr>
          <w:rFonts w:ascii="Times New Roman" w:cs="Times New Roman" w:eastAsia="Times New Roman" w:hAnsi="Times New Roman"/>
          <w:b/>
          <w:bCs/>
          <w:sz w:val="24"/>
          <w:szCs w:val="24"/>
        </w:rPr>
        <w:t xml:space="preserve">Case B: Open_Confirm (correct + low confidence).</w:t>
      </w:r>
      <w:r>
        <w:rPr>
          <w:rFonts w:ascii="Times New Roman" w:cs="Times New Roman" w:eastAsia="Times New Roman" w:hAnsi="Times New Roman"/>
          <w:sz w:val="24"/>
          <w:szCs w:val="24"/>
        </w:rPr>
        <w:t xml:space="preserve"> The same student answers Q29 correctly ("bond prices fall when interest rates rise") but reports low confidence. Because a correct answer paired with low confidence leaves residual uncertainty about whether the student genuinely understands the concept, the algorithm assigns an Open_Confirm variant. The prompt asks: </w:t>
      </w:r>
      <w:r>
        <w:rPr>
          <w:rFonts w:ascii="Times New Roman" w:cs="Times New Roman" w:eastAsia="Times New Roman" w:hAnsi="Times New Roman"/>
          <w:i/>
          <w:iCs/>
          <w:sz w:val="24"/>
          <w:szCs w:val="24"/>
        </w:rPr>
        <w:t xml:space="preserve">"You said bond prices typically fall when interest rates rise. In your own words, explain why this relationship holds."</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"I'm not really sure, I think I read it somewhere but I don't remember why."</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likely guess</w:t>
      </w:r>
      <w:r>
        <w:rPr>
          <w:rFonts w:ascii="Times New Roman" w:cs="Times New Roman" w:eastAsia="Times New Roman" w:hAnsi="Times New Roman"/>
          <w:sz w:val="24"/>
          <w:szCs w:val="24"/>
        </w:rPr>
        <w:t xml:space="preserve">: the student cannot articulate the reasoning behind the correct answer. Without this follow-up, the anchor score of 100% on Q29 would overstate the student's understanding.</w:t>
      </w:r>
    </w:p>
    <w:p>
      <w:pPr>
        <w:spacing w:line="360" w:after="200"/>
      </w:pPr>
      <w:r>
        <w:rPr>
          <w:rFonts w:ascii="Times New Roman" w:cs="Times New Roman" w:eastAsia="Times New Roman" w:hAnsi="Times New Roman"/>
          <w:sz w:val="24"/>
          <w:szCs w:val="24"/>
        </w:rPr>
        <w:t xml:space="preserve">Together, these two cases illustrate the SDM-10's central contribution: standard MCQ scores classify responses as simply correct or incorrect, while the diagnostic module reveals whether incorrect answers reflect misconceptions, knowledge gaps, or format-induced errors, and whether correct answers reflect genuine understanding or fortunate guessing.</w:t>
      </w:r>
    </w:p>
    <w:p>
      <w:pPr>
        <w:pStyle w:val="Heading2"/>
        <w:spacing w:before="360" w:after="180"/>
      </w:pPr>
      <w:r>
        <w:rPr>
          <w:rFonts w:ascii="Times New Roman" w:cs="Times New Roman" w:eastAsia="Times New Roman" w:hAnsi="Times New Roman"/>
          <w:sz w:val="24"/>
          <w:szCs w:val="24"/>
        </w:rPr>
        <w:t xml:space="preserve">4.3 Adaptive Selection and Diagnostic Priority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182 variants across 26 anchor items (see Appendix E) using an information deficit model that prioritizes subcategories where the anchor response left the most residual uncertainty about the student's understanding. The selection algorithm computes a diagnostic priority score for each of the 26 knowledge subcategories based on correctness, confidence, and item format (True/False vs. multiple choice). Higher scores indicate greater residual uncertainty; incorrect responses with high confidence receive the highest priority, signaling a likely misconception. The format-aware adjustment reflects differential guessing probability (50% for True/False vs. ~25% for MCQ). A three-phase selection procedure enforces domain minimums, fills remaining slots by descending priority, and applies an understanding-verification fallback when fewer than 10 subcategories are flagged. Open-ended items are capped at three per student to limit response burden. Once a subcategory is selected, the specific variant type is determined by the combination of correctness and confidence: six types in total (Open_Diagnose, Open_Confirm, Lower_MCQ, Lower_TF, Same_MCQ, Higher_MCQ), as specified in Appendix A (Table A.3). See Appendix A for the complete selection specification.</w:t>
      </w:r>
    </w:p>
    <w:p>
      <w:pPr>
        <w:pStyle w:val="Heading2"/>
        <w:spacing w:before="360" w:after="180"/>
      </w:pPr>
      <w:r>
        <w:rPr>
          <w:rFonts w:ascii="Times New Roman" w:cs="Times New Roman" w:eastAsia="Times New Roman" w:hAnsi="Times New Roman"/>
          <w:sz w:val="24"/>
          <w:szCs w:val="24"/>
        </w:rPr>
        <w:t xml:space="preserve">4.4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OpenRouter). The model was selected through an 11-model concordance protocol evaluating schema compliance, error rate, classification nuance, throughput, and cost (Appendix D). Each response is processed with an item-specific prompt containing anchor question context, the student's answer and confidence, applicable misconception families, calibration examples, and a structured decision tree. The model returns a JSON classification including diagnosis type, taxonomy codes, credit score, confidence level, evidence quote, and reasoning summary. All item selection decisions are deterministic and rule-based; the language model is used only for open-ended response classification.</w:t>
      </w:r>
    </w:p>
    <w:p>
      <w:pPr>
        <w:pStyle w:val="Heading1"/>
        <w:pageBreakBefore/>
        <w:spacing w:before="480" w:after="240"/>
      </w:pPr>
      <w:r>
        <w:rPr>
          <w:rFonts w:ascii="Times New Roman" w:cs="Times New Roman" w:eastAsia="Times New Roman" w:hAnsi="Times New Roman"/>
          <w:sz w:val="24"/>
          <w:szCs w:val="24"/>
        </w:rPr>
        <w:t xml:space="preserve">5. Platform and Governance Design</w:t>
      </w:r>
    </w:p>
    <w:p>
      <w:pPr>
        <w:spacing w:line="360" w:after="200"/>
      </w:pPr>
      <w:r>
        <w:rPr>
          <w:rFonts w:ascii="Times New Roman" w:cs="Times New Roman" w:eastAsia="Times New Roman" w:hAnsi="Times New Roman"/>
          <w:sz w:val="24"/>
          <w:szCs w:val="24"/>
        </w:rPr>
        <w:t xml:space="preserve">The platform architecture (Next.js 14, PostgreSQL 15, PgBouncer) and student authentication protocol (one-way SHA-256 hashing with per-course pepper) are described in Appendix F.</w:t>
      </w:r>
    </w:p>
    <w:p>
      <w:pPr>
        <w:pStyle w:val="Heading2"/>
        <w:spacing w:before="360" w:after="180"/>
      </w:pPr>
      <w:r>
        <w:rPr>
          <w:rFonts w:ascii="Times New Roman" w:cs="Times New Roman" w:eastAsia="Times New Roman" w:hAnsi="Times New Roman"/>
          <w:sz w:val="24"/>
          <w:szCs w:val="24"/>
        </w:rPr>
        <w:t xml:space="preserve">5.1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mean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SD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Median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pPr>
        <w:pStyle w:val="Heading1"/>
        <w:pageBreakBefore/>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Below we report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five and nine items due to insufficient high-priority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Enrolled (onboarded)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(submitted)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Abandoned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(research)</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Declined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NULL consent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Withdrawn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6, and 7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pStyle w:val="Heading2"/>
        <w:spacing w:before="360" w:after="180"/>
      </w:pPr>
      <w:r>
        <w:rPr>
          <w:rFonts w:ascii="Times New Roman" w:cs="Times New Roman" w:eastAsia="Times New Roman" w:hAnsi="Times New Roman"/>
          <w:sz w:val="24"/>
          <w:szCs w:val="24"/>
        </w:rPr>
        <w:t xml:space="preserve">6.2 Sample Demographics</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sz w:val="24"/>
          <w:szCs w:val="24"/>
        </w:rPr>
        <w:t xml:space="preserve">To protect student privacy, demographic cells with fewer than 10 respondents are collapsed into an "Other/Prefer not to say" grouping or reported as suppressed (&lt; 10), to reduce re-identification risk.</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Other/Prefer not to say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&lt; 10 (suppressed)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English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278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Spanish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 languages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1"/>
        <w:pageBreakBefore/>
        <w:spacing w:before="480" w:after="240"/>
      </w:pPr>
      <w:r>
        <w:rPr>
          <w:rFonts w:ascii="Times New Roman" w:cs="Times New Roman" w:eastAsia="Times New Roman" w:hAnsi="Times New Roman"/>
          <w:sz w:val="24"/>
          <w:szCs w:val="24"/>
        </w:rPr>
        <w:t xml:space="preserve">7. Results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2"/>
        <w:spacing w:before="360" w:after="180"/>
      </w:pPr>
      <w:r>
        <w:rPr>
          <w:rFonts w:ascii="Times New Roman" w:cs="Times New Roman" w:eastAsia="Times New Roman" w:hAnsi="Times New Roman"/>
          <w:sz w:val="24"/>
          <w:szCs w:val="24"/>
        </w:rPr>
        <w:t xml:space="preserve">7.1 Anchor Score Distribution and Domain Breakdown</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7.1: Mean Accuracy by Domain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Risk and Return Knowledge was the weakest domain, driven primarily by low performance on Q38 (Inflation Protection) and Q6 (Inflation Lowering). However, this domain also has the highest selection error count (56), suggesting some of this weakness is artifactual.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7.2: Score Distribution by Performance Band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risk</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Developing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Proficient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and above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&gt;=70%),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pPr>
        <w:pStyle w:val="Heading2"/>
        <w:spacing w:before="360" w:after="180"/>
      </w:pPr>
      <w:r>
        <w:rPr>
          <w:rFonts w:ascii="Times New Roman" w:cs="Times New Roman" w:eastAsia="Times New Roman" w:hAnsi="Times New Roman"/>
          <w:sz w:val="24"/>
          <w:szCs w:val="24"/>
        </w:rPr>
        <w:t xml:space="preserve">7.2 Confidence Calibration Patterns</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spacing w:line="360" w:after="200"/>
      </w:pPr>
      <w:r>
        <w:rPr>
          <w:rFonts w:ascii="Times New Roman" w:cs="Times New Roman" w:eastAsia="Times New Roman" w:hAnsi="Times New Roman"/>
          <w:sz w:val="24"/>
          <w:szCs w:val="24"/>
        </w:rPr>
        <w:t xml:space="preserve">Figure 5 presents the distribution of students across confidence calibration categories based on the alignment between average confidence ratings and anchor accuracy. Calibration patterns inform the SDM-10's adaptive logic: students with high confidence and low accuracy (overconfident) are more likely to trigger Open_Diagnose items, while students with low confidence and high accuracy (underconfident) are more likely to trigger Open_Confirm items. The distribution shows that the majority of students fall within calibrated or mildly overconfident ranges, with a smaller tail of strongly overconfident students whose high-confidence errors drive the diagnose subsample analyzed in Sections 7.3–7.6.</w:t>
      </w:r>
    </w:p>
    <w:p>
      <w:pPr>
        <w:pStyle w:val="Heading2"/>
        <w:spacing w:before="360" w:after="180"/>
      </w:pPr>
      <w:r>
        <w:rPr>
          <w:rFonts w:ascii="Times New Roman" w:cs="Times New Roman" w:eastAsia="Times New Roman" w:hAnsi="Times New Roman"/>
          <w:sz w:val="24"/>
          <w:szCs w:val="24"/>
        </w:rPr>
        <w:t xml:space="preserve">7.3 Diagnostic Classification: Diagnose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diagnose results below reflect students who answered incorrectly with high confidence (the SDM-10 diagnose trigger condition). These rates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7.3: SDM-10 Open-Ended Summary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306 (86.4%)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Total open-ended responses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781</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Responses scored by AI</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778</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493</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285</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model</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error rate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spacing w:line="360" w:after="200"/>
      </w:pPr>
      <w:r>
        <w:rPr>
          <w:rFonts w:ascii="Times New Roman" w:cs="Times New Roman" w:eastAsia="Times New Roman" w:hAnsi="Times New Roman"/>
          <w:b/>
          <w:bCs/>
          <w:sz w:val="24"/>
          <w:szCs w:val="24"/>
        </w:rPr>
        <w:t xml:space="preserve">Table 7.4: Diagnose Three-Way Classification (Consented, n = 493 scored, 479 classified)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Unclassified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that is,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7 caveat).</w:t>
      </w:r>
    </w:p>
    <w:p>
      <w:pPr>
        <w:spacing w:line="360" w:after="200"/>
      </w:pPr>
      <w:r>
        <w:rPr>
          <w:rFonts w:ascii="Times New Roman" w:cs="Times New Roman" w:eastAsia="Times New Roman" w:hAnsi="Times New Roman"/>
          <w:b/>
          <w:bCs/>
          <w:sz w:val="24"/>
          <w:szCs w:val="24"/>
        </w:rPr>
        <w:t xml:space="preserve">Table 7.5: Diagnose Classification by Item (Consented, items with n &gt;= 5, sorted by diagnose volume)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(Fixed Income)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older_workers_worst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(Lowering)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down_payment_only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one_month_sufficient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Health Insurance Purpose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fixed_bond_best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KG-unfamiliar</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Returns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Function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Relationship</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some_bonds_risky_too</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Financial Crisis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2"/>
        <w:spacing w:before="360" w:after="180"/>
      </w:pPr>
      <w:r>
        <w:rPr>
          <w:rFonts w:ascii="Times New Roman" w:cs="Times New Roman" w:eastAsia="Times New Roman" w:hAnsi="Times New Roman"/>
          <w:sz w:val="24"/>
          <w:szCs w:val="24"/>
        </w:rPr>
        <w:t xml:space="preserve">7.4 Diagnostic Classification: Confirm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confirm results below reflect students who answered correctly but with low confidence (the SDM-10 confirm trigger condition). The 13.7% guess rate applies to that conditioned subsample, not to all correct responses.</w:t>
      </w:r>
    </w:p>
    <w:p>
      <w:pPr>
        <w:spacing w:line="360" w:after="200"/>
      </w:pPr>
      <w:r>
        <w:rPr>
          <w:rFonts w:ascii="Times New Roman" w:cs="Times New Roman" w:eastAsia="Times New Roman" w:hAnsi="Times New Roman"/>
          <w:b/>
          <w:bCs/>
          <w:sz w:val="24"/>
          <w:szCs w:val="24"/>
        </w:rPr>
        <w:t xml:space="preserve">Table 7.6: Confirm Three-Way Classification (Consented, n = 285)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Likely guess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44.6% demonstrated genuine understanding in their explanation (verified), 41.8% showed partial understanding, and 13.7% were classified as likely guesses; their explanations showed no understanding of the underlying concept despite selecting the correct answer.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7.7: Confirm Items with Highest Likely-Guess Rates (Consented, confirm n &gt;=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26.7%</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7.8: Credit Score Distribution (All Consented Scored, n = 778)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100 (full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 (partial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(no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2"/>
        <w:spacing w:before="360" w:after="180"/>
      </w:pPr>
      <w:r>
        <w:rPr>
          <w:rFonts w:ascii="Times New Roman" w:cs="Times New Roman" w:eastAsia="Times New Roman" w:hAnsi="Times New Roman"/>
          <w:sz w:val="24"/>
          <w:szCs w:val="24"/>
        </w:rPr>
        <w:t xml:space="preserve">7.5 Misconception Clusters by Domain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7.9: Top 10 Misconception Codes (Consented Diagnose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r>
    </w:tbl>
    <w:p>
      <w:pPr>
        <w:spacing w:after="200"/>
      </w:pP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particularly on True/False items (Q36, Q2) where correct knowledge led to incorrect answers due to negation confusion or reversed logic</w:t>
      </w:r>
    </w:p>
    <w:p>
      <w:pPr>
        <w:pStyle w:val="Heading2"/>
        <w:spacing w:before="360" w:after="180"/>
      </w:pPr>
      <w:r>
        <w:rPr>
          <w:rFonts w:ascii="Times New Roman" w:cs="Times New Roman" w:eastAsia="Times New Roman" w:hAnsi="Times New Roman"/>
          <w:sz w:val="24"/>
          <w:szCs w:val="24"/>
        </w:rPr>
        <w:t xml:space="preserve">7.6 Selection Error Patterns and Item Revision Targets</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selection error rates below are conditional on the SDM-10 diagnose trigger (incorrect + high confidence). They characterize the composition of errors within that subsample rather than cohort-wide rates.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7.10: High Selection Error Items (Consented Diagnose)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34/42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16/39</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2"/>
        <w:spacing w:before="360" w:after="180"/>
      </w:pPr>
      <w:r>
        <w:rPr>
          <w:rFonts w:ascii="Times New Roman" w:cs="Times New Roman" w:eastAsia="Times New Roman" w:hAnsi="Times New Roman"/>
          <w:sz w:val="24"/>
          <w:szCs w:val="24"/>
        </w:rPr>
        <w:t xml:space="preserve">7.7 AI Scoring Validation</w:t>
      </w:r>
    </w:p>
    <w:p>
      <w:pPr>
        <w:spacing w:line="360" w:after="200"/>
      </w:pPr>
      <w:r>
        <w:rPr>
          <w:rFonts w:ascii="Times New Roman" w:cs="Times New Roman" w:eastAsia="Times New Roman" w:hAnsi="Times New Roman"/>
          <w:sz w:val="24"/>
          <w:szCs w:val="24"/>
        </w:rPr>
        <w:t xml:space="preserve">Prior to AI scoring, we conducted a manual analysis of response patterns on a calibration sample. Table 7.11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7.11: Manual Prediction vs. AI Scoring Results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 rate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employer_use_confusion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Near-exact match.</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1"/>
        <w:pageBreakBefore/>
        <w:spacing w:before="480" w:after="240"/>
      </w:pPr>
      <w:r>
        <w:rPr>
          <w:rFonts w:ascii="Times New Roman" w:cs="Times New Roman" w:eastAsia="Times New Roman" w:hAnsi="Times New Roman"/>
          <w:sz w:val="24"/>
          <w:szCs w:val="24"/>
        </w:rPr>
        <w:t xml:space="preserve">8. Discussion</w:t>
      </w:r>
    </w:p>
    <w:p>
      <w:pPr>
        <w:pStyle w:val="Heading2"/>
        <w:spacing w:before="360" w:after="180"/>
      </w:pPr>
      <w:r>
        <w:rPr>
          <w:rFonts w:ascii="Times New Roman" w:cs="Times New Roman" w:eastAsia="Times New Roman" w:hAnsi="Times New Roman"/>
          <w:sz w:val="24"/>
          <w:szCs w:val="24"/>
        </w:rPr>
        <w:t xml:space="preserve">8.1 Key Findings</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All SDM-10 prevalence rates reported in Section 7 reflect conditioned subsamples (diagnose items target students who answered incorrectly with high confidence, and confirm items target students who answered correctly with low confidence), not random cross-sections of the class. Four principal findings emerged.</w:t>
      </w:r>
    </w:p>
    <w:p>
      <w:pPr>
        <w:spacing w:line="360" w:after="200"/>
      </w:pPr>
      <w:r>
        <w:rPr>
          <w:rFonts w:ascii="Times New Roman" w:cs="Times New Roman" w:eastAsia="Times New Roman" w:hAnsi="Times New Roman"/>
          <w:sz w:val="24"/>
          <w:szCs w:val="24"/>
        </w:rPr>
        <w:t xml:space="preserve">First, </w:t>
      </w: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Among students who answered incorrectly with high confidence, 31.9% of classified responses demonstrated correct understanding of the underlying concept. On individual items, selection error rates reached 81% (Q36, diversification), 41% (Q10, credit reports), and 32% (Q2, mortgages). These students receive a score of zero on the anchor assessment despite possessing the targeted knowledge. The pattern is concentrated on True/False items and negation-framed MCQ items, indicating that item format rather than student knowledge drives the errors.</w:t>
      </w:r>
    </w:p>
    <w:p>
      <w:pPr>
        <w:spacing w:line="360" w:after="200"/>
      </w:pPr>
      <w:r>
        <w:rPr>
          <w:rFonts w:ascii="Times New Roman" w:cs="Times New Roman" w:eastAsia="Times New Roman" w:hAnsi="Times New Roman"/>
          <w:sz w:val="24"/>
          <w:szCs w:val="24"/>
        </w:rPr>
        <w:t xml:space="preserve">Second, </w:t>
      </w: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Among students who answered correctly but with low confidence, 13.7% were classified as likely guesses; they could not articulate any understanding of the concept they ostensibly answered correctly. On individual items such as Q29 (33.3% guess rate) and Q13 (31.8%), anchor scores overestimate true comprehension.</w:t>
      </w:r>
    </w:p>
    <w:p>
      <w:pPr>
        <w:spacing w:line="360" w:after="200"/>
      </w:pPr>
      <w:r>
        <w:rPr>
          <w:rFonts w:ascii="Times New Roman" w:cs="Times New Roman" w:eastAsia="Times New Roman" w:hAnsi="Times New Roman"/>
          <w:sz w:val="24"/>
          <w:szCs w:val="24"/>
        </w:rPr>
        <w:t xml:space="preserve">Third, </w:t>
      </w: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Five dominant clusters emerged: inflation mechanics confusion (INF-01, the most frequent code at n = 42), risk-return reasoning from exceptions (RISK-02), insurance purpose confusion (INS-01/INS-02), empathy-driven reasoning (INF-05), and format-induced errors. These clusters are specific enough to inform targeted instructional interventions. Because the SDM-10 selects for high-priority responses, these rates should not be extrapolated to the full class without adjusting for item-level coverage (see Limitation 2).</w:t>
      </w:r>
    </w:p>
    <w:p>
      <w:pPr>
        <w:spacing w:line="360" w:after="200"/>
      </w:pPr>
      <w:r>
        <w:rPr>
          <w:rFonts w:ascii="Times New Roman" w:cs="Times New Roman" w:eastAsia="Times New Roman" w:hAnsi="Times New Roman"/>
          <w:sz w:val="24"/>
          <w:szCs w:val="24"/>
        </w:rPr>
        <w:t xml:space="preserve">Fourth, </w:t>
      </w: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The SDM-10's classification (misconception/knowledge gap/selection error for diagnose; verified/partial/likely guess for confirm) provides the diagnostic specificity needed to differentiate students who need conceptual correction from those who need format remediation or foundational instruction. None of this information is available from the anchor score alone.</w:t>
      </w:r>
    </w:p>
    <w:p>
      <w:pPr>
        <w:pStyle w:val="Heading2"/>
        <w:spacing w:before="360" w:after="180"/>
      </w:pPr>
      <w:r>
        <w:rPr>
          <w:rFonts w:ascii="Times New Roman" w:cs="Times New Roman" w:eastAsia="Times New Roman" w:hAnsi="Times New Roman"/>
          <w:sz w:val="24"/>
          <w:szCs w:val="24"/>
        </w:rPr>
        <w:t xml:space="preserve">8.2 Course Improvement Recommendations</w:t>
      </w:r>
    </w:p>
    <w:p>
      <w:pPr>
        <w:spacing w:line="360" w:after="200"/>
      </w:pPr>
      <w:r>
        <w:rPr>
          <w:rFonts w:ascii="Times New Roman" w:cs="Times New Roman" w:eastAsia="Times New Roman" w:hAnsi="Times New Roman"/>
          <w:sz w:val="24"/>
          <w:szCs w:val="24"/>
        </w:rPr>
        <w:t xml:space="preserve">The diagnostic findings from Section 7 translate into 10 specific recommendations for QUIN 102 instruction and instrument revision. Each recommendation is anchored to a specific finding and evidence source; the final column describes how Paper 2 will evaluate whether the change was effective.</w:t>
      </w:r>
    </w:p>
    <w:p>
      <w:pPr>
        <w:spacing w:line="360" w:after="200"/>
      </w:pPr>
      <w:r>
        <w:rPr>
          <w:rFonts w:ascii="Times New Roman" w:cs="Times New Roman" w:eastAsia="Times New Roman" w:hAnsi="Times New Roman"/>
          <w:b/>
          <w:bCs/>
          <w:sz w:val="24"/>
          <w:szCs w:val="24"/>
        </w:rPr>
        <w:t xml:space="preserve">Table 8.1: Course Improvement Recommendations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Finding</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Evidence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Recommended Change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Paper 2 Evaluation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 of high-confidence errors on Q6 reflect confusion between inflation rate and price level (INF-01, 42/53 classified)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Q6 row; Table 7.9, top code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Dedicate explicit instruction to distinguishing "lower inflation" (slower price increases) from "falling prices" (deflation), using rate-vs-level visual aids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INF-01 prevalence on Q6 diagnose responses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of high-confidence errors on Q12 reflect belief that routine care is insurance's primary function (INS-01/INS-02, 23/28)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Q12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module on health insurance purpose: catastrophic protection vs. routine care, using frequency-vs-severity framing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Q12 accuracy and INS-01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(Q30, 14/17) and 78% (Q35, 7/9) of high-confidence errors reflect reasoning-from-exceptions (RISK-02)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Q30/Q35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Introduce risk-return principle using financial-domain examples (historical asset class returns) rather than abstract statements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RISK-02 prevalence across Q30 and Q35</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 of high-confidence errors on Q36 are selection errors caused by T/F format with negation (34/42)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Q36 row; Section 7.6 case study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Q36 from True/False to standard MCQ format for the post-assessment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Q36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of high-confidence errors on Q10 are selection errors caused by "which is FALSE" negation framing (16/39)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Q10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Q10 to remove negation framing (rewrite as positive identification)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Q10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shows 46% misconception rate (INT-06, 11/24) and 33% guess rate among correct respondents (4/12)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Q29 row; Table 7.7, Q29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bond pricing segment explaining inverse interest-rate/price relationship with worked numerical examples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Q29 accuracy, INT-06 prevalence, and confirm guess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shows 32% knowledge gap rate (6/19), reflecting unfamiliarity with deductible terminology rather than a specific misconception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Q13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insurance terminology module covering deductible, premium, copay, and out-of-pocket maximum definitions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Q13 knowledge gap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(83% SE, 5/6) and Q14 (71% SE, 5/7) show format-driven errors disproportionate to conceptual misunderstanding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Q9/Q14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Flag Q9 and Q14 for format revision; consider rephrasing or converting to MCQ</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SE rates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 (36% KG, 8/22) and Q8 (56% misconception INT-05, 19/34) reveal gaps in borrowing mechanics and loan negotiation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Q2/Q8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credit-literacy instructional module covering mortgage term/interest tradeoffs and consumer loan negotiation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accuracy on Q2 and Q8; track INT-05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Five dominant misconception clusters emerged across the assessment (Section 7.5)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7.5 cross-item patterns; Figure 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Generate per-student misconception profile from pre-course data; distribute targeted review materials before mid-term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Track within-subject misconception resolution rate (pre-post comparison of individual student profiles)</w:t>
            </w:r>
          </w:p>
        </w:tc>
      </w:tr>
    </w:tbl>
    <w:p>
      <w:pPr>
        <w:spacing w:after="200"/>
      </w:pPr>
    </w:p>
    <w:p>
      <w:pPr>
        <w:spacing w:line="360" w:after="200"/>
      </w:pPr>
      <w:r>
        <w:rPr>
          <w:rFonts w:ascii="Times New Roman" w:cs="Times New Roman" w:eastAsia="Times New Roman" w:hAnsi="Times New Roman"/>
          <w:sz w:val="24"/>
          <w:szCs w:val="24"/>
        </w:rPr>
        <w:t xml:space="preserve">Recommendations 1–3 and 6–7 target instructional content; recommendations 4–5 and 8 target instrument revision; recommendation 9 targets both; recommendation 10 targets instructional delivery. All instructional changes will be implemented before the post-assessment window, enabling Paper 2 to compare pre-post rates on the specific metrics identified above.</w:t>
      </w:r>
    </w:p>
    <w:p>
      <w:pPr>
        <w:pStyle w:val="Heading2"/>
        <w:spacing w:before="360" w:after="180"/>
      </w:pPr>
      <w:r>
        <w:rPr>
          <w:rFonts w:ascii="Times New Roman" w:cs="Times New Roman" w:eastAsia="Times New Roman" w:hAnsi="Times New Roman"/>
          <w:sz w:val="24"/>
          <w:szCs w:val="24"/>
        </w:rPr>
        <w:t xml:space="preserve">8.3 Implications for Risk Literacy Measurement</w:t>
      </w:r>
    </w:p>
    <w:p>
      <w:pPr>
        <w:spacing w:line="360" w:after="200"/>
      </w:pPr>
      <w:r>
        <w:rPr>
          <w:rFonts w:ascii="Times New Roman" w:cs="Times New Roman" w:eastAsia="Times New Roman" w:hAnsi="Times New Roman"/>
          <w:sz w:val="24"/>
          <w:szCs w:val="24"/>
        </w:rPr>
        <w:t xml:space="preserve">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pPr>
        <w:pStyle w:val="Heading2"/>
        <w:spacing w:before="360" w:after="180"/>
      </w:pPr>
      <w:r>
        <w:rPr>
          <w:rFonts w:ascii="Times New Roman" w:cs="Times New Roman" w:eastAsia="Times New Roman" w:hAnsi="Times New Roman"/>
          <w:sz w:val="24"/>
          <w:szCs w:val="24"/>
        </w:rPr>
        <w:t xml:space="preserve">8.4 Oral Diagnostics as Future Modality</w:t>
      </w:r>
    </w:p>
    <w:p>
      <w:pPr>
        <w:spacing w:line="360" w:after="200"/>
      </w:pPr>
      <w:r>
        <w:rPr>
          <w:rFonts w:ascii="Times New Roman" w:cs="Times New Roman" w:eastAsia="Times New Roman" w:hAnsi="Times New Roman"/>
          <w:sz w:val="24"/>
          <w:szCs w:val="24"/>
        </w:rPr>
        <w:t xml:space="preserve">A promising extension of the SDM-10 framework is an oral diagnostic modality implemented as a structured, AI-mediated interview calibrated by each student's highest-priority SDM findings. Written open-ended prompts can yield thin responses that limit diagnostic signal, while a short conversation can adaptively probe reasoning, distinguish misreading from conceptual misunderstanding, and classify misconceptions by depth; for example, shallow misconceptions that collapse after one counterexample versus deep structural misunderstandings that persist under scaffolding. This modality would complement the baseline assessment by adding depth classification and resolution tracking, using the existing misconception taxonomy and rubric applied to transcripts, rather than replacing the anchor assessment.</w:t>
      </w:r>
    </w:p>
    <w:p>
      <w:pPr>
        <w:spacing w:line="360" w:after="200"/>
      </w:pPr>
      <w:r>
        <w:rPr>
          <w:rFonts w:ascii="Times New Roman" w:cs="Times New Roman" w:eastAsia="Times New Roman" w:hAnsi="Times New Roman"/>
          <w:sz w:val="24"/>
          <w:szCs w:val="24"/>
        </w:rPr>
        <w:t xml:space="preserve">The oral diagnostic would be designed as a constrained clinical-interview script with branching logic: a brief warm-up, then two to three targeted probes per participant based on their top misconceptions, using new scenarios rather than repeating original items, followed by structured follow-ups designed to test self-correction and persistence. Because oral assessment introduces additional considerations (including speaking anxiety, language effects, transcription error, and privacy risks associated with voice data), this modality is proposed only as a small IRB-reviewed volunteer pilot (~20–30 students) to quantify incremental diagnostic value before any scaling. This oral modality is future work and would be implemented only under IRB review with opt-in participation and a non-voice alternative path.</w:t>
      </w:r>
    </w:p>
    <w:p>
      <w:pPr>
        <w:pStyle w:val="Heading1"/>
        <w:pageBreakBefore/>
        <w:spacing w:before="480" w:after="240"/>
      </w:pPr>
      <w:r>
        <w:rPr>
          <w:rFonts w:ascii="Times New Roman" w:cs="Times New Roman" w:eastAsia="Times New Roman" w:hAnsi="Times New Roman"/>
          <w:sz w:val="24"/>
          <w:szCs w:val="24"/>
        </w:rPr>
        <w:t xml:space="preserve">9. Limitations</w:t>
      </w:r>
    </w:p>
    <w:p>
      <w:pPr>
        <w:spacing w:line="360" w:after="200"/>
      </w:pPr>
      <w:r>
        <w:rPr>
          <w:rFonts w:ascii="Times New Roman" w:cs="Times New Roman" w:eastAsia="Times New Roman" w:hAnsi="Times New Roman"/>
          <w:sz w:val="24"/>
          <w:szCs w:val="24"/>
        </w:rPr>
        <w:t xml:space="preserve">Readers should keep the following limitations in mind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Because we report instrument design and pilot diagnostic outputs from a single pre-course assessment, no causal claims about instructional effectiveness can be drawn from Paper 1. Establishing causality requires paired pre-post data, which we plan to report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 single LLM (GPT-4.1) classified all open-ended responses. We selected this model through an 11-model concordance protocol (Appendix D), and it achieved zero schema violations and zero parse errors across the 778 scored consented responses; nevertheless, automated classification may diverge from human judgment on borderline cases. The model assigned "high" confidence to 96.8% of its own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Although the pre-course assessment collected demographic and financial background data, we defer all subgroup analyses (e.g., by gender, race/ethnicity, first-generation status) to Paper 2. We plan to submit an IRB application for human-subjects research; until approval is obtained, no subgroup comparisons or inferential claims appear in this report.</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No student actively opted out (see Section 5.1). We exclude the NULL cohort from all research analyses per standard practice (absence of affirmative consent is treated as non-consent). A representativeness check (Section 5.1)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We reviewed and retained these submissions, but they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We identified and filtered the mismatched responses using an anchor_score and confidence cross-check. The bug was subsequently fixed, and the misconception taxonomy is unaffected because we verified that all analyzed responses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no student actively chose to decline (as noted in Section 5.1), the default-yes design may have inflated the consent rate through status quo bias. The consent rate (82.1%) should be interpreted with this limitation in mind. Paper 2 will use a forced active choice design with no default selection.</w:t>
      </w:r>
    </w:p>
    <w:p>
      <w:pPr>
        <w:pStyle w:val="Heading1"/>
        <w:pageBreakBefore/>
        <w:spacing w:before="480" w:after="240"/>
      </w:pPr>
      <w:r>
        <w:rPr>
          <w:rFonts w:ascii="Times New Roman" w:cs="Times New Roman" w:eastAsia="Times New Roman" w:hAnsi="Times New Roman"/>
          <w:sz w:val="24"/>
          <w:szCs w:val="24"/>
        </w:rPr>
        <w:t xml:space="preserve">10.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spacing w:line="360" w:after="200"/>
      </w:pPr>
      <w:r>
        <w:rPr>
          <w:rFonts w:ascii="Times New Roman" w:cs="Times New Roman" w:eastAsia="Times New Roman" w:hAnsi="Times New Roman"/>
          <w:sz w:val="24"/>
          <w:szCs w:val="24"/>
        </w:rPr>
        <w:t xml:space="preserve">The pilot deployment reported in Sections 4–7 produced several outputs that directly shape the planned Paper 2 design, including instrument revision targets (Section 7.6), a misconception taxonomy for pre-post coding (Appendix C), and baseline coverage estimates (Table 7.5) that inform statistical power for item-level comparisons.</w:t>
      </w:r>
    </w:p>
    <w:p>
      <w:pPr>
        <w:spacing w:line="360" w:after="200"/>
      </w:pPr>
      <w:r>
        <w:rPr>
          <w:rFonts w:ascii="Times New Roman" w:cs="Times New Roman" w:eastAsia="Times New Roman" w:hAnsi="Times New Roman"/>
          <w:sz w:val="24"/>
          <w:szCs w:val="24"/>
        </w:rPr>
        <w:t xml:space="preserve">If approved by the Loyola University Chicago IRB, the following study is planned. A post-course assessment would be administered during the last week of the Spring 2026 semester, using the same 40-item anchor assessment and SDM-10 module with an IRB-reviewed consent process for human-subjects research. Paired pre-post analyses would compute learning gains as the difference between post-course and pre-course scores for each student, both overall and by domain. Paired t-tests (or nonparametric equivalents) would assess the statistical significance of mean gains, with standardized effect sizes (within-student Cohen's d) reported.</w:t>
      </w:r>
    </w:p>
    <w:p>
      <w:pPr>
        <w:spacing w:line="360" w:after="200"/>
      </w:pPr>
      <w:r>
        <w:rPr>
          <w:rFonts w:ascii="Times New Roman" w:cs="Times New Roman" w:eastAsia="Times New Roman" w:hAnsi="Times New Roman"/>
          <w:sz w:val="24"/>
          <w:szCs w:val="24"/>
        </w:rPr>
        <w:t xml:space="preserve">A multivariable regression framework is planned to model heterogeneity in learning gains as a function of baseline covariates, including demographics, financial background, work status, financial stress, self-rated knowledge, prior product experience, and preference-item responses (Q15–Q28). Separate domain-specific models would reveal whether the predictors of learning gains differ across borrowing, investment, and risk management.</w:t>
      </w:r>
    </w:p>
    <w:p>
      <w:pPr>
        <w:spacing w:line="360" w:after="200"/>
      </w:pPr>
      <w:r>
        <w:rPr>
          <w:rFonts w:ascii="Times New Roman" w:cs="Times New Roman" w:eastAsia="Times New Roman" w:hAnsi="Times New Roman"/>
          <w:sz w:val="24"/>
          <w:szCs w:val="24"/>
        </w:rPr>
        <w:t xml:space="preserve">Psychometric validation is planned contingent on adequate sample size. Exploratory Factor Analysis would assess dimensionality within and across domains, Cronbach's alpha would evaluate internal consistency, and item-level statistics would identify items for refinement in future administrations. If IRB-approved, demographic and financial background subgroup comparisons (by gender, race/ethnicity, first-generation status, work experience, financial stress) would be reported with appropriate transparency practices for multiple comparisons.</w:t>
      </w:r>
    </w:p>
    <w:p>
      <w:pPr>
        <w:spacing w:line="360" w:after="200"/>
      </w:pPr>
      <w:r>
        <w:rPr>
          <w:rFonts w:ascii="Times New Roman" w:cs="Times New Roman" w:eastAsia="Times New Roman" w:hAnsi="Times New Roman"/>
          <w:sz w:val="24"/>
          <w:szCs w:val="24"/>
        </w:rPr>
        <w:t xml:space="preserve">A central component of Paper 2 would be the SDM-10 pre-post comparison. Pre-post changes in misconception prevalence, selection error rates, and the distribution of three-way classifications would be analyzed to assess whether instruction reduces specific misconception clusters and improves the alignment between student knowledge and item responses. Paper 2 would pre-specify which misconception codes from the taxonomy are expected to change, based on QUIN 102 curriculum coverage and the 10 recommendations in Table 8.1. Of particular interest is whether the instructional interventions targeting the five dominant misconception clusters identified in Section 7.5 produce measurable reductions in misconception prevalence, and whether the instrument revisions targeting high selection error items (Q36, Q10, Q9, Q14) reduce format-driven errors as predicted.</w:t>
      </w:r>
    </w:p>
    <w:p>
      <w:pPr>
        <w:spacing w:line="360" w:after="200"/>
      </w:pPr>
      <w:r>
        <w:rPr>
          <w:rFonts w:ascii="Times New Roman" w:cs="Times New Roman" w:eastAsia="Times New Roman" w:hAnsi="Times New Roman"/>
          <w:sz w:val="24"/>
          <w:szCs w:val="24"/>
        </w:rPr>
        <w:t xml:space="preserve">Subgroup analyses would examine whether learning gains vary by demographic and financial background characteristics, including gender, race/ethnicity, first-generation status, work experience, and financial stress. These analyses are contingent on IRB approval and would be reported with appropriate transparency practices for multiple comparisons, including false discovery rate adjustments where applicable.</w:t>
      </w:r>
    </w:p>
    <w:p>
      <w:pPr>
        <w:spacing w:line="360" w:after="200"/>
      </w:pPr>
      <w:r>
        <w:rPr>
          <w:rFonts w:ascii="Times New Roman" w:cs="Times New Roman" w:eastAsia="Times New Roman" w:hAnsi="Times New Roman"/>
          <w:sz w:val="24"/>
          <w:szCs w:val="24"/>
        </w:rPr>
        <w:t xml:space="preserve">The publishable evaluation would be conducted only on IRB-consented data. The existing consent infrastructure (Section 5.1) separates instructional use from research use; this separation would be maintained in the post-assessment. All student data would remain de-identified using the one-way hashing architecture described in Appendix F. No raw student identifiers would appear in any dataset or publication. To protect student privacy in subgroup analyses, Paper 2 would suppress any demographic cell with fewer than 10 observations, consistent with the suppression rule applied in Section 6.2. The post-assessment consent screen would implement a forced active choice design (no default selection) to address the status quo bias limitation identified in Section 9.</w:t>
      </w:r>
    </w:p>
    <w:p>
      <w:pPr>
        <w:pStyle w:val="Heading1"/>
        <w:pageBreakBefore/>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pPr>
        <w:pStyle w:val="Heading1"/>
        <w:pageBreakBefore/>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4.4.</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 who takes full responsibility for the accuracy and integrity of the publication.</w:t>
      </w:r>
    </w:p>
    <w:p>
      <w:pPr>
        <w:pStyle w:val="Heading1"/>
        <w:pageBreakBefore/>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 size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high-priority subcategories)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basis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Ranked by diagnostic priority score (0–5) at subcategory level</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balance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fallback</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source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Pre-written 182-variant item bank only; no generated questions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Grading</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Primary outcomes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Diagnostic Priority Score Mapping (Correctness x Confidence x Format)</w:t>
      </w:r>
    </w:p>
    <w:p>
      <w:pPr>
        <w:spacing w:line="360" w:after="200"/>
      </w:pPr>
      <w:r>
        <w:rPr>
          <w:rFonts w:ascii="Times New Roman" w:cs="Times New Roman" w:eastAsia="Times New Roman" w:hAnsi="Times New Roman"/>
          <w:sz w:val="24"/>
          <w:szCs w:val="24"/>
        </w:rPr>
        <w:t xml:space="preserve">The diagnostic priority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1: Domain minimums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Ensure coverage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 highest-priority item from each domain until each has &gt;= 2 items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2: Priority-based filling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Maximize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Fill remaining slots in descending diagnostic priority order with 5-level tiebreaker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3: Understanding-verification fallback</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Avoid empty slots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If fewer than 10 subcategories are flagged for follow-up, add understanding-verification items (labeled </w:t>
            </w:r>
            <w:r>
              <w:rPr>
                <w:rFonts w:ascii="Courier New" w:cs="Courier New" w:eastAsia="Courier New" w:hAnsi="Courier New"/>
                <w:sz w:val="22"/>
                <w:szCs w:val="22"/>
              </w:rPr>
              <w:t xml:space="preserve">mastery</w:t>
            </w:r>
            <w:r>
              <w:rPr>
                <w:rFonts w:ascii="Times New Roman" w:cs="Times New Roman" w:eastAsia="Times New Roman" w:hAnsi="Times New Roman"/>
                <w:sz w:val="22"/>
                <w:szCs w:val="22"/>
              </w:rPr>
              <w:t xml:space="preserve"> in the codebase)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Diagnostic Priority Scores Are Equal)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deficit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priority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spread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order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Seeded random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 Characteristics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B1–B5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B6–B10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Debt status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B11–B13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 Q6, Q7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Saving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Earning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Borrowing/Credit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Diversification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 Q14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 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Allocation Preference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Loss Aversion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Perception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Social Influence and Herding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Retirement Risk Planning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Emotional Response to Loss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Decision Process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Confidence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Attitude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Reaction to Underperformance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Definition of Success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Downside Awareness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Preference in Income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Scam Skepticism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Q30, Q31, Q32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Basic Probability: Percentage to Frequency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Diversification Effect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Risk-Return Relationship</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Diversification Principle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Inflation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Asset Class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Crisis/Systemic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pStyle w:val="Heading1"/>
        <w:pageBreakBefore/>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Q6 (dominant)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compounding awareness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 highest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Q30, Q35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Q14, Q34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Q36</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Mutual fund unfamiliarity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 (KG)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Frequency = purpose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credit source belief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crisis cause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NUM-01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4.4),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 V3.2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Too slow (~3.5 h)</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Grok 4.1 Fast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xAI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parse failure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 error rate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Qwen3-235B</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Alibaba</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partial credit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GPT-4o-mini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37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Overly strict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Haiku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Over-detects SE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3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(rate limit)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$0.80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Sonnet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$4.72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2.0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 M2.1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Kimi K2.5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Moonshot 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(INS-03)</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 Confirm</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 credit=50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pPr>
        <w:pStyle w:val="Heading1"/>
        <w:pageBreakBefore/>
        <w:spacing w:before="480" w:after="240"/>
      </w:pPr>
      <w:r>
        <w:rPr>
          <w:rFonts w:ascii="Times New Roman" w:cs="Times New Roman" w:eastAsia="Times New Roman" w:hAnsi="Times New Roman"/>
          <w:sz w:val="24"/>
          <w:szCs w:val="24"/>
        </w:rPr>
        <w:t xml:space="preserve">Appendix E: Supplementary Materials</w:t>
      </w:r>
    </w:p>
    <w:p>
      <w:pPr>
        <w:spacing w:line="360" w:after="200"/>
      </w:pPr>
      <w:r>
        <w:rPr>
          <w:rFonts w:ascii="Times New Roman" w:cs="Times New Roman" w:eastAsia="Times New Roman" w:hAnsi="Times New Roman"/>
          <w:b/>
          <w:bCs/>
          <w:sz w:val="24"/>
          <w:szCs w:val="24"/>
        </w:rPr>
        <w:t xml:space="preserve">Data and materials availability.</w:t>
      </w:r>
      <w:r>
        <w:rPr>
          <w:rFonts w:ascii="Times New Roman" w:cs="Times New Roman" w:eastAsia="Times New Roman" w:hAnsi="Times New Roman"/>
          <w:sz w:val="24"/>
          <w:szCs w:val="24"/>
        </w:rPr>
        <w:t xml:space="preserve"> The de-identified data exports, orientation video, source code,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described below are available in the project repository (Bolivard, 2026). Direct download links are provided in the repository README.</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verification script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The following data files are available for download from the project repository:</w:t>
      </w:r>
    </w:p>
    <w:p>
      <w:pPr>
        <w:pStyle w:val="ListParagraph"/>
        <w:numPr>
          <w:ilvl w:val="0"/>
          <w:numId w:val="3"/>
        </w:numPr>
        <w:spacing w:line="360" w:after="100"/>
      </w:pP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Primary analysis dataset containing all anchor and SDM-10 responses for the research-consented subset. Fields: attempt_id, submission_type, submitted_at, duration_s, item_id, item_type, domain, subdomain, is_anchor, is_scored, student_answer, item_score, confidence, answered_at.</w:t>
      </w:r>
    </w:p>
    <w:p>
      <w:pPr>
        <w:pStyle w:val="ListParagraph"/>
        <w:numPr>
          <w:ilvl w:val="0"/>
          <w:numId w:val="3"/>
        </w:numPr>
        <w:spacing w:line="360" w:after="100"/>
      </w:pPr>
      <w:r>
        <w:rPr>
          <w:rFonts w:ascii="Courier New" w:cs="Courier New" w:eastAsia="Courier New" w:hAnsi="Courier New"/>
          <w:sz w:val="24"/>
          <w:szCs w:val="24"/>
        </w:rPr>
        <w:t xml:space="preserve">all_responses_421_students.csv</w:t>
      </w:r>
      <w:r>
        <w:rPr>
          <w:rFonts w:ascii="Times New Roman" w:cs="Times New Roman" w:eastAsia="Times New Roman" w:hAnsi="Times New Roman"/>
          <w:sz w:val="24"/>
          <w:szCs w:val="24"/>
        </w:rPr>
        <w:t xml:space="preserve">: Operational dataset including non-consented responses. Used for operational context only; not included in research analyses.</w:t>
      </w:r>
    </w:p>
    <w:p>
      <w:pPr>
        <w:pStyle w:val="ListParagraph"/>
        <w:numPr>
          <w:ilvl w:val="0"/>
          <w:numId w:val="3"/>
        </w:numPr>
        <w:spacing w:line="360" w:after="100"/>
      </w:pPr>
      <w:r>
        <w:rPr>
          <w:rFonts w:ascii="Courier New" w:cs="Courier New" w:eastAsia="Courier New" w:hAnsi="Courier New"/>
          <w:sz w:val="24"/>
          <w:szCs w:val="24"/>
        </w:rPr>
        <w:t xml:space="preserve">question_bank_40items.csv</w:t>
      </w:r>
      <w:r>
        <w:rPr>
          <w:rFonts w:ascii="Times New Roman" w:cs="Times New Roman" w:eastAsia="Times New Roman" w:hAnsi="Times New Roman"/>
          <w:sz w:val="24"/>
          <w:szCs w:val="24"/>
        </w:rPr>
        <w:t xml:space="preserve">: Item metadata and answer options for all 40 anchor items plus 13 baseline covariates. Fields: section, subsection, range, question_id, question_text, tags, options, correct_answer.</w:t>
      </w:r>
    </w:p>
    <w:p>
      <w:pPr>
        <w:pStyle w:val="ListParagraph"/>
        <w:numPr>
          <w:ilvl w:val="0"/>
          <w:numId w:val="3"/>
        </w:numPr>
        <w:spacing w:line="360" w:after="100"/>
      </w:pP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Item-level diagnose classification results showing misconception, knowledge gap, and selection error percentages with Layer 1 and Layer 2 taxonomy codes for each anchor item.</w:t>
      </w:r>
    </w:p>
    <w:p>
      <w:pPr>
        <w:pStyle w:val="ListParagraph"/>
        <w:numPr>
          <w:ilvl w:val="0"/>
          <w:numId w:val="3"/>
        </w:numPr>
        <w:spacing w:line="360" w:after="100"/>
      </w:pP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Item-level confirm classification results showing verified, partial, and likely-guess percentages for each anchor item.</w:t>
      </w:r>
    </w:p>
    <w:p>
      <w:pPr>
        <w:pStyle w:val="ListParagraph"/>
        <w:numPr>
          <w:ilvl w:val="0"/>
          <w:numId w:val="3"/>
        </w:numPr>
        <w:spacing w:line="360" w:after="100"/>
      </w:pPr>
      <w:r>
        <w:rPr>
          <w:rFonts w:ascii="Courier New" w:cs="Courier New" w:eastAsia="Courier New" w:hAnsi="Courier New"/>
          <w:sz w:val="24"/>
          <w:szCs w:val="24"/>
        </w:rPr>
        <w:t xml:space="preserve">sdm_open_answers.csv</w:t>
      </w:r>
      <w:r>
        <w:rPr>
          <w:rFonts w:ascii="Times New Roman" w:cs="Times New Roman" w:eastAsia="Times New Roman" w:hAnsi="Times New Roman"/>
          <w:sz w:val="24"/>
          <w:szCs w:val="24"/>
        </w:rPr>
        <w:t xml:space="preserve">: De-identified open-ended response text from SDM-10 diagnose and confirm items.</w:t>
      </w:r>
    </w:p>
    <w:p>
      <w:pPr>
        <w:pStyle w:val="ListParagraph"/>
        <w:numPr>
          <w:ilvl w:val="0"/>
          <w:numId w:val="3"/>
        </w:numPr>
        <w:spacing w:line="360" w:after="100"/>
      </w:pPr>
      <w:r>
        <w:rPr>
          <w:rFonts w:ascii="Courier New" w:cs="Courier New" w:eastAsia="Courier New" w:hAnsi="Courier New"/>
          <w:sz w:val="24"/>
          <w:szCs w:val="24"/>
        </w:rPr>
        <w:t xml:space="preserve">misconception_taxonomy_observed.csv</w:t>
      </w:r>
      <w:r>
        <w:rPr>
          <w:rFonts w:ascii="Times New Roman" w:cs="Times New Roman" w:eastAsia="Times New Roman" w:hAnsi="Times New Roman"/>
          <w:sz w:val="24"/>
          <w:szCs w:val="24"/>
        </w:rPr>
        <w:t xml:space="preserve">: 62 observed misconception patterns mapped to items and subcategories, with Layer 1 codes, Layer 2 tags, and frequency counts.</w:t>
      </w:r>
    </w:p>
    <w:p>
      <w:pPr>
        <w:pStyle w:val="ListParagraph"/>
        <w:numPr>
          <w:ilvl w:val="0"/>
          <w:numId w:val="3"/>
        </w:numPr>
        <w:spacing w:line="360" w:after="100"/>
      </w:pPr>
      <w:r>
        <w:rPr>
          <w:rFonts w:ascii="Courier New" w:cs="Courier New" w:eastAsia="Courier New" w:hAnsi="Courier New"/>
          <w:sz w:val="24"/>
          <w:szCs w:val="24"/>
        </w:rPr>
        <w:t xml:space="preserve">model_selection_concordance.csv</w:t>
      </w:r>
      <w:r>
        <w:rPr>
          <w:rFonts w:ascii="Times New Roman" w:cs="Times New Roman" w:eastAsia="Times New Roman" w:hAnsi="Times New Roman"/>
          <w:sz w:val="24"/>
          <w:szCs w:val="24"/>
        </w:rPr>
        <w:t xml:space="preserve">: 11-model comparison for AI scorer selection, with schema compliance, error rates, throughput, cost estimates, and verdict for each model.</w:t>
      </w:r>
    </w:p>
    <w:p>
      <w:pPr>
        <w:pStyle w:val="ListParagraph"/>
        <w:numPr>
          <w:ilvl w:val="0"/>
          <w:numId w:val="3"/>
        </w:numPr>
        <w:spacing w:line="360" w:after="100"/>
      </w:pP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Canonical SDM item bank containing 182 variant rows across 26 anchor items. Fields include anchor ID, variant type, trigger condition, question text, answer options, correct answer, scoring rubric, and misconception tags.</w:t>
      </w:r>
    </w:p>
    <w:p>
      <w:pPr>
        <w:pStyle w:val="Heading1"/>
        <w:pageBreakBefore/>
        <w:spacing w:before="480" w:after="240"/>
      </w:pPr>
      <w:r>
        <w:rPr>
          <w:rFonts w:ascii="Times New Roman" w:cs="Times New Roman" w:eastAsia="Times New Roman" w:hAnsi="Times New Roman"/>
          <w:sz w:val="24"/>
          <w:szCs w:val="24"/>
        </w:rPr>
        <w:t xml:space="preserve">Appendix F: Technical Implementation</w:t>
      </w:r>
    </w:p>
    <w:p>
      <w:pPr>
        <w:pStyle w:val="Heading2"/>
        <w:spacing w:before="360" w:after="180"/>
      </w:pPr>
      <w:r>
        <w:rPr>
          <w:rFonts w:ascii="Times New Roman" w:cs="Times New Roman" w:eastAsia="Times New Roman" w:hAnsi="Times New Roman"/>
          <w:sz w:val="24"/>
          <w:szCs w:val="24"/>
        </w:rPr>
        <w:t xml:space="preserve">F.1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the Financial Literacy Toolkit, developed for this study. The platform is built on Next.js 14 (App Router) with PostgreSQL 15 as the data store, accessed through PgBouncer connection pooling to support concurrent users. The application runs as a Docker containerized service with automated deployment via GitHub Actions and Traefik reverse proxy for SSL termination.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F.2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On receipt,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undefined"/><Relationship Id="rId9" Type="http://schemas.openxmlformats.org/officeDocument/2006/relationships/image" Target="media/a2ded5315995609fcf1cc70a7f7a979402eaf036.undefined"/><Relationship Id="rId10" Type="http://schemas.openxmlformats.org/officeDocument/2006/relationships/image" Target="media/1dd102a4ef1d5ee1253ce89081466c70eb774a29.undefined"/><Relationship Id="rId11" Type="http://schemas.openxmlformats.org/officeDocument/2006/relationships/image" Target="media/6b924f66c73cf875d83a03e08e0bb344059457b2.undefined"/><Relationship Id="rId12" Type="http://schemas.openxmlformats.org/officeDocument/2006/relationships/image" Target="media/e20a754195d8797c443e631068bf6cc458b9e9b8.undefined"/><Relationship Id="rId13" Type="http://schemas.openxmlformats.org/officeDocument/2006/relationships/image" Target="media/ad2f2b8ca0c97fa3c78aa94b3459085c92207e53.undefined"/><Relationship Id="rId14" Type="http://schemas.openxmlformats.org/officeDocument/2006/relationships/image" Target="media/0a2b849edc804f65e3c6bff571fb8bd51b09c574.undefined"/><Relationship Id="rId15" Type="http://schemas.openxmlformats.org/officeDocument/2006/relationships/image" Target="media/fb3ef5bb6345b74d5a49530286d89685d865057b.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2026-02-13T23:55:06.241Z</dcterms:created>
  <dcterms:modified xsi:type="dcterms:W3CDTF">2026-02-13T23:55:06.249Z</dcterms:modified>
</cp:coreProperties>
</file>

<file path=docProps/custom.xml><?xml version="1.0" encoding="utf-8"?>
<Properties xmlns="http://schemas.openxmlformats.org/officeDocument/2006/custom-properties" xmlns:vt="http://schemas.openxmlformats.org/officeDocument/2006/docPropsVTypes"/>
</file>