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(Claude Sonnet, Anthropic) accessed via the OpenRouter API.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are flagged for human review. The AI is used only for scoring; all item selection decisions are deterministic and rule-based.</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The assessment is administered through a custom-built Next.js web application deployed on a secure virtual private server. The platform handles student authentication via anonymous access codes, enforces one-attempt-per-student logic, implements the adaptive SDM-10 routing algorithm, and stores all response data in a PostgreSQL database. Timestamped response logs enable computation of item-level and section-level duration metrics for quality control and engagement analysis. The complete platform source code, assessment instruments, and data processing scripts are publicly available in the project repository (Boulaid, 2026).</w:t>
      </w:r>
    </w:p>
    <w:p>
      <w:pPr>
        <w:pStyle w:val="Heading2"/>
      </w:pPr>
      <w:r>
        <w:t xml:space="preserve">4.4 Privacy and FERPA Compliance</w:t>
      </w:r>
    </w:p>
    <w:p>
      <w:pPr>
        <w:spacing w:line="360" w:after="200"/>
        <w:jc w:val="left"/>
      </w:pPr>
      <w:r>
        <w:rPr>
          <w:rFonts w:ascii="Times New Roman" w:cs="Times New Roman" w:eastAsia="Times New Roman" w:hAnsi="Times New Roman"/>
          <w:sz w:val="24"/>
          <w:szCs w:val="24"/>
        </w:rPr>
        <w:t xml:space="preserve">No personally identifiable information (PII) is collected or stored. Students access the assessment via anonymous codes that cannot be linked to university records. All data are stored on an encrypted server with access restricted to the research team. The study design was reviewed for compliance with FERPA and Loyola University Chicago’s institutional data policies. Because no PII is collected and participation is embedded within normal course requirements, the study qualifies for exempt status under federal human subjects regulations.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20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2026-02-10T03:01:16.000Z</dcterms:created>
  <dcterms:modified xsi:type="dcterms:W3CDTF">2026-02-10T03:01:16.004Z</dcterms:modified>
</cp:coreProperties>
</file>

<file path=docProps/custom.xml><?xml version="1.0" encoding="utf-8"?>
<Properties xmlns="http://schemas.openxmlformats.org/officeDocument/2006/custom-properties" xmlns:vt="http://schemas.openxmlformats.org/officeDocument/2006/docPropsVTypes"/>
</file>