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SDM-10 is an adaptive extension that selects 10 additional items from the student’s weakest-performing domain on the fixed core. The module is drawn from a bank of 30 items (10 per domain) stratified by question format (conceptual, applied, numerical) and difficulty level (foundational, intermediate, advanced). The SDM-10 provides finer diagnostic resolution in each student’s area of greatest need without increasing total assessment burden.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The assessment is administered through a custom-built Next.js web application deployed on a secure virtual private server. The platform handles student authentication via anonymous access codes, enforces one-attempt-per-student logic, implements the adaptive SDM-10 routing algorithm, and stores all response data in a PostgreSQL database. Timestamped response logs enable computation of item-level and section-level duration metrics for quality control and engagement analysis.</w:t>
      </w:r>
    </w:p>
    <w:p>
      <w:pPr>
        <w:pStyle w:val="Heading2"/>
      </w:pPr>
      <w:r>
        <w:t xml:space="preserve">4.4 Privacy and FERPA Compliance</w:t>
      </w:r>
    </w:p>
    <w:p>
      <w:pPr>
        <w:spacing w:line="360" w:after="200"/>
        <w:jc w:val="left"/>
      </w:pPr>
      <w:r>
        <w:rPr>
          <w:rFonts w:ascii="Times New Roman" w:cs="Times New Roman" w:eastAsia="Times New Roman" w:hAnsi="Times New Roman"/>
          <w:sz w:val="24"/>
          <w:szCs w:val="24"/>
        </w:rPr>
        <w:t xml:space="preserve">No personally identifiable information (PII) is collected or stored. Students access the assessment via anonymous codes that cannot be linked to university records. All data are stored on an encrypted server with access restricted to the research team. The study design was reviewed for compliance with FERPA and Loyola University Chicago’s institutional data policies. Because no PII is collected and participation is embedded within normal course requirements, the study qualifies for exempt status under federal human subjects regulations.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The Supplemental Diagnostic Module (SDM-10) was administered to all 421 completers, with each student receiving 10 additional items from their weakest-performing domain on the fixed core. The routing algorithm assigned 42.3% of students to the Risk and Return module, 33.5% to the Borrowing module, and 24.2% to the Behavioral and Risk Management module. This distribution confirms that Risk and Return was the most common area of weakness, consistent with the fixed core domain results. Average SDM-10 scores were lower than fixed core averages in each domain, indicating that the adaptive targeting successfully identified areas of genuine difficulty. The SDM-10 completion rate was 100% among students who completed the fixed core, confirming that the supplemental module did not introduce additional attrition.</w:t>
      </w:r>
    </w:p>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adaptive targeting confirmed. </w:t>
      </w:r>
      <w:r>
        <w:rPr>
          <w:rFonts w:ascii="Times New Roman" w:cs="Times New Roman" w:eastAsia="Times New Roman" w:hAnsi="Times New Roman"/>
          <w:sz w:val="24"/>
          <w:szCs w:val="24"/>
        </w:rPr>
        <w:t xml:space="preserve">The SDM-10 routing algorithm correctly directed students to their weakest domain, with Risk and Return receiving the largest share of assignments (42.3%), consistent with it being the lowest-scoring domain on the fixed core. The 100% completion rate for the SDM-10 confirms that the supplemental module was well-integrated and did not create additional burden or attrition.</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20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r>
        <w:br w:type="page"/>
      </w:r>
    </w:p>
    <w:p>
      <w:pPr>
        <w:pStyle w:val="Heading1"/>
      </w:pPr>
      <w:r>
        <w:t xml:space="preserve">Appendix A: SDM-10 Selection and Burden Controls</w:t>
      </w:r>
    </w:p>
    <w:p>
      <w:pPr>
        <w:spacing w:line="360" w:after="200"/>
        <w:jc w:val="left"/>
      </w:pPr>
      <w:r>
        <w:rPr>
          <w:rFonts w:ascii="Times New Roman" w:cs="Times New Roman" w:eastAsia="Times New Roman" w:hAnsi="Times New Roman"/>
          <w:sz w:val="24"/>
          <w:szCs w:val="24"/>
        </w:rPr>
        <w:t xml:space="preserve">The SDM-10 module uses a rule-based selection algorithm to target each student’s weakest domain. Table A.1 summarizes the burden control rules applied during item selection.</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Maximum items</w:t>
            </w:r>
          </w:p>
        </w:tc>
        <w:tc>
          <w:tcPr>
            <w:tcW w:type="dxa" w:w="6240"/>
            <w:vAlign w:val="center"/>
          </w:tcPr>
          <w:p>
            <w:pPr>
              <w:jc w:val="center"/>
            </w:pPr>
            <w:r>
              <w:rPr>
                <w:rFonts w:ascii="Times New Roman" w:cs="Times New Roman" w:eastAsia="Times New Roman" w:hAnsi="Times New Roman"/>
                <w:sz w:val="22"/>
                <w:szCs w:val="22"/>
              </w:rPr>
              <w:t xml:space="preserve">10 items per student, drawn from weakest domain only</w:t>
            </w:r>
          </w:p>
        </w:tc>
      </w:tr>
      <w:tr>
        <w:tc>
          <w:tcPr>
            <w:tcW w:type="dxa" w:w="3120"/>
            <w:vAlign w:val="center"/>
          </w:tcPr>
          <w:p>
            <w:pPr>
              <w:jc w:val="center"/>
            </w:pPr>
            <w:r>
              <w:rPr>
                <w:rFonts w:ascii="Times New Roman" w:cs="Times New Roman" w:eastAsia="Times New Roman" w:hAnsi="Times New Roman"/>
                <w:sz w:val="22"/>
                <w:szCs w:val="22"/>
              </w:rPr>
              <w:t xml:space="preserve">Time limit</w:t>
            </w:r>
          </w:p>
        </w:tc>
        <w:tc>
          <w:tcPr>
            <w:tcW w:type="dxa" w:w="6240"/>
            <w:vAlign w:val="center"/>
          </w:tcPr>
          <w:p>
            <w:pPr>
              <w:jc w:val="center"/>
            </w:pPr>
            <w:r>
              <w:rPr>
                <w:rFonts w:ascii="Times New Roman" w:cs="Times New Roman" w:eastAsia="Times New Roman" w:hAnsi="Times New Roman"/>
                <w:sz w:val="22"/>
                <w:szCs w:val="22"/>
              </w:rPr>
              <w:t xml:space="preserve">No separate time limit; included in overall 45-minute maximum</w:t>
            </w:r>
          </w:p>
        </w:tc>
      </w:tr>
      <w:tr>
        <w:tc>
          <w:tcPr>
            <w:tcW w:type="dxa" w:w="3120"/>
            <w:vAlign w:val="center"/>
          </w:tcPr>
          <w:p>
            <w:pPr>
              <w:jc w:val="center"/>
            </w:pPr>
            <w:r>
              <w:rPr>
                <w:rFonts w:ascii="Times New Roman" w:cs="Times New Roman" w:eastAsia="Times New Roman" w:hAnsi="Times New Roman"/>
                <w:sz w:val="22"/>
                <w:szCs w:val="22"/>
              </w:rPr>
              <w:t xml:space="preserve">Format balance</w:t>
            </w:r>
          </w:p>
        </w:tc>
        <w:tc>
          <w:tcPr>
            <w:tcW w:type="dxa" w:w="6240"/>
            <w:vAlign w:val="center"/>
          </w:tcPr>
          <w:p>
            <w:pPr>
              <w:jc w:val="center"/>
            </w:pPr>
            <w:r>
              <w:rPr>
                <w:rFonts w:ascii="Times New Roman" w:cs="Times New Roman" w:eastAsia="Times New Roman" w:hAnsi="Times New Roman"/>
                <w:sz w:val="22"/>
                <w:szCs w:val="22"/>
              </w:rPr>
              <w:t xml:space="preserve">Items sampled across conceptual, applied, and numerical formats</w:t>
            </w:r>
          </w:p>
        </w:tc>
      </w:tr>
      <w:tr>
        <w:tc>
          <w:tcPr>
            <w:tcW w:type="dxa" w:w="3120"/>
            <w:vAlign w:val="center"/>
          </w:tcPr>
          <w:p>
            <w:pPr>
              <w:jc w:val="center"/>
            </w:pPr>
            <w:r>
              <w:rPr>
                <w:rFonts w:ascii="Times New Roman" w:cs="Times New Roman" w:eastAsia="Times New Roman" w:hAnsi="Times New Roman"/>
                <w:sz w:val="22"/>
                <w:szCs w:val="22"/>
              </w:rPr>
              <w:t xml:space="preserve">Difficulty balance</w:t>
            </w:r>
          </w:p>
        </w:tc>
        <w:tc>
          <w:tcPr>
            <w:tcW w:type="dxa" w:w="6240"/>
            <w:vAlign w:val="center"/>
          </w:tcPr>
          <w:p>
            <w:pPr>
              <w:jc w:val="center"/>
            </w:pPr>
            <w:r>
              <w:rPr>
                <w:rFonts w:ascii="Times New Roman" w:cs="Times New Roman" w:eastAsia="Times New Roman" w:hAnsi="Times New Roman"/>
                <w:sz w:val="22"/>
                <w:szCs w:val="22"/>
              </w:rPr>
              <w:t xml:space="preserve">Items span foundational, intermediate, and advanced levels</w:t>
            </w:r>
          </w:p>
        </w:tc>
      </w:tr>
      <w:tr>
        <w:tc>
          <w:tcPr>
            <w:tcW w:type="dxa" w:w="3120"/>
            <w:vAlign w:val="center"/>
          </w:tcPr>
          <w:p>
            <w:pPr>
              <w:jc w:val="center"/>
            </w:pPr>
            <w:r>
              <w:rPr>
                <w:rFonts w:ascii="Times New Roman" w:cs="Times New Roman" w:eastAsia="Times New Roman" w:hAnsi="Times New Roman"/>
                <w:sz w:val="22"/>
                <w:szCs w:val="22"/>
              </w:rPr>
              <w:t xml:space="preserve">No repetition</w:t>
            </w:r>
          </w:p>
        </w:tc>
        <w:tc>
          <w:tcPr>
            <w:tcW w:type="dxa" w:w="6240"/>
            <w:vAlign w:val="center"/>
          </w:tcPr>
          <w:p>
            <w:pPr>
              <w:jc w:val="center"/>
            </w:pPr>
            <w:r>
              <w:rPr>
                <w:rFonts w:ascii="Times New Roman" w:cs="Times New Roman" w:eastAsia="Times New Roman" w:hAnsi="Times New Roman"/>
                <w:sz w:val="22"/>
                <w:szCs w:val="22"/>
              </w:rPr>
              <w:t xml:space="preserve">SDM-10 items are distinct from fixed core items</w:t>
            </w:r>
          </w:p>
        </w:tc>
      </w:tr>
      <w:tr>
        <w:tc>
          <w:tcPr>
            <w:tcW w:type="dxa" w:w="3120"/>
            <w:vAlign w:val="center"/>
          </w:tcPr>
          <w:p>
            <w:pPr>
              <w:jc w:val="center"/>
            </w:pPr>
            <w:r>
              <w:rPr>
                <w:rFonts w:ascii="Times New Roman" w:cs="Times New Roman" w:eastAsia="Times New Roman" w:hAnsi="Times New Roman"/>
                <w:sz w:val="22"/>
                <w:szCs w:val="22"/>
              </w:rPr>
              <w:t xml:space="preserve">Completion requirement</w:t>
            </w:r>
          </w:p>
        </w:tc>
        <w:tc>
          <w:tcPr>
            <w:tcW w:type="dxa" w:w="6240"/>
            <w:vAlign w:val="center"/>
          </w:tcPr>
          <w:p>
            <w:pPr>
              <w:jc w:val="center"/>
            </w:pPr>
            <w:r>
              <w:rPr>
                <w:rFonts w:ascii="Times New Roman" w:cs="Times New Roman" w:eastAsia="Times New Roman" w:hAnsi="Times New Roman"/>
                <w:sz w:val="22"/>
                <w:szCs w:val="22"/>
              </w:rPr>
              <w:t xml:space="preserve">All 10 items must be answered; no skip option</w:t>
            </w:r>
          </w:p>
        </w:tc>
      </w:tr>
    </w:tbl>
    <w:p>
      <w:pPr>
        <w:spacing w:line="360" w:after="200"/>
        <w:jc w:val="left"/>
      </w:pPr>
      <w:r>
        <w:rPr>
          <w:rFonts w:ascii="Times New Roman" w:cs="Times New Roman" w:eastAsia="Times New Roman" w:hAnsi="Times New Roman"/>
          <w:sz w:val="24"/>
          <w:szCs w:val="24"/>
        </w:rPr>
        <w:t xml:space="preserve">Table A.2 presents the item bank structure showing the distribution of SDM-10 items across question format and difficulty level for each domain.</w:t>
      </w:r>
    </w:p>
    <w:p>
      <w:pPr>
        <w:spacing w:before="240" w:after="120"/>
        <w:jc w:val="center"/>
      </w:pPr>
      <w:r>
        <w:rPr>
          <w:rFonts w:ascii="Times New Roman" w:cs="Times New Roman" w:eastAsia="Times New Roman" w:hAnsi="Times New Roman"/>
          <w:b/>
          <w:bCs/>
          <w:i/>
          <w:iCs/>
          <w:sz w:val="22"/>
          <w:szCs w:val="22"/>
        </w:rPr>
        <w:t xml:space="preserve">Table A.2. SDM-10 Item Bank Structure (Format x Difficulty Level)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 / Level</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Foundational</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Intermediate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Advanced</w:t>
            </w:r>
          </w:p>
        </w:tc>
      </w:tr>
      <w:tr>
        <w:tc>
          <w:tcPr>
            <w:tcW w:type="dxa" w:w="2340"/>
            <w:vAlign w:val="center"/>
          </w:tcPr>
          <w:p>
            <w:pPr>
              <w:jc w:val="center"/>
            </w:pPr>
            <w:r>
              <w:rPr>
                <w:rFonts w:ascii="Times New Roman" w:cs="Times New Roman" w:eastAsia="Times New Roman" w:hAnsi="Times New Roman"/>
                <w:sz w:val="22"/>
                <w:szCs w:val="22"/>
              </w:rPr>
              <w:t xml:space="preserve">Conceptual</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1-2 per domain</w:t>
            </w:r>
          </w:p>
        </w:tc>
      </w:tr>
      <w:tr>
        <w:tc>
          <w:tcPr>
            <w:tcW w:type="dxa" w:w="2340"/>
            <w:vAlign w:val="center"/>
          </w:tcPr>
          <w:p>
            <w:pPr>
              <w:jc w:val="center"/>
            </w:pPr>
            <w:r>
              <w:rPr>
                <w:rFonts w:ascii="Times New Roman" w:cs="Times New Roman" w:eastAsia="Times New Roman" w:hAnsi="Times New Roman"/>
                <w:sz w:val="22"/>
                <w:szCs w:val="22"/>
              </w:rPr>
              <w:t xml:space="preserve">Applied</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r>
      <w:tr>
        <w:tc>
          <w:tcPr>
            <w:tcW w:type="dxa" w:w="2340"/>
            <w:vAlign w:val="center"/>
          </w:tcPr>
          <w:p>
            <w:pPr>
              <w:jc w:val="center"/>
            </w:pPr>
            <w:r>
              <w:rPr>
                <w:rFonts w:ascii="Times New Roman" w:cs="Times New Roman" w:eastAsia="Times New Roman" w:hAnsi="Times New Roman"/>
                <w:sz w:val="22"/>
                <w:szCs w:val="22"/>
              </w:rPr>
              <w:t xml:space="preserve">Numerical</w:t>
            </w:r>
          </w:p>
        </w:tc>
        <w:tc>
          <w:tcPr>
            <w:tcW w:type="dxa" w:w="2340"/>
            <w:vAlign w:val="center"/>
          </w:tcPr>
          <w:p>
            <w:pPr>
              <w:jc w:val="center"/>
            </w:pPr>
            <w:r>
              <w:rPr>
                <w:rFonts w:ascii="Times New Roman" w:cs="Times New Roman" w:eastAsia="Times New Roman" w:hAnsi="Times New Roman"/>
                <w:sz w:val="22"/>
                <w:szCs w:val="22"/>
              </w:rPr>
              <w:t xml:space="preserve">0-1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2026-02-09T20:26:23.499Z</dcterms:created>
  <dcterms:modified xsi:type="dcterms:W3CDTF">2026-02-09T20:26:23.509Z</dcterms:modified>
</cp:coreProperties>
</file>

<file path=docProps/custom.xml><?xml version="1.0" encoding="utf-8"?>
<Properties xmlns="http://schemas.openxmlformats.org/officeDocument/2006/custom-properties" xmlns:vt="http://schemas.openxmlformats.org/officeDocument/2006/docPropsVTypes"/>
</file>