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600"/>
        <w:jc w:val="center"/>
      </w:pPr>
      <w:r>
        <w:rPr>
          <w:rFonts w:ascii="Arial" w:cs="Arial" w:eastAsia="Arial" w:hAnsi="Arial"/>
          <w:b/>
          <w:bCs/>
          <w:sz w:val="36"/>
          <w:szCs w:val="36"/>
        </w:rPr>
        <w:t xml:space="preserve">Developing a Risk Literacy Diagnostic for QUIN 102: Instrument Design, Platform Implementation, and SDM-10 Diagnostic Findings</w:t>
      </w:r>
    </w:p>
    <w:p>
      <w:pPr>
        <w:spacing w:after="240"/>
        <w:jc w:val="center"/>
      </w:pPr>
      <w:r>
        <w:rPr>
          <w:rFonts w:ascii="Times New Roman" w:cs="Times New Roman" w:eastAsia="Times New Roman" w:hAnsi="Times New Roman"/>
          <w:sz w:val="28"/>
          <w:szCs w:val="28"/>
        </w:rPr>
        <w:t xml:space="preserve">Loyola University Chicago</w:t>
      </w:r>
    </w:p>
    <w:p>
      <w:pPr>
        <w:spacing w:after="240"/>
        <w:jc w:val="center"/>
      </w:pPr>
      <w:r>
        <w:rPr>
          <w:rFonts w:ascii="Times New Roman" w:cs="Times New Roman" w:eastAsia="Times New Roman" w:hAnsi="Times New Roman"/>
          <w:sz w:val="28"/>
          <w:szCs w:val="28"/>
        </w:rPr>
        <w:t xml:space="preserve">Independent Study -- Spring 2026</w:t>
      </w:r>
    </w:p>
    <w:p>
      <w:pPr>
        <w:sectPr>
          <w:pgSz w:w="12240" w:h="15840" w:orient="portrait"/>
          <w:pgMar w:top="1440" w:right="1440" w:bottom="1440" w:left="1440" w:header="708" w:footer="708" w:gutter="0"/>
          <w:pgNumType/>
          <w:docGrid w:linePitch="360"/>
        </w:sectPr>
      </w:pPr>
    </w:p>
    <w:p>
      <w:pPr>
        <w:pStyle w:val="Heading1"/>
        <w:pageBreakBefore/>
        <w:spacing w:before="480" w:after="240"/>
      </w:pPr>
      <w:r>
        <w:rPr>
          <w:rFonts w:ascii="Times New Roman" w:cs="Times New Roman" w:eastAsia="Times New Roman" w:hAnsi="Times New Roman"/>
          <w:sz w:val="24"/>
          <w:szCs w:val="24"/>
        </w:rPr>
        <w:t xml:space="preserve">Table of Contents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Introduction</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Related Work</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2.1 </w:t>
      </w:r>
      <w:r>
        <w:rPr>
          <w:rFonts w:ascii="Times New Roman" w:cs="Times New Roman" w:eastAsia="Times New Roman" w:hAnsi="Times New Roman"/>
          <w:color w:val="0563C1"/>
          <w:sz w:val="24"/>
          <w:szCs w:val="24"/>
          <w:u w:val="single"/>
        </w:rPr>
        <w:t xml:space="preserve">Financial Literacy: Definitions and Measurement</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2.2 </w:t>
      </w:r>
      <w:r>
        <w:rPr>
          <w:rFonts w:ascii="Times New Roman" w:cs="Times New Roman" w:eastAsia="Times New Roman" w:hAnsi="Times New Roman"/>
          <w:color w:val="0563C1"/>
          <w:sz w:val="24"/>
          <w:szCs w:val="24"/>
          <w:u w:val="single"/>
        </w:rPr>
        <w:t xml:space="preserve">Domain-Specific Knowledge Gaps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2.3 </w:t>
      </w:r>
      <w:r>
        <w:rPr>
          <w:rFonts w:ascii="Times New Roman" w:cs="Times New Roman" w:eastAsia="Times New Roman" w:hAnsi="Times New Roman"/>
          <w:color w:val="0563C1"/>
          <w:sz w:val="24"/>
          <w:szCs w:val="24"/>
          <w:u w:val="single"/>
        </w:rPr>
        <w:t xml:space="preserve">Confidence Calibration and Overconfidence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2.4 </w:t>
      </w:r>
      <w:r>
        <w:rPr>
          <w:rFonts w:ascii="Times New Roman" w:cs="Times New Roman" w:eastAsia="Times New Roman" w:hAnsi="Times New Roman"/>
          <w:color w:val="0563C1"/>
          <w:sz w:val="24"/>
          <w:szCs w:val="24"/>
          <w:u w:val="single"/>
        </w:rPr>
        <w:t xml:space="preserve">Gaps in the Literature</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Instrument and Measurement Model</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3.1 </w:t>
      </w:r>
      <w:r>
        <w:rPr>
          <w:rFonts w:ascii="Times New Roman" w:cs="Times New Roman" w:eastAsia="Times New Roman" w:hAnsi="Times New Roman"/>
          <w:color w:val="0563C1"/>
          <w:sz w:val="24"/>
          <w:szCs w:val="24"/>
          <w:u w:val="single"/>
        </w:rPr>
        <w:t xml:space="preserve">Assessment Structure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3.2 </w:t>
      </w:r>
      <w:r>
        <w:rPr>
          <w:rFonts w:ascii="Times New Roman" w:cs="Times New Roman" w:eastAsia="Times New Roman" w:hAnsi="Times New Roman"/>
          <w:color w:val="0563C1"/>
          <w:sz w:val="24"/>
          <w:szCs w:val="24"/>
          <w:u w:val="single"/>
        </w:rPr>
        <w:t xml:space="preserve">Scoring Methodology</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3.3 </w:t>
      </w:r>
      <w:r>
        <w:rPr>
          <w:rFonts w:ascii="Times New Roman" w:cs="Times New Roman" w:eastAsia="Times New Roman" w:hAnsi="Times New Roman"/>
          <w:color w:val="0563C1"/>
          <w:sz w:val="24"/>
          <w:szCs w:val="24"/>
          <w:u w:val="single"/>
        </w:rPr>
        <w:t xml:space="preserve">Risk Literacy Emphasis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SDM-10 Diagnostic Module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4.1 </w:t>
      </w:r>
      <w:r>
        <w:rPr>
          <w:rFonts w:ascii="Times New Roman" w:cs="Times New Roman" w:eastAsia="Times New Roman" w:hAnsi="Times New Roman"/>
          <w:color w:val="0563C1"/>
          <w:sz w:val="24"/>
          <w:szCs w:val="24"/>
          <w:u w:val="single"/>
        </w:rPr>
        <w:t xml:space="preserve">Selection Algorithm and Need Score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4.2 </w:t>
      </w:r>
      <w:r>
        <w:rPr>
          <w:rFonts w:ascii="Times New Roman" w:cs="Times New Roman" w:eastAsia="Times New Roman" w:hAnsi="Times New Roman"/>
          <w:color w:val="0563C1"/>
          <w:sz w:val="24"/>
          <w:szCs w:val="24"/>
          <w:u w:val="single"/>
        </w:rPr>
        <w:t xml:space="preserve">Variant Types and Three-Way Classification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4.3 </w:t>
      </w:r>
      <w:r>
        <w:rPr>
          <w:rFonts w:ascii="Times New Roman" w:cs="Times New Roman" w:eastAsia="Times New Roman" w:hAnsi="Times New Roman"/>
          <w:color w:val="0563C1"/>
          <w:sz w:val="24"/>
          <w:szCs w:val="24"/>
          <w:u w:val="single"/>
        </w:rPr>
        <w:t xml:space="preserve">AI-Assisted Scoring Pipeline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 </w:t>
      </w:r>
      <w:r>
        <w:rPr>
          <w:rFonts w:ascii="Times New Roman" w:cs="Times New Roman" w:eastAsia="Times New Roman" w:hAnsi="Times New Roman"/>
          <w:color w:val="0563C1"/>
          <w:sz w:val="24"/>
          <w:szCs w:val="24"/>
          <w:u w:val="single"/>
        </w:rPr>
        <w:t xml:space="preserve">Diagnostic Findings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4.4.1 </w:t>
      </w:r>
      <w:r>
        <w:rPr>
          <w:rFonts w:ascii="Times New Roman" w:cs="Times New Roman" w:eastAsia="Times New Roman" w:hAnsi="Times New Roman"/>
          <w:color w:val="0563C1"/>
          <w:sz w:val="24"/>
          <w:szCs w:val="24"/>
          <w:u w:val="single"/>
        </w:rPr>
        <w:t xml:space="preserve">Open-Ended Response Overview</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4.4.2 </w:t>
      </w:r>
      <w:r>
        <w:rPr>
          <w:rFonts w:ascii="Times New Roman" w:cs="Times New Roman" w:eastAsia="Times New Roman" w:hAnsi="Times New Roman"/>
          <w:color w:val="0563C1"/>
          <w:sz w:val="24"/>
          <w:szCs w:val="24"/>
          <w:u w:val="single"/>
        </w:rPr>
        <w:t xml:space="preserve">Diagnose Classification Results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4.4.3 </w:t>
      </w:r>
      <w:r>
        <w:rPr>
          <w:rFonts w:ascii="Times New Roman" w:cs="Times New Roman" w:eastAsia="Times New Roman" w:hAnsi="Times New Roman"/>
          <w:color w:val="0563C1"/>
          <w:sz w:val="24"/>
          <w:szCs w:val="24"/>
          <w:u w:val="single"/>
        </w:rPr>
        <w:t xml:space="preserve">Confirm Classification Results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4.4.4 </w:t>
      </w:r>
      <w:r>
        <w:rPr>
          <w:rFonts w:ascii="Times New Roman" w:cs="Times New Roman" w:eastAsia="Times New Roman" w:hAnsi="Times New Roman"/>
          <w:color w:val="0563C1"/>
          <w:sz w:val="24"/>
          <w:szCs w:val="24"/>
          <w:u w:val="single"/>
        </w:rPr>
        <w:t xml:space="preserve">Misconception Analysis by Domain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4.4.5 </w:t>
      </w:r>
      <w:r>
        <w:rPr>
          <w:rFonts w:ascii="Times New Roman" w:cs="Times New Roman" w:eastAsia="Times New Roman" w:hAnsi="Times New Roman"/>
          <w:color w:val="0563C1"/>
          <w:sz w:val="24"/>
          <w:szCs w:val="24"/>
          <w:u w:val="single"/>
        </w:rPr>
        <w:t xml:space="preserve">Selection Error Patterns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4.4.6 </w:t>
      </w:r>
      <w:r>
        <w:rPr>
          <w:rFonts w:ascii="Times New Roman" w:cs="Times New Roman" w:eastAsia="Times New Roman" w:hAnsi="Times New Roman"/>
          <w:color w:val="0563C1"/>
          <w:sz w:val="24"/>
          <w:szCs w:val="24"/>
          <w:u w:val="single"/>
        </w:rPr>
        <w:t xml:space="preserve">Validation Against Manual Analysis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4.4.7 </w:t>
      </w:r>
      <w:r>
        <w:rPr>
          <w:rFonts w:ascii="Times New Roman" w:cs="Times New Roman" w:eastAsia="Times New Roman" w:hAnsi="Times New Roman"/>
          <w:color w:val="0563C1"/>
          <w:sz w:val="24"/>
          <w:szCs w:val="24"/>
          <w:u w:val="single"/>
        </w:rPr>
        <w:t xml:space="preserve">Cross-Item Patterns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Platform and Governance Design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5.1 </w:t>
      </w:r>
      <w:r>
        <w:rPr>
          <w:rFonts w:ascii="Times New Roman" w:cs="Times New Roman" w:eastAsia="Times New Roman" w:hAnsi="Times New Roman"/>
          <w:color w:val="0563C1"/>
          <w:sz w:val="24"/>
          <w:szCs w:val="24"/>
          <w:u w:val="single"/>
        </w:rPr>
        <w:t xml:space="preserve">Technology Stack</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5.2 </w:t>
      </w:r>
      <w:r>
        <w:rPr>
          <w:rFonts w:ascii="Times New Roman" w:cs="Times New Roman" w:eastAsia="Times New Roman" w:hAnsi="Times New Roman"/>
          <w:color w:val="0563C1"/>
          <w:sz w:val="24"/>
          <w:szCs w:val="24"/>
          <w:u w:val="single"/>
        </w:rPr>
        <w:t xml:space="preserve">Student Authentication and Data Minimization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5.3 </w:t>
      </w:r>
      <w:r>
        <w:rPr>
          <w:rFonts w:ascii="Times New Roman" w:cs="Times New Roman" w:eastAsia="Times New Roman" w:hAnsi="Times New Roman"/>
          <w:color w:val="0563C1"/>
          <w:sz w:val="24"/>
          <w:szCs w:val="24"/>
          <w:u w:val="single"/>
        </w:rPr>
        <w:t xml:space="preserve">Consent Mechanics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Pilot Operations and Descriptive Statistics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6.1 </w:t>
      </w:r>
      <w:r>
        <w:rPr>
          <w:rFonts w:ascii="Times New Roman" w:cs="Times New Roman" w:eastAsia="Times New Roman" w:hAnsi="Times New Roman"/>
          <w:color w:val="0563C1"/>
          <w:sz w:val="24"/>
          <w:szCs w:val="24"/>
          <w:u w:val="single"/>
        </w:rPr>
        <w:t xml:space="preserve">Participation and Completion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6.2 </w:t>
      </w:r>
      <w:r>
        <w:rPr>
          <w:rFonts w:ascii="Times New Roman" w:cs="Times New Roman" w:eastAsia="Times New Roman" w:hAnsi="Times New Roman"/>
          <w:color w:val="0563C1"/>
          <w:sz w:val="24"/>
          <w:szCs w:val="24"/>
          <w:u w:val="single"/>
        </w:rPr>
        <w:t xml:space="preserve">Anchor Score Context</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6.3 </w:t>
      </w:r>
      <w:r>
        <w:rPr>
          <w:rFonts w:ascii="Times New Roman" w:cs="Times New Roman" w:eastAsia="Times New Roman" w:hAnsi="Times New Roman"/>
          <w:color w:val="0563C1"/>
          <w:sz w:val="24"/>
          <w:szCs w:val="24"/>
          <w:u w:val="single"/>
        </w:rPr>
        <w:t xml:space="preserve">Assessment Duration</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Discussion</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Limitations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Planned Validation Study (Paper 2 Protocol Preview)</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References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Declaration of AI and AI-Assisted Technologies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A: SDM-10 Selection Algorithm and Burden Controls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B: Assessment Items (Full Question Bank)</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C: Financial Literacy Misconception Taxonomy (Layer 1)</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D: AI Scorer Model Selection Protocol</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E: Supplementary Materials</w:t>
      </w:r>
    </w:p>
    <w:p>
      <w:pPr>
        <w:pStyle w:val="Heading1"/>
        <w:pageBreakBefore/>
        <w:spacing w:before="480" w:after="240"/>
      </w:pPr>
      <w:r>
        <w:rPr>
          <w:rFonts w:ascii="Times New Roman" w:cs="Times New Roman" w:eastAsia="Times New Roman" w:hAnsi="Times New Roman"/>
          <w:sz w:val="24"/>
          <w:szCs w:val="24"/>
        </w:rPr>
        <w:t xml:space="preserve">1. Introduction</w:t>
      </w:r>
    </w:p>
    <w:p>
      <w:pPr>
        <w:spacing w:line="360" w:after="200"/>
      </w:pPr>
      <w:r>
        <w:rPr>
          <w:rFonts w:ascii="Times New Roman" w:cs="Times New Roman" w:eastAsia="Times New Roman" w:hAnsi="Times New Roman"/>
          <w:sz w:val="24"/>
          <w:szCs w:val="24"/>
        </w:rPr>
        <w:t xml:space="preserve">Financial literacy is commonly defined as the ability to understand and use financial concepts and quantitative information to make informed decisions about saving, borrowing, investing, and managing risk. In the human capital framework, these competencies influence participation in credit and asset markets, portfolio choice, and resilience to shocks. For university students, financial literacy is immediately consequential because many begin managing debt, credit, and consumption decisions under limited experience and imperfect information. Small misunderstandings in compounding, interest-rate mechanics, inflation, diversification, and insurance can translate into persistent debt burdens, fragile liquidity positions, and suboptimal portfolio choices.</w:t>
      </w:r>
    </w:p>
    <w:p>
      <w:pPr>
        <w:spacing w:line="360" w:after="200"/>
      </w:pPr>
      <w:r>
        <w:rPr>
          <w:rFonts w:ascii="Times New Roman" w:cs="Times New Roman" w:eastAsia="Times New Roman" w:hAnsi="Times New Roman"/>
          <w:sz w:val="24"/>
          <w:szCs w:val="24"/>
        </w:rPr>
        <w:t xml:space="preserve">Recent policy debate on consumer credit highlights why financial literacy matters for borrowing outcomes. Research suggests that creditworthiness may be influenced by financial literacy education (Lusardi &amp; Mitchell, 2014), and that improving consumers' understanding of borrowing mechanics may help reduce delinquency and compounding penalty dynamics that raise effective borrowing costs. From this perspective, expanding access to bona fide financial literacy education is not only consumer protection but also a market-relevant intervention, because stronger credit profiles can reduce risk-based pricing pressure and contribute to lower rates over time for both borrowers and lenders.</w:t>
      </w:r>
    </w:p>
    <w:p>
      <w:pPr>
        <w:spacing w:line="360" w:after="200"/>
      </w:pPr>
      <w:r>
        <w:rPr>
          <w:rFonts w:ascii="Times New Roman" w:cs="Times New Roman" w:eastAsia="Times New Roman" w:hAnsi="Times New Roman"/>
          <w:sz w:val="24"/>
          <w:szCs w:val="24"/>
        </w:rPr>
        <w:t xml:space="preserve">Despite broad recognition of its importance, financial literacy is unevenly distributed across student populations. Students arrive with heterogeneous prior exposure to personal finance concepts, differences in numeracy, and unequal access to credible guidance through households, schools, employers, and digital sources. Learning is further shaped by behavioral and contextual constraints, including time scarcity, employment intensity, financial stress, risk preferences, and prior exposure to financial products. Consequently, evaluation of financial literacy instruction should address both average learning gains and the determinants of variation in learning across students.</w:t>
      </w:r>
    </w:p>
    <w:p>
      <w:pPr>
        <w:spacing w:line="360" w:after="200"/>
      </w:pPr>
      <w:r>
        <w:rPr>
          <w:rFonts w:ascii="Times New Roman" w:cs="Times New Roman" w:eastAsia="Times New Roman" w:hAnsi="Times New Roman"/>
          <w:sz w:val="24"/>
          <w:szCs w:val="24"/>
        </w:rPr>
        <w:t xml:space="preserve">This independent study develops and pilots a diagnostic instrument for evaluating financial and risk literacy in QUIN 102 (Financial Literacy) during the Spring 2026 offering. The instrument comprises a 40-item anchor assessment covering financial knowledge and attitudes, paired with a 10-item Supplemental Diagnostic Module (SDM-10) that adaptively probes areas of weakness identified in the anchor responses. The assessment is administered through a purpose-built web platform with coded student identifiers and structured consent mechanics.</w:t>
      </w:r>
    </w:p>
    <w:p>
      <w:pPr>
        <w:spacing w:line="360" w:after="200"/>
      </w:pPr>
      <w:r>
        <w:rPr>
          <w:rFonts w:ascii="Times New Roman" w:cs="Times New Roman" w:eastAsia="Times New Roman" w:hAnsi="Times New Roman"/>
          <w:sz w:val="24"/>
          <w:szCs w:val="24"/>
        </w:rPr>
        <w:t xml:space="preserve">More specifically, the independent study is organized around two research questions that frame the overall project:</w:t>
      </w:r>
    </w:p>
    <w:p>
      <w:pPr>
        <w:pStyle w:val="ListParagraph"/>
        <w:numPr>
          <w:ilvl w:val="0"/>
          <w:numId w:val="3"/>
        </w:numPr>
        <w:spacing w:line="360" w:after="100"/>
      </w:pPr>
      <w:r>
        <w:rPr>
          <w:rFonts w:ascii="Times New Roman" w:cs="Times New Roman" w:eastAsia="Times New Roman" w:hAnsi="Times New Roman"/>
          <w:b/>
          <w:bCs/>
          <w:sz w:val="24"/>
          <w:szCs w:val="24"/>
        </w:rPr>
        <w:t xml:space="preserve">RQ1 (Learning gains):</w:t>
      </w:r>
      <w:r>
        <w:rPr>
          <w:rFonts w:ascii="Times New Roman" w:cs="Times New Roman" w:eastAsia="Times New Roman" w:hAnsi="Times New Roman"/>
          <w:sz w:val="24"/>
          <w:szCs w:val="24"/>
        </w:rPr>
        <w:t xml:space="preserve"> What is the magnitude of student learning in QUIN 102, overall and within the domains of borrowing and credit, investment, and risk management, as measured by pre- to post-course changes in knowledge?</w:t>
      </w:r>
    </w:p>
    <w:p>
      <w:pPr>
        <w:pStyle w:val="ListParagraph"/>
        <w:numPr>
          <w:ilvl w:val="0"/>
          <w:numId w:val="3"/>
        </w:numPr>
        <w:spacing w:line="360" w:after="100"/>
      </w:pPr>
      <w:r>
        <w:rPr>
          <w:rFonts w:ascii="Times New Roman" w:cs="Times New Roman" w:eastAsia="Times New Roman" w:hAnsi="Times New Roman"/>
          <w:b/>
          <w:bCs/>
          <w:sz w:val="24"/>
          <w:szCs w:val="24"/>
        </w:rPr>
        <w:t xml:space="preserve">RQ2 (Heterogeneity):</w:t>
      </w:r>
      <w:r>
        <w:rPr>
          <w:rFonts w:ascii="Times New Roman" w:cs="Times New Roman" w:eastAsia="Times New Roman" w:hAnsi="Times New Roman"/>
          <w:sz w:val="24"/>
          <w:szCs w:val="24"/>
        </w:rPr>
        <w:t xml:space="preserve"> Which baseline behavioral and contextual variables predict heterogeneity in learning gains across students, and do these predictors differ by domain?</w:t>
      </w:r>
    </w:p>
    <w:p>
      <w:pPr>
        <w:spacing w:line="360" w:after="200"/>
      </w:pPr>
      <w:r>
        <w:rPr>
          <w:rFonts w:ascii="Times New Roman" w:cs="Times New Roman" w:eastAsia="Times New Roman" w:hAnsi="Times New Roman"/>
          <w:sz w:val="24"/>
          <w:szCs w:val="24"/>
        </w:rPr>
        <w:t xml:space="preserve">RQ1 and RQ2 require paired pre-post data and will be addressed in a subsequent study contingent on institutional review board approval (see Section 9). This paper (Paper 1) is an independent study deliverable that documents instrument design, platform implementation, and descriptive diagnostic findings from the pre-course assessment (February 2--9, 2026). It reports no learning gains, no inferential statistics, and no subgroup comparisons. All pre-course results are presented as operational baseline context for the planned validation study, not as standalone research findings. The SDM-10's three-way classification of open-ended responses (misconception, knowledge gap, selection error) provides diagnostic information that standard multiple-choice instruments cannot capture -- in particular, the finding that a substantial fraction of incorrect answers reflect selection errors rather than genuine misconceptions, and that a meaningful fraction of correct answers reflect lucky guesses rather than genuine understanding. These findings demonstrate that raw MCQ scores both overstate and understate student knowledge in systematic ways, with implications for instrument design and instructional targeting.</w:t>
      </w:r>
    </w:p>
    <w:p>
      <w:pPr>
        <w:pStyle w:val="Heading1"/>
        <w:pageBreakBefore/>
        <w:spacing w:before="480" w:after="240"/>
      </w:pPr>
      <w:r>
        <w:rPr>
          <w:rFonts w:ascii="Times New Roman" w:cs="Times New Roman" w:eastAsia="Times New Roman" w:hAnsi="Times New Roman"/>
          <w:sz w:val="24"/>
          <w:szCs w:val="24"/>
        </w:rPr>
        <w:t xml:space="preserve">2. Related Work</w:t>
      </w:r>
    </w:p>
    <w:p>
      <w:pPr>
        <w:pStyle w:val="Heading2"/>
        <w:spacing w:before="360" w:after="180"/>
      </w:pPr>
      <w:r>
        <w:rPr>
          <w:rFonts w:ascii="Times New Roman" w:cs="Times New Roman" w:eastAsia="Times New Roman" w:hAnsi="Times New Roman"/>
          <w:sz w:val="24"/>
          <w:szCs w:val="24"/>
        </w:rPr>
        <w:t xml:space="preserve">2.1 Financial Literacy: Definitions and Measurement</w:t>
      </w:r>
    </w:p>
    <w:p>
      <w:pPr>
        <w:spacing w:line="360" w:after="200"/>
      </w:pPr>
      <w:r>
        <w:rPr>
          <w:rFonts w:ascii="Times New Roman" w:cs="Times New Roman" w:eastAsia="Times New Roman" w:hAnsi="Times New Roman"/>
          <w:sz w:val="24"/>
          <w:szCs w:val="24"/>
        </w:rPr>
        <w:t xml:space="preserve">Since the early 2000s, a growing body of research has examined how well people understand basic financial concepts and how that understanding shapes their economic decisions. Lusardi and Mitchell (2014) anchored much of this work by defining financial literacy around three core ideas -- interest compounding, inflation, and risk diversification -- and showing that individuals who grasp these concepts save more, invest more effectively, and accumulate greater wealth over time. Their "Big Three" questions have become the most widely adopted instrument for assessing basic financial literacy and form the conceptual basis for most subsequent measurement efforts, including the assessment categories used in the present study.</w:t>
      </w:r>
    </w:p>
    <w:p>
      <w:pPr>
        <w:spacing w:line="360" w:after="200"/>
      </w:pPr>
      <w:r>
        <w:rPr>
          <w:rFonts w:ascii="Times New Roman" w:cs="Times New Roman" w:eastAsia="Times New Roman" w:hAnsi="Times New Roman"/>
          <w:sz w:val="24"/>
          <w:szCs w:val="24"/>
        </w:rPr>
        <w:t xml:space="preserve">Despite broad recognition of its importance, the field has lacked a standardized instrument analogous to established health literacy measures. Huston (2010) reviewed the heterogeneous measurement landscape and proposed that financial literacy instruments should contain 12--20 items spanning four content areas: money basics (time value of money, purchasing power), borrowing, investing, and asset protection. Our assessment's coverage of borrowing/credit, investment/risk, and behavioral risk management closely mirrors Huston's recommended framework. More recently, the OECD (2022) OECD/INFE toolkit has provided a standardized questionnaire measuring three dimensions of financial literacy -- knowledge, behavior, and attitudes -- deployed across dozens of countries to enable cross-national comparisons.</w:t>
      </w:r>
    </w:p>
    <w:p>
      <w:pPr>
        <w:spacing w:line="360" w:after="200"/>
      </w:pPr>
      <w:r>
        <w:rPr>
          <w:rFonts w:ascii="Times New Roman" w:cs="Times New Roman" w:eastAsia="Times New Roman" w:hAnsi="Times New Roman"/>
          <w:sz w:val="24"/>
          <w:szCs w:val="24"/>
        </w:rPr>
        <w:t xml:space="preserve">In their methodological review, Hastings, Madrian, and Skimmyhorn (2013) examined how researchers actually measure financial literacy and concluded that the "Big Five" questions -- interest rates, inflation, diversification, compound interest, and bond pricing -- remain the field's most trusted indicators, despite persistent difficulties in drawing causal links between what people know and how they behave financially. Lusardi (2019) further documented that globally, only about one-third of adults demonstrate familiarity with basic financial concepts, with illiteracy especially concentrated among women, minorities, the young, and those with lower educational attainment.</w:t>
      </w:r>
    </w:p>
    <w:p>
      <w:pPr>
        <w:spacing w:line="360" w:after="200"/>
      </w:pPr>
      <w:r>
        <w:rPr>
          <w:rFonts w:ascii="Times New Roman" w:cs="Times New Roman" w:eastAsia="Times New Roman" w:hAnsi="Times New Roman"/>
          <w:sz w:val="24"/>
          <w:szCs w:val="24"/>
        </w:rPr>
        <w:t xml:space="preserve">Among college students specifically, Chen and Volpe (1998) established early baseline evidence, finding that 924 college students answered only about 53% of financial literacy questions correctly, with non-business majors, women, and students with limited work experience scoring significantly lower.</w:t>
      </w:r>
    </w:p>
    <w:p>
      <w:pPr>
        <w:pStyle w:val="Heading2"/>
        <w:spacing w:before="360" w:after="180"/>
      </w:pPr>
      <w:r>
        <w:rPr>
          <w:rFonts w:ascii="Times New Roman" w:cs="Times New Roman" w:eastAsia="Times New Roman" w:hAnsi="Times New Roman"/>
          <w:sz w:val="24"/>
          <w:szCs w:val="24"/>
        </w:rPr>
        <w:t xml:space="preserve">2.2 Domain-Specific Knowledge Gaps</w:t>
      </w:r>
    </w:p>
    <w:p>
      <w:pPr>
        <w:spacing w:line="360" w:after="200"/>
      </w:pPr>
      <w:r>
        <w:rPr>
          <w:rFonts w:ascii="Times New Roman" w:cs="Times New Roman" w:eastAsia="Times New Roman" w:hAnsi="Times New Roman"/>
          <w:sz w:val="24"/>
          <w:szCs w:val="24"/>
        </w:rPr>
        <w:t xml:space="preserve">Research has documented uneven financial literacy across knowledge domains. Lusardi and Tufano (2015) established the concept of "debt literacy" as distinct from general financial literacy, finding that only about one-third of Americans comprehend interest compounding or credit card mechanics, and estimating that as much as one-third of charges and fees paid by less-knowledgeable individuals can be attributed to ignorance. Stango and Zinman (2009) identified the cognitive mechanism underlying many borrowing mistakes -- exponential growth bias, the pervasive tendency to linearize exponential functions -- which leads consumers to underestimate interest rates on loans and underestimate future values of investments.</w:t>
      </w:r>
    </w:p>
    <w:p>
      <w:pPr>
        <w:spacing w:line="360" w:after="200"/>
      </w:pPr>
      <w:r>
        <w:rPr>
          <w:rFonts w:ascii="Times New Roman" w:cs="Times New Roman" w:eastAsia="Times New Roman" w:hAnsi="Times New Roman"/>
          <w:sz w:val="24"/>
          <w:szCs w:val="24"/>
        </w:rPr>
        <w:t xml:space="preserve">In the investment domain, van Rooij, Lusardi, and Alessie (2011) found that while most respondents demonstrated basic financial knowledge (interest compounding, inflation, time value of money), very few understood differences between bonds and stocks, bond price-interest rate relationships, or risk diversification basics. Individuals with low advanced financial literacy were significantly less likely to participate in the stock market.</w:t>
      </w:r>
    </w:p>
    <w:p>
      <w:pPr>
        <w:spacing w:line="360" w:after="200"/>
      </w:pPr>
      <w:r>
        <w:rPr>
          <w:rFonts w:ascii="Times New Roman" w:cs="Times New Roman" w:eastAsia="Times New Roman" w:hAnsi="Times New Roman"/>
          <w:sz w:val="24"/>
          <w:szCs w:val="24"/>
        </w:rPr>
        <w:t xml:space="preserve">Among college students specifically, Akers and Chingos (2014) found striking levels of student loan illiteracy: 28% of first-year students with federal loans reported having no federal debt, and nearly half seriously underestimated their total student debt. These findings underscore why the present assessment includes borrowing/credit as a major knowledge domain.</w:t>
      </w:r>
    </w:p>
    <w:p>
      <w:pPr>
        <w:pStyle w:val="Heading2"/>
        <w:spacing w:before="360" w:after="180"/>
      </w:pPr>
      <w:r>
        <w:rPr>
          <w:rFonts w:ascii="Times New Roman" w:cs="Times New Roman" w:eastAsia="Times New Roman" w:hAnsi="Times New Roman"/>
          <w:sz w:val="24"/>
          <w:szCs w:val="24"/>
        </w:rPr>
        <w:t xml:space="preserve">2.3 Confidence Calibration and Overconfidence</w:t>
      </w:r>
    </w:p>
    <w:p>
      <w:pPr>
        <w:spacing w:line="360" w:after="200"/>
      </w:pPr>
      <w:r>
        <w:rPr>
          <w:rFonts w:ascii="Times New Roman" w:cs="Times New Roman" w:eastAsia="Times New Roman" w:hAnsi="Times New Roman"/>
          <w:sz w:val="24"/>
          <w:szCs w:val="24"/>
        </w:rPr>
        <w:t xml:space="preserve">The relationship between perceived and actual financial literacy has emerged as a critical dimension of financial competence. Allgood and Walstad (2016) demonstrated, using a national survey of 28,146 U.S. adults, that both actual (objective) and perceived (subjective) financial literacy independently influence financial behaviors across five domains. The combined measure of both perceived and actual literacy provides greater explanatory power than either alone, supporting the QUIN 102 assessment's design that generates an overconfidence index from both measures.</w:t>
      </w:r>
    </w:p>
    <w:p>
      <w:pPr>
        <w:spacing w:line="360" w:after="200"/>
      </w:pPr>
      <w:r>
        <w:rPr>
          <w:rFonts w:ascii="Times New Roman" w:cs="Times New Roman" w:eastAsia="Times New Roman" w:hAnsi="Times New Roman"/>
          <w:sz w:val="24"/>
          <w:szCs w:val="24"/>
        </w:rPr>
        <w:t xml:space="preserve">Robb and Woodyard (2011) found that subjective financial knowledge had a larger relative impact on financial behavior than objective knowledge, underscoring the importance of measuring confidence calibration. Porto and Xiao (2016) found that over 11% of respondents in a nationally representative sample displayed financial literacy overconfidence -- scoring above average on perceived knowledge but failing basic literacy questions -- and that these overconfident consumers were less likely to seek professional financial advice in domains where they most needed it.</w:t>
      </w:r>
    </w:p>
    <w:p>
      <w:pPr>
        <w:spacing w:line="360" w:after="200"/>
      </w:pPr>
      <w:r>
        <w:rPr>
          <w:rFonts w:ascii="Times New Roman" w:cs="Times New Roman" w:eastAsia="Times New Roman" w:hAnsi="Times New Roman"/>
          <w:sz w:val="24"/>
          <w:szCs w:val="24"/>
        </w:rPr>
        <w:t xml:space="preserve">In a study closely comparable to the present research, Ipatova and Merheb (2023) examined overconfidence among 169 undergraduates and confirmed the Dunning-Kruger effect in financial literacy contexts: students with lower financial proficiency systematically overestimated their knowledge and competence. Kramer (2016) provided additional evidence that confidence operates independently of knowledge in shaping financial behavior, finding that higher confidence reduces advice-seeking while no relationship exists between objective literacy and advice-seeking.</w:t>
      </w:r>
    </w:p>
    <w:p>
      <w:pPr>
        <w:pStyle w:val="Heading2"/>
        <w:spacing w:before="360" w:after="180"/>
      </w:pPr>
      <w:r>
        <w:rPr>
          <w:rFonts w:ascii="Times New Roman" w:cs="Times New Roman" w:eastAsia="Times New Roman" w:hAnsi="Times New Roman"/>
          <w:sz w:val="24"/>
          <w:szCs w:val="24"/>
        </w:rPr>
        <w:t xml:space="preserve">2.4 Gaps in the Literature</w:t>
      </w:r>
    </w:p>
    <w:p>
      <w:pPr>
        <w:spacing w:line="360" w:after="200"/>
      </w:pPr>
      <w:r>
        <w:rPr>
          <w:rFonts w:ascii="Times New Roman" w:cs="Times New Roman" w:eastAsia="Times New Roman" w:hAnsi="Times New Roman"/>
          <w:sz w:val="24"/>
          <w:szCs w:val="24"/>
        </w:rPr>
        <w:t xml:space="preserve">The literature review reveals several gaps that the present instrument addresses. First, most financial literacy measurement studies rely on fixed multiple-choice instruments that cannot distinguish between genuine misconceptions, knowledge gaps, and selection errors -- a limitation that affects both diagnostic accuracy and instructional targeting. Second, the use of adaptive diagnostic instruments that probe areas of weakness identified in an anchor assessment is novel in the financial literacy evaluation literature. Third, the simultaneous measurement of knowledge, confidence, and behavioral covariates enables analysis of confidence calibration, directly addressing Willis's (2011) concern about "confident incompetence." The present study contributes to filling these gaps by developing a diagnostic instrument that combines a fixed anchor assessment with an adaptive diagnostic module, enabling finer-grained classification of student responses than traditional MCQ-only approaches.</w:t>
      </w:r>
    </w:p>
    <w:p>
      <w:pPr>
        <w:pStyle w:val="Heading1"/>
        <w:pageBreakBefore/>
        <w:spacing w:before="480" w:after="240"/>
      </w:pPr>
      <w:r>
        <w:rPr>
          <w:rFonts w:ascii="Times New Roman" w:cs="Times New Roman" w:eastAsia="Times New Roman" w:hAnsi="Times New Roman"/>
          <w:sz w:val="24"/>
          <w:szCs w:val="24"/>
        </w:rPr>
        <w:t xml:space="preserve">3. Instrument and Measurement Model</w:t>
      </w:r>
    </w:p>
    <w:p>
      <w:pPr>
        <w:pStyle w:val="Heading2"/>
        <w:spacing w:before="360" w:after="180"/>
      </w:pPr>
      <w:r>
        <w:rPr>
          <w:rFonts w:ascii="Times New Roman" w:cs="Times New Roman" w:eastAsia="Times New Roman" w:hAnsi="Times New Roman"/>
          <w:sz w:val="24"/>
          <w:szCs w:val="24"/>
        </w:rPr>
        <w:t xml:space="preserve">3.1 Assessment Structure</w:t>
      </w:r>
    </w:p>
    <w:p>
      <w:pPr>
        <w:spacing w:line="360" w:after="200"/>
      </w:pPr>
      <w:r>
        <w:rPr>
          <w:rFonts w:ascii="Times New Roman" w:cs="Times New Roman" w:eastAsia="Times New Roman" w:hAnsi="Times New Roman"/>
          <w:sz w:val="24"/>
          <w:szCs w:val="24"/>
        </w:rPr>
        <w:t xml:space="preserve">The instrument comprises three components:</w:t>
      </w:r>
    </w:p>
    <w:p>
      <w:pPr>
        <w:pStyle w:val="ListParagraph"/>
        <w:numPr>
          <w:ilvl w:val="0"/>
          <w:numId w:val="2"/>
        </w:numPr>
        <w:spacing w:line="360" w:after="100"/>
      </w:pPr>
      <w:r>
        <w:rPr>
          <w:rFonts w:ascii="Times New Roman" w:cs="Times New Roman" w:eastAsia="Times New Roman" w:hAnsi="Times New Roman"/>
          <w:sz w:val="24"/>
          <w:szCs w:val="24"/>
        </w:rPr>
        <w:t xml:space="preserve">A demographic and socioeconomic baseline questionnaire (13 items) administered during onboarding</w:t>
      </w:r>
    </w:p>
    <w:p>
      <w:pPr>
        <w:pStyle w:val="ListParagraph"/>
        <w:numPr>
          <w:ilvl w:val="0"/>
          <w:numId w:val="2"/>
        </w:numPr>
        <w:spacing w:line="360" w:after="100"/>
      </w:pPr>
      <w:r>
        <w:rPr>
          <w:rFonts w:ascii="Times New Roman" w:cs="Times New Roman" w:eastAsia="Times New Roman" w:hAnsi="Times New Roman"/>
          <w:sz w:val="24"/>
          <w:szCs w:val="24"/>
        </w:rPr>
        <w:t xml:space="preserve">A fixed 40-item core (anchor) assessment covering financial knowledge and attitudes</w:t>
      </w:r>
    </w:p>
    <w:p>
      <w:pPr>
        <w:pStyle w:val="ListParagraph"/>
        <w:numPr>
          <w:ilvl w:val="0"/>
          <w:numId w:val="2"/>
        </w:numPr>
        <w:spacing w:line="360" w:after="100"/>
      </w:pPr>
      <w:r>
        <w:rPr>
          <w:rFonts w:ascii="Times New Roman" w:cs="Times New Roman" w:eastAsia="Times New Roman" w:hAnsi="Times New Roman"/>
          <w:sz w:val="24"/>
          <w:szCs w:val="24"/>
        </w:rPr>
        <w:t xml:space="preserve">A 10-item Supplemental Diagnostic Module (SDM-10) selected from a pre-written item bank based on students' anchor responses</w:t>
      </w:r>
    </w:p>
    <w:p>
      <w:pPr>
        <w:spacing w:line="360" w:after="200"/>
      </w:pPr>
      <w:r>
        <w:rPr>
          <w:rFonts w:ascii="Times New Roman" w:cs="Times New Roman" w:eastAsia="Times New Roman" w:hAnsi="Times New Roman"/>
          <w:b/>
          <w:bCs/>
          <w:sz w:val="24"/>
          <w:szCs w:val="24"/>
        </w:rPr>
        <w:t xml:space="preserve">Table 3.1: Item Distribution</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Component</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Items</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Content</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Scored</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Baseline covariates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Demographics, financial background, debt status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Anchor knowledge items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26</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Q1--Q14, Q29--Q40 (borrowing, investment, risk)</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Anchor preference items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Q15--Q28 (attitudes, risk tolerance, behavior)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SDM-10 adaptive items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Selected from 156-variant item bank</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Diagnostic only</w:t>
            </w:r>
          </w:p>
        </w:tc>
      </w:tr>
    </w:tbl>
    <w:p>
      <w:pPr>
        <w:spacing w:after="200"/>
      </w:pPr>
    </w:p>
    <w:p>
      <w:pPr>
        <w:spacing w:line="360" w:after="200"/>
      </w:pPr>
      <w:r>
        <w:rPr>
          <w:rFonts w:ascii="Times New Roman" w:cs="Times New Roman" w:eastAsia="Times New Roman" w:hAnsi="Times New Roman"/>
          <w:sz w:val="24"/>
          <w:szCs w:val="24"/>
        </w:rPr>
        <w:t xml:space="preserve">Out of the 40 anchor items, 26 are knowledge items scored as correct/incorrect and used to compute learning gains. The remaining 14 are preference items (Q15--Q28) that assess behavioral tendencies and serve as unscored covariates for heterogeneity analysis. Each anchor item is paired with a confidence rating on a 1--3 scale (low, medium, high). The combination of correctness and confidence determines whether additional diagnostic measurement is warranted in the SDM-10.</w:t>
      </w:r>
    </w:p>
    <w:p>
      <w:pPr>
        <w:spacing w:line="360" w:after="200"/>
      </w:pPr>
      <w:r>
        <w:rPr>
          <w:rFonts w:ascii="Times New Roman" w:cs="Times New Roman" w:eastAsia="Times New Roman" w:hAnsi="Times New Roman"/>
          <w:sz w:val="24"/>
          <w:szCs w:val="24"/>
        </w:rPr>
        <w:t xml:space="preserve">We built the question bank by adapting and synthesizing items from established financial literacy and numeracy instruments, including the Berlin Numeracy Test, Lipkus Numeracy Scale, the "Big Three" (Lusardi and Mitchell), the FINRA National Financial Capability Study item sets, the OECD/INFE Toolkit (2022), the P-Fin Index, and related decision science instruments. Starting from an initial pool of approximately 80 candidates, we refined the bank down to a 40-item anchor assessment.</w:t>
      </w:r>
    </w:p>
    <w:p>
      <w:pPr>
        <w:pStyle w:val="Heading2"/>
        <w:spacing w:before="360" w:after="180"/>
      </w:pPr>
      <w:r>
        <w:rPr>
          <w:rFonts w:ascii="Times New Roman" w:cs="Times New Roman" w:eastAsia="Times New Roman" w:hAnsi="Times New Roman"/>
          <w:sz w:val="24"/>
          <w:szCs w:val="24"/>
        </w:rPr>
        <w:t xml:space="preserve">3.2 Scoring Methodology</w:t>
      </w:r>
    </w:p>
    <w:p>
      <w:pPr>
        <w:spacing w:line="360" w:after="200"/>
      </w:pPr>
      <w:r>
        <w:rPr>
          <w:rFonts w:ascii="Times New Roman" w:cs="Times New Roman" w:eastAsia="Times New Roman" w:hAnsi="Times New Roman"/>
          <w:sz w:val="24"/>
          <w:szCs w:val="24"/>
        </w:rPr>
        <w:t xml:space="preserve">We score knowledge items (Q1--Q14, Q29--Q40) as correct/incorrect (binary) and compute both overall and domain-level percent-correct scores across three instructional domains:</w:t>
      </w:r>
    </w:p>
    <w:p>
      <w:pPr>
        <w:pStyle w:val="ListParagraph"/>
        <w:numPr>
          <w:ilvl w:val="0"/>
          <w:numId w:val="3"/>
        </w:numPr>
        <w:spacing w:line="360" w:after="100"/>
      </w:pPr>
      <w:r>
        <w:rPr>
          <w:rFonts w:ascii="Times New Roman" w:cs="Times New Roman" w:eastAsia="Times New Roman" w:hAnsi="Times New Roman"/>
          <w:b/>
          <w:bCs/>
          <w:sz w:val="24"/>
          <w:szCs w:val="24"/>
        </w:rPr>
        <w:t xml:space="preserve">Borrowing, Interest Rates, and Financial Numeracy Knowledge</w:t>
      </w:r>
      <w:r>
        <w:rPr>
          <w:rFonts w:ascii="Times New Roman" w:cs="Times New Roman" w:eastAsia="Times New Roman" w:hAnsi="Times New Roman"/>
          <w:sz w:val="24"/>
          <w:szCs w:val="24"/>
        </w:rPr>
        <w:t xml:space="preserve"> (10 items: Q1--Q10)</w:t>
      </w:r>
    </w:p>
    <w:p>
      <w:pPr>
        <w:pStyle w:val="ListParagraph"/>
        <w:numPr>
          <w:ilvl w:val="0"/>
          <w:numId w:val="3"/>
        </w:numPr>
        <w:spacing w:line="360" w:after="100"/>
      </w:pPr>
      <w:r>
        <w:rPr>
          <w:rFonts w:ascii="Times New Roman" w:cs="Times New Roman" w:eastAsia="Times New Roman" w:hAnsi="Times New Roman"/>
          <w:b/>
          <w:bCs/>
          <w:sz w:val="24"/>
          <w:szCs w:val="24"/>
        </w:rPr>
        <w:t xml:space="preserve">Behavioral and Risk Management Knowledge</w:t>
      </w:r>
      <w:r>
        <w:rPr>
          <w:rFonts w:ascii="Times New Roman" w:cs="Times New Roman" w:eastAsia="Times New Roman" w:hAnsi="Times New Roman"/>
          <w:sz w:val="24"/>
          <w:szCs w:val="24"/>
        </w:rPr>
        <w:t xml:space="preserve"> (4 scored items: Q11--Q14)</w:t>
      </w:r>
    </w:p>
    <w:p>
      <w:pPr>
        <w:pStyle w:val="ListParagraph"/>
        <w:numPr>
          <w:ilvl w:val="0"/>
          <w:numId w:val="3"/>
        </w:numPr>
        <w:spacing w:line="360" w:after="100"/>
      </w:pPr>
      <w:r>
        <w:rPr>
          <w:rFonts w:ascii="Times New Roman" w:cs="Times New Roman" w:eastAsia="Times New Roman" w:hAnsi="Times New Roman"/>
          <w:b/>
          <w:bCs/>
          <w:sz w:val="24"/>
          <w:szCs w:val="24"/>
        </w:rPr>
        <w:t xml:space="preserve">Risk and Return Knowledge</w:t>
      </w:r>
      <w:r>
        <w:rPr>
          <w:rFonts w:ascii="Times New Roman" w:cs="Times New Roman" w:eastAsia="Times New Roman" w:hAnsi="Times New Roman"/>
          <w:sz w:val="24"/>
          <w:szCs w:val="24"/>
        </w:rPr>
        <w:t xml:space="preserve"> (12 items: Q29--Q40)</w:t>
      </w:r>
    </w:p>
    <w:p>
      <w:pPr>
        <w:spacing w:line="360" w:after="200"/>
      </w:pPr>
      <w:r>
        <w:rPr>
          <w:rFonts w:ascii="Times New Roman" w:cs="Times New Roman" w:eastAsia="Times New Roman" w:hAnsi="Times New Roman"/>
          <w:sz w:val="24"/>
          <w:szCs w:val="24"/>
        </w:rPr>
        <w:t xml:space="preserve">Each anchor item also carries a confidence rating, which we use for secondary analyses (calibration and diagnostic interpretation) but which does not affect the primary score. The SDM-10 is diagnostic only and does not contribute to the student's course grade.</w:t>
      </w:r>
    </w:p>
    <w:p>
      <w:pPr>
        <w:pStyle w:val="Heading2"/>
        <w:spacing w:before="360" w:after="180"/>
      </w:pPr>
      <w:r>
        <w:rPr>
          <w:rFonts w:ascii="Times New Roman" w:cs="Times New Roman" w:eastAsia="Times New Roman" w:hAnsi="Times New Roman"/>
          <w:sz w:val="24"/>
          <w:szCs w:val="24"/>
        </w:rPr>
        <w:t xml:space="preserve">3.3 Risk Literacy Emphasis</w:t>
      </w:r>
    </w:p>
    <w:p>
      <w:pPr>
        <w:spacing w:line="360" w:after="200"/>
      </w:pPr>
      <w:r>
        <w:rPr>
          <w:rFonts w:ascii="Times New Roman" w:cs="Times New Roman" w:eastAsia="Times New Roman" w:hAnsi="Times New Roman"/>
          <w:sz w:val="24"/>
          <w:szCs w:val="24"/>
        </w:rPr>
        <w:t xml:space="preserve">The instrument emphasizes risk literacy as a core construct, consistent with the independent study's objectives. Risk literacy encompasses not only factual knowledge of diversification, insurance, and risk-return tradeoffs (assessed through scored knowledge items) but also students' self-assessed confidence in recognizing and managing risk (assessed through confidence ratings and preference items). The SDM-10 module provides a deeper diagnostic layer by probing whether incorrect answers on risk-related items reflect misconceptions (specific wrong mental models), knowledge gaps (absence of knowledge), or selection errors (correct understanding with wrong answer choice). This three-level diagnostic architecture -- knowledge score, confidence calibration, and open-ended classification -- enables measurement of both quantitative and qualitative dimensions of risk literacy.</w:t>
      </w:r>
    </w:p>
    <w:p>
      <w:pPr>
        <w:spacing w:line="360" w:after="200"/>
      </w:pPr>
      <w:r>
        <w:rPr>
          <w:rFonts w:ascii="Times New Roman" w:cs="Times New Roman" w:eastAsia="Times New Roman" w:hAnsi="Times New Roman"/>
          <w:sz w:val="24"/>
          <w:szCs w:val="24"/>
        </w:rPr>
        <w:t xml:space="preserve">We designed the instrument to be internally consistent and transferable: piloted first with Loyola University Chicago students in QUIN 102, the item bank, scoring framework, and diagnostic module are intended for adaptation to broader student populations in future work.</w:t>
      </w:r>
    </w:p>
    <w:p>
      <w:pPr>
        <w:pStyle w:val="Heading1"/>
        <w:pageBreakBefore/>
        <w:spacing w:before="480" w:after="240"/>
      </w:pPr>
      <w:r>
        <w:rPr>
          <w:rFonts w:ascii="Times New Roman" w:cs="Times New Roman" w:eastAsia="Times New Roman" w:hAnsi="Times New Roman"/>
          <w:sz w:val="24"/>
          <w:szCs w:val="24"/>
        </w:rPr>
        <w:t xml:space="preserve">4. SDM-10 Diagnostic Module</w:t>
      </w:r>
    </w:p>
    <w:p>
      <w:pPr>
        <w:pStyle w:val="Heading2"/>
        <w:spacing w:before="360" w:after="180"/>
      </w:pPr>
      <w:r>
        <w:rPr>
          <w:rFonts w:ascii="Times New Roman" w:cs="Times New Roman" w:eastAsia="Times New Roman" w:hAnsi="Times New Roman"/>
          <w:sz w:val="24"/>
          <w:szCs w:val="24"/>
        </w:rPr>
        <w:t xml:space="preserve">4.1 Selection Algorithm and Need Score</w:t>
      </w:r>
    </w:p>
    <w:p>
      <w:pPr>
        <w:spacing w:line="360" w:after="200"/>
      </w:pPr>
      <w:r>
        <w:rPr>
          <w:rFonts w:ascii="Times New Roman" w:cs="Times New Roman" w:eastAsia="Times New Roman" w:hAnsi="Times New Roman"/>
          <w:sz w:val="24"/>
          <w:szCs w:val="24"/>
        </w:rPr>
        <w:t xml:space="preserve">The Supplemental Diagnostic Module (SDM-10) is an adaptive follow-up administered immediately after the 40-item anchor assessment. For each student, the module selects 10 items from a pre-written bank of 156 variants (6 variants per anchor knowledge item) using an information deficit model that prioritizes subcategories where the anchor response left the most residual uncertainty about the student's understanding. The SDM-10 draws only from knowledge items (Q1--Q14, Q29--Q40). Preference items (Q15--Q28) do not trigger adaptive follow-up because they assess attitudes rather than factual knowledge.</w:t>
      </w:r>
    </w:p>
    <w:p>
      <w:pPr>
        <w:spacing w:line="360" w:after="200"/>
      </w:pPr>
      <w:r>
        <w:rPr>
          <w:rFonts w:ascii="Times New Roman" w:cs="Times New Roman" w:eastAsia="Times New Roman" w:hAnsi="Times New Roman"/>
          <w:sz w:val="24"/>
          <w:szCs w:val="24"/>
        </w:rPr>
        <w:t xml:space="preserve">The selection algorithm computes a Need score (0--5) for each of the 26 knowledge subcategories based on three signals from the anchor response: correctness, confidence (1--3 scale), and item format (True/False vs. multiple choice). Higher Need scores indicate greater residual uncertainty. The format-aware adjustment addresses differential guessing probability: a correct True/False response with moderate confidence is assigned a higher Need (Need = 2) than the equivalent multiple-choice response (Need = 1), reflecting the 50% versus approximately 25% chance-level baseline. Incorrect responses with high confidence receive the maximum Need score (Need = 5), signaling a likely misconception requiring open-ended diagnostic follow-up.</w:t>
      </w:r>
    </w:p>
    <w:p>
      <w:pPr>
        <w:spacing w:line="360" w:after="200"/>
      </w:pPr>
      <w:r>
        <w:rPr>
          <w:rFonts w:ascii="Times New Roman" w:cs="Times New Roman" w:eastAsia="Times New Roman" w:hAnsi="Times New Roman"/>
          <w:b/>
          <w:bCs/>
          <w:sz w:val="24"/>
          <w:szCs w:val="24"/>
        </w:rPr>
        <w:t xml:space="preserve">Table 4.1: Need Score Mapping (Correctness x Confidence x Format)</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Confidence</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Correct (MCQ)</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Correct (T/F)</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Incorrect (MCQ)</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Incorrect (T/F)</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 (Low)</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 (Mid)</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 (High)</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r>
    </w:tbl>
    <w:p>
      <w:pPr>
        <w:spacing w:after="200"/>
      </w:pPr>
    </w:p>
    <w:p>
      <w:pPr>
        <w:spacing w:line="360" w:after="200"/>
      </w:pPr>
      <w:r>
        <w:rPr>
          <w:rFonts w:ascii="Times New Roman" w:cs="Times New Roman" w:eastAsia="Times New Roman" w:hAnsi="Times New Roman"/>
          <w:sz w:val="24"/>
          <w:szCs w:val="24"/>
        </w:rPr>
        <w:t xml:space="preserve">The 10-item selection follows a three-phase procedure. Phase 1 enforces domain minimums (at least 2 items per scoring domain). Phase 2 fills remaining slots in descending Need order. Phase 3 provides fallback if fewer than 10 subcategories have Need &gt; 0, using mastery-probing items from the strongest subcategories. Open-ended items are capped at 3 per student to limit response burden. The complete algorithm specification is presented in Appendix A.</w:t>
      </w:r>
    </w:p>
    <w:p>
      <w:pPr>
        <w:spacing w:before="360" w:after="120"/>
        <w:jc w:val="center"/>
      </w:pPr>
      <w:r>
        <w:drawing>
          <wp:inline distT="0" distB="0" distL="0" distR="0">
            <wp:extent cx="55245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243840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5. Confidence Calibration Categories. Distribution of students across calibration groups based on average confidence–accuracy alignment (full completed cohort).</w:t>
      </w:r>
    </w:p>
    <w:p>
      <w:pPr>
        <w:pStyle w:val="Heading2"/>
        <w:spacing w:before="360" w:after="180"/>
      </w:pPr>
      <w:r>
        <w:rPr>
          <w:rFonts w:ascii="Times New Roman" w:cs="Times New Roman" w:eastAsia="Times New Roman" w:hAnsi="Times New Roman"/>
          <w:sz w:val="24"/>
          <w:szCs w:val="24"/>
        </w:rPr>
        <w:t xml:space="preserve">4.2 Variant Types and Three-Way Classification</w:t>
      </w:r>
    </w:p>
    <w:p>
      <w:pPr>
        <w:spacing w:line="360" w:after="200"/>
      </w:pPr>
      <w:r>
        <w:rPr>
          <w:rFonts w:ascii="Times New Roman" w:cs="Times New Roman" w:eastAsia="Times New Roman" w:hAnsi="Times New Roman"/>
          <w:b/>
          <w:bCs/>
          <w:sz w:val="24"/>
          <w:szCs w:val="24"/>
        </w:rPr>
        <w:t xml:space="preserve">Table 4.2: Variant Assignment Rules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Anchor Response Pattern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Assigned Variant Type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Diagnostic Goal</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Incorrect + High confidence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Open_Diagnose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Surface misconception</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Incorrect + Mid confidence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Lower_MCQ</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Test foundational understanding</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Incorrect + Low confidence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Lower_TF</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 basic recognition</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 Low confidence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Open_Confirm</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Verify understanding vs. guessing</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 Mid confidence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Same_MCQ</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 at same difficulty</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 High confidence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Higher_MCQ</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Probe deeper application</w:t>
            </w:r>
          </w:p>
        </w:tc>
      </w:tr>
    </w:tbl>
    <w:p>
      <w:pPr>
        <w:spacing w:after="200"/>
      </w:pPr>
    </w:p>
    <w:p>
      <w:pPr>
        <w:spacing w:line="360" w:after="200"/>
      </w:pPr>
      <w:r>
        <w:rPr>
          <w:rFonts w:ascii="Times New Roman" w:cs="Times New Roman" w:eastAsia="Times New Roman" w:hAnsi="Times New Roman"/>
          <w:sz w:val="24"/>
          <w:szCs w:val="24"/>
        </w:rPr>
        <w:t xml:space="preserve">Every open-ended response is classified into one of three categories:</w:t>
      </w:r>
    </w:p>
    <w:p>
      <w:pPr>
        <w:pStyle w:val="ListParagraph"/>
        <w:numPr>
          <w:ilvl w:val="0"/>
          <w:numId w:val="3"/>
        </w:numPr>
        <w:spacing w:line="360" w:after="100"/>
      </w:pPr>
      <w:r>
        <w:rPr>
          <w:rFonts w:ascii="Times New Roman" w:cs="Times New Roman" w:eastAsia="Times New Roman" w:hAnsi="Times New Roman"/>
          <w:b/>
          <w:bCs/>
          <w:sz w:val="24"/>
          <w:szCs w:val="24"/>
        </w:rPr>
        <w:t xml:space="preserve">Misconception</w:t>
      </w:r>
      <w:r>
        <w:rPr>
          <w:rFonts w:ascii="Times New Roman" w:cs="Times New Roman" w:eastAsia="Times New Roman" w:hAnsi="Times New Roman"/>
          <w:sz w:val="24"/>
          <w:szCs w:val="24"/>
        </w:rPr>
        <w:t xml:space="preserve">: The student holds a specific wrong mental model (e.g., believing lower inflation means falling prices, or that insurance exists primarily for routine care). Layer 1 and Layer 2 taxonomy codes are assigned.</w:t>
      </w:r>
    </w:p>
    <w:p>
      <w:pPr>
        <w:pStyle w:val="ListParagraph"/>
        <w:numPr>
          <w:ilvl w:val="0"/>
          <w:numId w:val="3"/>
        </w:numPr>
        <w:spacing w:line="360" w:after="100"/>
      </w:pPr>
      <w:r>
        <w:rPr>
          <w:rFonts w:ascii="Times New Roman" w:cs="Times New Roman" w:eastAsia="Times New Roman" w:hAnsi="Times New Roman"/>
          <w:b/>
          <w:bCs/>
          <w:sz w:val="24"/>
          <w:szCs w:val="24"/>
        </w:rPr>
        <w:t xml:space="preserve">Knowledge gap</w:t>
      </w:r>
      <w:r>
        <w:rPr>
          <w:rFonts w:ascii="Times New Roman" w:cs="Times New Roman" w:eastAsia="Times New Roman" w:hAnsi="Times New Roman"/>
          <w:sz w:val="24"/>
          <w:szCs w:val="24"/>
        </w:rPr>
        <w:t xml:space="preserve">: The student lacks knowledge -- blank responses, "I don't know," or inability to articulate reasoning about the topic.</w:t>
      </w:r>
    </w:p>
    <w:p>
      <w:pPr>
        <w:pStyle w:val="ListParagraph"/>
        <w:numPr>
          <w:ilvl w:val="0"/>
          <w:numId w:val="3"/>
        </w:numPr>
        <w:spacing w:line="360" w:after="100"/>
      </w:pPr>
      <w:r>
        <w:rPr>
          <w:rFonts w:ascii="Times New Roman" w:cs="Times New Roman" w:eastAsia="Times New Roman" w:hAnsi="Times New Roman"/>
          <w:b/>
          <w:bCs/>
          <w:sz w:val="24"/>
          <w:szCs w:val="24"/>
        </w:rPr>
        <w:t xml:space="preserve">Selection error</w:t>
      </w:r>
      <w:r>
        <w:rPr>
          <w:rFonts w:ascii="Times New Roman" w:cs="Times New Roman" w:eastAsia="Times New Roman" w:hAnsi="Times New Roman"/>
          <w:sz w:val="24"/>
          <w:szCs w:val="24"/>
        </w:rPr>
        <w:t xml:space="preserve">: The student demonstrates correct understanding in the explanation but selected the wrong anchor answer, typically due to misreading, misclick, or True/False reversal.</w:t>
      </w:r>
    </w:p>
    <w:p>
      <w:pPr>
        <w:spacing w:line="360" w:after="200"/>
      </w:pPr>
      <w:r>
        <w:rPr>
          <w:rFonts w:ascii="Times New Roman" w:cs="Times New Roman" w:eastAsia="Times New Roman" w:hAnsi="Times New Roman"/>
          <w:sz w:val="24"/>
          <w:szCs w:val="24"/>
        </w:rPr>
        <w:t xml:space="preserve">This three-way classification drives differentiated instructional follow-up: misconceptions require targeted correction of the specific wrong belief, knowledge gaps require instruction from foundational principles, and selection errors flag potential item ambiguity for revision rather than student remediation.</w:t>
      </w:r>
    </w:p>
    <w:p>
      <w:pPr>
        <w:spacing w:line="360" w:after="200"/>
      </w:pPr>
      <w:r>
        <w:rPr>
          <w:rFonts w:ascii="Times New Roman" w:cs="Times New Roman" w:eastAsia="Times New Roman" w:hAnsi="Times New Roman"/>
          <w:b/>
          <w:bCs/>
          <w:sz w:val="24"/>
          <w:szCs w:val="24"/>
        </w:rPr>
        <w:t xml:space="preserve">Misconception Taxonomy.</w:t>
      </w:r>
      <w:r>
        <w:rPr>
          <w:rFonts w:ascii="Times New Roman" w:cs="Times New Roman" w:eastAsia="Times New Roman" w:hAnsi="Times New Roman"/>
          <w:sz w:val="24"/>
          <w:szCs w:val="24"/>
        </w:rPr>
        <w:t xml:space="preserve"> A two-layer taxonomy structures the classification. Layer 1 contains 37 generalizable financial literacy misconception families organized into seven categories (Appendix C). Layer 2 contains item-specific tags derived from observed student response patterns. Layer 1 codes are designed to transfer across assessment contexts and student populations.</w:t>
      </w:r>
    </w:p>
    <w:p>
      <w:pPr>
        <w:pStyle w:val="Heading2"/>
        <w:spacing w:before="360" w:after="180"/>
      </w:pPr>
      <w:r>
        <w:rPr>
          <w:rFonts w:ascii="Times New Roman" w:cs="Times New Roman" w:eastAsia="Times New Roman" w:hAnsi="Times New Roman"/>
          <w:sz w:val="24"/>
          <w:szCs w:val="24"/>
        </w:rPr>
        <w:t xml:space="preserve">4.3 AI-Assisted Scoring Pipeline</w:t>
      </w:r>
    </w:p>
    <w:p>
      <w:pPr>
        <w:spacing w:line="360" w:after="200"/>
      </w:pPr>
      <w:r>
        <w:rPr>
          <w:rFonts w:ascii="Times New Roman" w:cs="Times New Roman" w:eastAsia="Times New Roman" w:hAnsi="Times New Roman"/>
          <w:sz w:val="24"/>
          <w:szCs w:val="24"/>
        </w:rPr>
        <w:t xml:space="preserve">Open-ended responses are scored using GPT-4.1 (OpenAI) accessed via the OpenRouter API. The model was selected through a multi-model concordance protocol in which 11 large language models from seven providers scored the same 20 responses and were evaluated on five quality criteria: schema compliance, error rate, classification nuance, throughput, and cost (Appendix D).</w:t>
      </w:r>
    </w:p>
    <w:p>
      <w:pPr>
        <w:spacing w:line="360" w:after="200"/>
      </w:pPr>
      <w:r>
        <w:rPr>
          <w:rFonts w:ascii="Times New Roman" w:cs="Times New Roman" w:eastAsia="Times New Roman" w:hAnsi="Times New Roman"/>
          <w:sz w:val="24"/>
          <w:szCs w:val="24"/>
        </w:rPr>
        <w:t xml:space="preserve">Each response is processed with an item-specific prompt containing: the anchor question context, the student's selected answer and confidence level, the applicable Layer 1 misconception families with Layer 2 tags, calibration examples drawn from manually reviewed responses, and a structured decision tree for three-way classification. The model returns a structured JSON classification including diagnosis type, taxonomy codes, credit score (0/50/100 measuring diagnostic value), classification confidence (high/medium/low), an evidence quote, and a reasoning summary.</w:t>
      </w:r>
    </w:p>
    <w:p>
      <w:pPr>
        <w:spacing w:line="360" w:after="200"/>
      </w:pPr>
      <w:r>
        <w:rPr>
          <w:rFonts w:ascii="Times New Roman" w:cs="Times New Roman" w:eastAsia="Times New Roman" w:hAnsi="Times New Roman"/>
          <w:sz w:val="24"/>
          <w:szCs w:val="24"/>
        </w:rPr>
        <w:t xml:space="preserve">This approach follows established practices for LLM-based assessment scoring (Mizumoto &amp; Eguchi, 2024; Yavuz, 2025) and adopts the collaborative human-AI scoring model in which the LLM serves as a second rater whose low-confidence outputs are flagged for instructor adjudication (Olivos, Kamelski, &amp; Ascui-Gac, 2025). All item selection decisions are deterministic and rule-based; the language model is used only for open-ended response classification.</w:t>
      </w:r>
    </w:p>
    <w:p>
      <w:pPr>
        <w:pStyle w:val="Heading2"/>
        <w:spacing w:before="360" w:after="180"/>
      </w:pPr>
      <w:r>
        <w:rPr>
          <w:rFonts w:ascii="Times New Roman" w:cs="Times New Roman" w:eastAsia="Times New Roman" w:hAnsi="Times New Roman"/>
          <w:sz w:val="24"/>
          <w:szCs w:val="24"/>
        </w:rPr>
        <w:t xml:space="preserve">4.4 Diagnostic Findings</w:t>
      </w:r>
    </w:p>
    <w:p>
      <w:pPr>
        <w:spacing w:line="360" w:after="200"/>
      </w:pPr>
      <w:r>
        <w:rPr>
          <w:rFonts w:ascii="Times New Roman" w:cs="Times New Roman" w:eastAsia="Times New Roman" w:hAnsi="Times New Roman"/>
          <w:b/>
          <w:bCs/>
          <w:sz w:val="24"/>
          <w:szCs w:val="24"/>
        </w:rPr>
        <w:t xml:space="preserve">Important caveat:</w:t>
      </w:r>
      <w:r>
        <w:rPr>
          <w:rFonts w:ascii="Times New Roman" w:cs="Times New Roman" w:eastAsia="Times New Roman" w:hAnsi="Times New Roman"/>
          <w:sz w:val="24"/>
          <w:szCs w:val="24"/>
        </w:rPr>
        <w:t xml:space="preserve"> The SDM-10 open-ended items are administered only to students whose anchor responses triggered high-Need subcategories (incorrect + high confidence for diagnose, or correct + low confidence for confirm). The open-ended sample therefore reflects the tails of the confidence-accuracy distribution, not a random cross-section of the class. Misconception prevalence estimates from the SDM-10 should not be generalized to the full cohort without accounting for this conditioning.</w:t>
      </w:r>
    </w:p>
    <w:p>
      <w:pPr>
        <w:spacing w:line="360" w:after="200"/>
      </w:pPr>
      <w:r>
        <w:rPr>
          <w:rFonts w:ascii="Times New Roman" w:cs="Times New Roman" w:eastAsia="Times New Roman" w:hAnsi="Times New Roman"/>
          <w:sz w:val="24"/>
          <w:szCs w:val="24"/>
        </w:rPr>
        <w:t xml:space="preserve">All analyses in this section are restricted to the research-consented subset (n = 354 of 431 submitted students, 82.1%).</w:t>
      </w:r>
    </w:p>
    <w:p>
      <w:pPr>
        <w:pStyle w:val="Heading3"/>
        <w:spacing w:before="240" w:after="120"/>
      </w:pPr>
      <w:r>
        <w:rPr>
          <w:rFonts w:ascii="Times New Roman" w:cs="Times New Roman" w:eastAsia="Times New Roman" w:hAnsi="Times New Roman"/>
          <w:sz w:val="24"/>
          <w:szCs w:val="24"/>
        </w:rPr>
        <w:t xml:space="preserve">4.4.1 Open-Ended Response Overview</w:t>
      </w:r>
    </w:p>
    <w:p>
      <w:pPr>
        <w:spacing w:line="360" w:after="200"/>
      </w:pPr>
      <w:r>
        <w:rPr>
          <w:rFonts w:ascii="Times New Roman" w:cs="Times New Roman" w:eastAsia="Times New Roman" w:hAnsi="Times New Roman"/>
          <w:sz w:val="24"/>
          <w:szCs w:val="24"/>
        </w:rPr>
        <w:t xml:space="preserve">Of the 354 consented students who submitted the assessment, 306 (86.4%) received at least one open-ended item, generating 781 open-ended responses. The AI scoring pipeline processed 778 of these responses with zero errors.</w:t>
      </w:r>
    </w:p>
    <w:p>
      <w:pPr>
        <w:spacing w:line="360" w:after="200"/>
      </w:pPr>
      <w:r>
        <w:rPr>
          <w:rFonts w:ascii="Times New Roman" w:cs="Times New Roman" w:eastAsia="Times New Roman" w:hAnsi="Times New Roman"/>
          <w:b/>
          <w:bCs/>
          <w:sz w:val="24"/>
          <w:szCs w:val="24"/>
        </w:rPr>
        <w:t xml:space="preserve">Table 4.3: SDM-10 Open-Ended Summary (Consented Sample)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4680"/>
        <w:gridCol w:w="4680"/>
      </w:tblGrid>
      <w:tr>
        <w:trPr>
          <w:tblHeader/>
        </w:trPr>
        <w:tc>
          <w:tcPr>
            <w:tcW w:type="dxa" w:w="468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468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Value</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Consented students completing SDM-10</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354</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Students receiving open-ended items</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306 (86.4%)</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Total open-ended responses</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781</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Responses scored by AI</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778</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Diagnose responses scored</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493</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 responses scored</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285</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AI scoring model</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GPT-4.1 (OpenAI via OpenRouter)</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AI scoring error rate</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 / 778 (0%)</w:t>
            </w:r>
          </w:p>
        </w:tc>
      </w:tr>
    </w:tbl>
    <w:p>
      <w:pPr>
        <w:spacing w:after="200"/>
      </w:pPr>
    </w:p>
    <w:p>
      <w:pPr>
        <w:spacing w:line="360" w:after="200"/>
      </w:pPr>
      <w:r>
        <w:rPr>
          <w:rFonts w:ascii="Times New Roman" w:cs="Times New Roman" w:eastAsia="Times New Roman" w:hAnsi="Times New Roman"/>
          <w:b/>
          <w:bCs/>
          <w:sz w:val="24"/>
          <w:szCs w:val="24"/>
        </w:rPr>
        <w:t xml:space="preserve">Response Quality.</w:t>
      </w:r>
      <w:r>
        <w:rPr>
          <w:rFonts w:ascii="Times New Roman" w:cs="Times New Roman" w:eastAsia="Times New Roman" w:hAnsi="Times New Roman"/>
          <w:sz w:val="24"/>
          <w:szCs w:val="24"/>
        </w:rPr>
        <w:t xml:space="preserve"> Among diagnose responses, 89.2% were substantive (providing reasoning beyond "I don't know" or blank responses), indicating strong student engagement with the open-ended format despite its diagnostic-only (ungraded) status. Confirm responses showed even higher quality at 93.8% substantive. This engagement rate is notable given that students were not informed that the SDM-10 was a separate module from the anchor assessment and received no grade incentive to provide detailed explanations.</w:t>
      </w:r>
    </w:p>
    <w:p>
      <w:pPr>
        <w:pStyle w:val="Heading3"/>
        <w:spacing w:before="240" w:after="120"/>
      </w:pPr>
      <w:r>
        <w:rPr>
          <w:rFonts w:ascii="Times New Roman" w:cs="Times New Roman" w:eastAsia="Times New Roman" w:hAnsi="Times New Roman"/>
          <w:sz w:val="24"/>
          <w:szCs w:val="24"/>
        </w:rPr>
        <w:t xml:space="preserve">4.4.2 Diagnose Classification Results</w:t>
      </w:r>
    </w:p>
    <w:p>
      <w:pPr>
        <w:spacing w:line="360" w:after="200"/>
      </w:pPr>
      <w:r>
        <w:rPr>
          <w:rFonts w:ascii="Times New Roman" w:cs="Times New Roman" w:eastAsia="Times New Roman" w:hAnsi="Times New Roman"/>
          <w:b/>
          <w:bCs/>
          <w:sz w:val="24"/>
          <w:szCs w:val="24"/>
        </w:rPr>
        <w:t xml:space="preserve">Table 4.4: Diagnose Three-Way Classification (Consented, n = 493 scored, 479 classified)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 of classified</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Interpretation</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Misconception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258</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53.9%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Active incorrect belief confirmed</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Selection error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153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understanding, wrong answer</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Knowledge gap</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68</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Acknowledged uncertainty, no model</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Unclassified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Ambiguous or insufficient for three-way</w:t>
            </w:r>
          </w:p>
        </w:tc>
      </w:tr>
    </w:tbl>
    <w:p>
      <w:pPr>
        <w:spacing w:after="200"/>
      </w:pPr>
    </w:p>
    <w:p>
      <w:pPr>
        <w:spacing w:line="360" w:after="200"/>
      </w:pPr>
      <w:r>
        <w:rPr>
          <w:rFonts w:ascii="Times New Roman" w:cs="Times New Roman" w:eastAsia="Times New Roman" w:hAnsi="Times New Roman"/>
          <w:sz w:val="24"/>
          <w:szCs w:val="24"/>
        </w:rPr>
        <w:t xml:space="preserve">Of the 493 AI-scored diagnose responses, 479 (97.2%) were classified into the three-way taxonomy. Over half of classified responses (53.9%) reflected identifiable misconceptions -- specific wrong mental models that can be targeted through instruction. Nearly a third (31.9%) were selection errors, meaning the student demonstrated correct understanding in the explanation despite selecting the wrong anchor answer. This is a central finding: among students who answered incorrectly with high confidence (the SDM-10 diagnose trigger condition), almost one in three does not hold a misconception at all, but rather experienced a mismatch between their knowledge and the item format or phrasing. The 14 unclassified responses had ambiguous explanations that did not clearly fit any category. These rates reflect the high-confidence-incorrect subsample, not the full class (see Section 4.4 caveat).</w:t>
      </w:r>
    </w:p>
    <w:p>
      <w:pPr>
        <w:spacing w:line="360" w:after="200"/>
      </w:pPr>
      <w:r>
        <w:rPr>
          <w:rFonts w:ascii="Times New Roman" w:cs="Times New Roman" w:eastAsia="Times New Roman" w:hAnsi="Times New Roman"/>
          <w:b/>
          <w:bCs/>
          <w:sz w:val="24"/>
          <w:szCs w:val="24"/>
        </w:rPr>
        <w:t xml:space="preserve">Table 4.5: Diagnose Classification by Item (Consented, items with n &gt;= 5, sorted by diagnose volume)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040"/>
        <w:gridCol w:w="1040"/>
        <w:gridCol w:w="1040"/>
        <w:gridCol w:w="1040"/>
        <w:gridCol w:w="1040"/>
        <w:gridCol w:w="1040"/>
        <w:gridCol w:w="1040"/>
        <w:gridCol w:w="1040"/>
        <w:gridCol w:w="1040"/>
      </w:tblGrid>
      <w:tr>
        <w:trPr>
          <w:tblHeader/>
        </w:trPr>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Subdomain</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KG</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SE</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SE%</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Top Tag</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 (Fixed Income)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older_workers_worst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 (Lowering)</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lower_inflation_means_lower_prices</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Diversification Principle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SE-reversal</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Credit Reports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SE-selfcorrect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Auto Loans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down_payment_only</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Emergency Fund</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one_month_sufficient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Health Insurance Purpose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routine_care_primary</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Interest Rates &amp; Bonds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positive_correlation_belief</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Borrowing/Mortgages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monthly_vs_total_confusion</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Deductible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deductible_is_max_payout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Risk-Return Tradeoff</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exceptions_disprove_rule</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Types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SE-selfcorrect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 Protection</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fixed_bond_best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Stock vs. Mutual Fund</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KG-unfamiliar</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 (Definition)</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SE-reversal</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Long-Term Returns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bonds_safest_therefore_best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Stock Market Function</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wealth_creation_primary</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Risk-Return Relationship</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real_world_counterexample</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Stocks vs. Bonds Risk</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some_bonds_risky_too</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Diversification</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SE-selfcorrect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Budgeting</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SE-selfcorrect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Q40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2008 Financial Crisis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SE-reversal</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Compound Interest</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interest_as_fee</w:t>
            </w:r>
          </w:p>
        </w:tc>
      </w:tr>
    </w:tbl>
    <w:p>
      <w:pPr>
        <w:spacing w:after="200"/>
      </w:pPr>
    </w:p>
    <w:p>
      <w:pPr>
        <w:spacing w:line="360" w:after="200"/>
      </w:pPr>
      <w:r>
        <w:rPr>
          <w:rFonts w:ascii="Times New Roman" w:cs="Times New Roman" w:eastAsia="Times New Roman" w:hAnsi="Times New Roman"/>
          <w:sz w:val="24"/>
          <w:szCs w:val="24"/>
        </w:rPr>
        <w:t xml:space="preserve">Items with the highest misconception density (&gt; 70%) are Q12 (Health Insurance, 82%), Q30 (Risk-Return Tradeoff, 82%), Q6 (Inflation Lowering, 79%), Q35 (Risk-Return, 78%), and Q32 (Long-Term Returns, 73%). These represent topics where student errors are overwhelmingly driven by active incorrect beliefs rather than confusion or carelessness, and where instructional intervention will have the greatest impact. Items with the highest selection error rates are Q9 (83%, small n), Q36 (81%), Q14 (71%), and Q3 (46%), all sharing True/False format with negative or double-negative phrasing.</w:t>
      </w:r>
    </w:p>
    <w:p>
      <w:pPr>
        <w:pStyle w:val="Heading3"/>
        <w:spacing w:before="240" w:after="120"/>
      </w:pPr>
      <w:r>
        <w:rPr>
          <w:rFonts w:ascii="Times New Roman" w:cs="Times New Roman" w:eastAsia="Times New Roman" w:hAnsi="Times New Roman"/>
          <w:sz w:val="24"/>
          <w:szCs w:val="24"/>
        </w:rPr>
        <w:t xml:space="preserve">4.4.3 Confirm Classification Results</w:t>
      </w:r>
    </w:p>
    <w:p>
      <w:pPr>
        <w:spacing w:line="360" w:after="200"/>
      </w:pPr>
      <w:r>
        <w:rPr>
          <w:rFonts w:ascii="Times New Roman" w:cs="Times New Roman" w:eastAsia="Times New Roman" w:hAnsi="Times New Roman"/>
          <w:b/>
          <w:bCs/>
          <w:sz w:val="24"/>
          <w:szCs w:val="24"/>
        </w:rPr>
        <w:t xml:space="preserve">Table 4.6: Confirm Three-Way Classification (Consented, n = 285)</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Verified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127</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44.6%</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Partial</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119</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41.8%</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Likely guess</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39</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13.7%</w:t>
            </w:r>
          </w:p>
        </w:tc>
      </w:tr>
    </w:tbl>
    <w:p>
      <w:pPr>
        <w:spacing w:after="200"/>
      </w:pPr>
    </w:p>
    <w:p>
      <w:pPr>
        <w:spacing w:line="360" w:after="200"/>
      </w:pPr>
      <w:r>
        <w:rPr>
          <w:rFonts w:ascii="Times New Roman" w:cs="Times New Roman" w:eastAsia="Times New Roman" w:hAnsi="Times New Roman"/>
          <w:sz w:val="24"/>
          <w:szCs w:val="24"/>
        </w:rPr>
        <w:t xml:space="preserve">Among students who answered correctly but with low confidence (the SDM-10 confirm trigger condition), 44.6% demonstrated genuine understanding in their explanation (verified), 41.8% showed partial understanding, and 13.7% were classified as likely guesses -- their explanations showed no understanding of the underlying concept despite selecting the correct answer. Because confirm items are triggered only for low-confidence correct answers, the 13.7% guess rate applies to that conditioned subsample, not to all correct responses. Nonetheless, this finding validates the SDM-10's approach of probing low-confidence correct answers: on items where guessing is plausible, anchor scores alone overestimate true comprehension.</w:t>
      </w:r>
    </w:p>
    <w:p>
      <w:pPr>
        <w:spacing w:line="360" w:after="200"/>
      </w:pPr>
      <w:r>
        <w:rPr>
          <w:rFonts w:ascii="Times New Roman" w:cs="Times New Roman" w:eastAsia="Times New Roman" w:hAnsi="Times New Roman"/>
          <w:b/>
          <w:bCs/>
          <w:sz w:val="24"/>
          <w:szCs w:val="24"/>
        </w:rPr>
        <w:t xml:space="preserve">Table 4.7: Confirm Items with Highest Likely-Guess Rates (Consented, confirm n &gt;= 5)</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Subdomain</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Confirm n</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Guess n</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Guess %</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Q29</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Interest Rates &amp; Bonds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33.3%</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Deductible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31.8%</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Credit Reports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26.7%</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Auto Loans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23.1%</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Stock vs. Mutual Fund</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23.1%</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Risk-Return Tradeoff</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20.0%</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Types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20.0%</w:t>
            </w:r>
          </w:p>
        </w:tc>
      </w:tr>
    </w:tbl>
    <w:p>
      <w:pPr>
        <w:spacing w:after="200"/>
      </w:pPr>
    </w:p>
    <w:p>
      <w:pPr>
        <w:spacing w:line="360" w:after="200"/>
      </w:pPr>
      <w:r>
        <w:rPr>
          <w:rFonts w:ascii="Times New Roman" w:cs="Times New Roman" w:eastAsia="Times New Roman" w:hAnsi="Times New Roman"/>
          <w:sz w:val="24"/>
          <w:szCs w:val="24"/>
        </w:rPr>
        <w:t xml:space="preserve">Q29 (Bonds &amp; Interest Rates) and Q13 (Insurance Deductible) have the highest guess rates among correct respondents. These topics may warrant additional instructional attention despite appearing well-understood based on raw anchor scores alone.</w:t>
      </w:r>
    </w:p>
    <w:p>
      <w:pPr>
        <w:spacing w:line="360" w:after="200"/>
      </w:pPr>
      <w:r>
        <w:rPr>
          <w:rFonts w:ascii="Times New Roman" w:cs="Times New Roman" w:eastAsia="Times New Roman" w:hAnsi="Times New Roman"/>
          <w:b/>
          <w:bCs/>
          <w:sz w:val="24"/>
          <w:szCs w:val="24"/>
        </w:rPr>
        <w:t xml:space="preserve">Table 4.8: Credit Score Distribution (All Consented Scored, n = 778)</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Credit Score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100 (full diagnostic value)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541</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69.5%</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50 (partial diagnostic value)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129</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16.6%</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 (no diagnostic value)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108</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13.9%</w:t>
            </w:r>
          </w:p>
        </w:tc>
      </w:tr>
    </w:tbl>
    <w:p>
      <w:pPr>
        <w:spacing w:after="200"/>
      </w:pPr>
    </w:p>
    <w:p>
      <w:pPr>
        <w:pStyle w:val="Heading3"/>
        <w:spacing w:before="240" w:after="120"/>
      </w:pPr>
      <w:r>
        <w:rPr>
          <w:rFonts w:ascii="Times New Roman" w:cs="Times New Roman" w:eastAsia="Times New Roman" w:hAnsi="Times New Roman"/>
          <w:sz w:val="24"/>
          <w:szCs w:val="24"/>
        </w:rPr>
        <w:t xml:space="preserve">4.4.4 Misconception Analysis by Domain</w:t>
      </w:r>
    </w:p>
    <w:p>
      <w:pPr>
        <w:spacing w:line="360" w:after="200"/>
      </w:pPr>
      <w:r>
        <w:rPr>
          <w:rFonts w:ascii="Times New Roman" w:cs="Times New Roman" w:eastAsia="Times New Roman" w:hAnsi="Times New Roman"/>
          <w:sz w:val="24"/>
          <w:szCs w:val="24"/>
        </w:rPr>
        <w:t xml:space="preserve">The AI-assisted classification revealed distinct misconception patterns across assessment domains. All per-item rates below are conditional on the SDM-10 diagnose trigger (incorrect + high confidence); they characterize the composition of high-confidence errors, not class-wide misconception prevalence.</w:t>
      </w:r>
    </w:p>
    <w:p>
      <w:pPr>
        <w:spacing w:line="360" w:after="200"/>
      </w:pPr>
      <w:r>
        <w:rPr>
          <w:rFonts w:ascii="Times New Roman" w:cs="Times New Roman" w:eastAsia="Times New Roman" w:hAnsi="Times New Roman"/>
          <w:b/>
          <w:bCs/>
          <w:sz w:val="24"/>
          <w:szCs w:val="24"/>
        </w:rPr>
        <w:t xml:space="preserve">Inflation and Purchasing Power.</w:t>
      </w:r>
      <w:r>
        <w:rPr>
          <w:rFonts w:ascii="Times New Roman" w:cs="Times New Roman" w:eastAsia="Times New Roman" w:hAnsi="Times New Roman"/>
          <w:sz w:val="24"/>
          <w:szCs w:val="24"/>
        </w:rPr>
        <w:t xml:space="preserve"> The most prevalent misconception was INF-01 (lower inflation equals falling prices), identified in 42 consented diagnose responses -- the single most frequent misconception code in the dataset. Students systematically confused a decrease in the rate of price increase with an actual decrease in prices. On Q7 (which group is most hurt by inflation), empathy-driven reasoning (INF-05, n = 17) led students to select "young couples" because they identified personally with that demographic rather than analyzing fixed-income vulnerability.</w:t>
      </w:r>
    </w:p>
    <w:p>
      <w:pPr>
        <w:spacing w:line="360" w:after="200"/>
      </w:pPr>
      <w:r>
        <w:rPr>
          <w:rFonts w:ascii="Times New Roman" w:cs="Times New Roman" w:eastAsia="Times New Roman" w:hAnsi="Times New Roman"/>
          <w:b/>
          <w:bCs/>
          <w:sz w:val="24"/>
          <w:szCs w:val="24"/>
        </w:rPr>
        <w:t xml:space="preserve">Risk, Return, and Diversification.</w:t>
      </w:r>
      <w:r>
        <w:rPr>
          <w:rFonts w:ascii="Times New Roman" w:cs="Times New Roman" w:eastAsia="Times New Roman" w:hAnsi="Times New Roman"/>
          <w:sz w:val="24"/>
          <w:szCs w:val="24"/>
        </w:rPr>
        <w:t xml:space="preserve"> On Q36 (diversification principle), 81.0% of diagnose responses from consented students were classified as selection errors -- the highest selection error rate of any item. Students who answered incorrectly could explain why spreading money across assets reduces risk, but selected "False" on the True/False item, likely due to negation confusion or overthinking the word "all." On Q35 (risk-return relationship), students used real-world counterexamples from non-financial domains to argue against the general financial principle (RISK-10), indicating reasoning by analogy rather than domain-specific knowledge.</w:t>
      </w:r>
    </w:p>
    <w:p>
      <w:pPr>
        <w:spacing w:line="360" w:after="200"/>
      </w:pPr>
      <w:r>
        <w:rPr>
          <w:rFonts w:ascii="Times New Roman" w:cs="Times New Roman" w:eastAsia="Times New Roman" w:hAnsi="Times New Roman"/>
          <w:b/>
          <w:bCs/>
          <w:sz w:val="24"/>
          <w:szCs w:val="24"/>
        </w:rPr>
        <w:t xml:space="preserve">Insurance and Risk Management.</w:t>
      </w:r>
      <w:r>
        <w:rPr>
          <w:rFonts w:ascii="Times New Roman" w:cs="Times New Roman" w:eastAsia="Times New Roman" w:hAnsi="Times New Roman"/>
          <w:sz w:val="24"/>
          <w:szCs w:val="24"/>
        </w:rPr>
        <w:t xml:space="preserve"> On Q12 (primary purpose of health insurance), 82.1% of diagnose responses reflected the misconception that routine care is the primary function of insurance (INS-01, n = 23 of 28), with many students applying frequency-over-severity reasoning: because routine visits are more common, they must be the primary purpose (INS-02). Q13 (deductible definition) showed a high knowledge gap rate (31.6%), indicating unfamiliarity with this technical insurance term rather than a specific misconception.</w:t>
      </w:r>
    </w:p>
    <w:p>
      <w:pPr>
        <w:spacing w:line="360" w:after="200"/>
      </w:pPr>
      <w:r>
        <w:rPr>
          <w:rFonts w:ascii="Times New Roman" w:cs="Times New Roman" w:eastAsia="Times New Roman" w:hAnsi="Times New Roman"/>
          <w:b/>
          <w:bCs/>
          <w:sz w:val="24"/>
          <w:szCs w:val="24"/>
        </w:rPr>
        <w:t xml:space="preserve">Borrowing and Credit.</w:t>
      </w:r>
      <w:r>
        <w:rPr>
          <w:rFonts w:ascii="Times New Roman" w:cs="Times New Roman" w:eastAsia="Times New Roman" w:hAnsi="Times New Roman"/>
          <w:sz w:val="24"/>
          <w:szCs w:val="24"/>
        </w:rPr>
        <w:t xml:space="preserve"> Credit report knowledge (Q10) showed a 41.0% selection error rate, indicating that many students possessed the correct understanding but were confused by the question's "which is FALSE" framing. On Q2 (mortgage term length and total interest), 31.8% of incorrect responses were selection errors.</w:t>
      </w:r>
    </w:p>
    <w:p>
      <w:pPr>
        <w:spacing w:line="360" w:after="200"/>
      </w:pPr>
      <w:r>
        <w:rPr>
          <w:rFonts w:ascii="Times New Roman" w:cs="Times New Roman" w:eastAsia="Times New Roman" w:hAnsi="Times New Roman"/>
          <w:b/>
          <w:bCs/>
          <w:sz w:val="24"/>
          <w:szCs w:val="24"/>
        </w:rPr>
        <w:t xml:space="preserve">Table 4.9: Top 10 Misconception Codes (Consented Diagnose Responses)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INF-01</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 inflation = falling prices</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42</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INT-05</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Interest rates not negotiable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INS-01</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for routine care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18</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INF-05</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Empathy-driven inflation reasoning</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Fixed income impact misunderstood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Exceptions disprove general rule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BORROW-05</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Emergency fund amount too low</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Employer credit check unknown</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INT-06</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Bond price-interest rate relationship reversed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11</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Deductible definition wrong</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r>
    </w:tbl>
    <w:p>
      <w:pPr>
        <w:spacing w:after="200"/>
      </w:pPr>
    </w:p>
    <w:p>
      <w:pPr>
        <w:pStyle w:val="Heading3"/>
        <w:spacing w:before="240" w:after="120"/>
      </w:pPr>
      <w:r>
        <w:rPr>
          <w:rFonts w:ascii="Times New Roman" w:cs="Times New Roman" w:eastAsia="Times New Roman" w:hAnsi="Times New Roman"/>
          <w:sz w:val="24"/>
          <w:szCs w:val="24"/>
        </w:rPr>
        <w:t xml:space="preserve">4.4.5 Selection Error Patterns</w:t>
      </w:r>
    </w:p>
    <w:p>
      <w:pPr>
        <w:spacing w:line="360" w:after="200"/>
      </w:pPr>
      <w:r>
        <w:rPr>
          <w:rFonts w:ascii="Times New Roman" w:cs="Times New Roman" w:eastAsia="Times New Roman" w:hAnsi="Times New Roman"/>
          <w:sz w:val="24"/>
          <w:szCs w:val="24"/>
        </w:rPr>
        <w:t xml:space="preserve">The selection error finding is one of the paper's central contributions. Three items showed selection error rates exceeding 30%:</w:t>
      </w:r>
    </w:p>
    <w:p>
      <w:pPr>
        <w:spacing w:line="360" w:after="200"/>
      </w:pPr>
      <w:r>
        <w:rPr>
          <w:rFonts w:ascii="Times New Roman" w:cs="Times New Roman" w:eastAsia="Times New Roman" w:hAnsi="Times New Roman"/>
          <w:b/>
          <w:bCs/>
          <w:sz w:val="24"/>
          <w:szCs w:val="24"/>
        </w:rPr>
        <w:t xml:space="preserve">Table 4.10: High Selection Error Items (Consented Diagnose)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560"/>
        <w:gridCol w:w="1560"/>
        <w:gridCol w:w="1560"/>
        <w:gridCol w:w="1560"/>
        <w:gridCol w:w="1560"/>
        <w:gridCol w:w="1560"/>
      </w:tblGrid>
      <w:tr>
        <w:trPr>
          <w:tblHeader/>
        </w:trPr>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Topic</w:t>
            </w:r>
          </w:p>
        </w:tc>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Format</w:t>
            </w:r>
          </w:p>
        </w:tc>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SE Rate</w:t>
            </w:r>
          </w:p>
        </w:tc>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Implication</w:t>
            </w:r>
          </w:p>
        </w:tc>
      </w:tr>
      <w:tr>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Q36</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Diversification principle</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T/F</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81.0%</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34/42</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T/F format confounds; consider MCQ revision</w:t>
            </w:r>
          </w:p>
        </w:tc>
      </w:tr>
      <w:tr>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Q10</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Credit reports (which is FALSE)</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MCQ</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41.0%</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16/39</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Negation framing causes errors</w:t>
            </w:r>
          </w:p>
        </w:tc>
      </w:tr>
      <w:tr>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Q37</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types</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MCQ</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41.2%</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7/17</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Item phrasing ambiguity</w:t>
            </w:r>
          </w:p>
        </w:tc>
      </w:tr>
      <w:tr>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Mortgage term and total interest</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T/F</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31.8%</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7/22</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T/F reversal common</w:t>
            </w:r>
          </w:p>
        </w:tc>
      </w:tr>
    </w:tbl>
    <w:p>
      <w:pPr>
        <w:spacing w:after="200"/>
      </w:pPr>
    </w:p>
    <w:p>
      <w:pPr>
        <w:spacing w:line="360" w:after="200"/>
      </w:pPr>
      <w:r>
        <w:rPr>
          <w:rFonts w:ascii="Times New Roman" w:cs="Times New Roman" w:eastAsia="Times New Roman" w:hAnsi="Times New Roman"/>
          <w:b/>
          <w:bCs/>
          <w:sz w:val="24"/>
          <w:szCs w:val="24"/>
        </w:rPr>
        <w:t xml:space="preserve">The Q36 case study.</w:t>
      </w:r>
      <w:r>
        <w:rPr>
          <w:rFonts w:ascii="Times New Roman" w:cs="Times New Roman" w:eastAsia="Times New Roman" w:hAnsi="Times New Roman"/>
          <w:sz w:val="24"/>
          <w:szCs w:val="24"/>
        </w:rPr>
        <w:t xml:space="preserve"> Q36 merits special attention. This True/False item asks whether placing savings in multiple locations (bank, stocks, and bonds) is safer than putting all savings in one place. The correct answer is True. Among consented students, 127 of 354 (35.9%) answered incorrectly. When the SDM-10 probed 42 of the diagnosed students who were both incorrect and confident, 34 (81%) demonstrated correct understanding of diversification. Typical student explanations confirmed they understood the principle of spreading risk across asset classes but had misread or second-guessed the question. The evidence strongly suggests the True/False format or negative phrasing, rather than a lack of knowledge, caused the errors. Q36 should be revised for the post-assessment: the question can be rephrased as a standard multiple-choice item to reduce format-induced errors.</w:t>
      </w:r>
    </w:p>
    <w:p>
      <w:pPr>
        <w:spacing w:line="360" w:after="200"/>
      </w:pPr>
      <w:r>
        <w:rPr>
          <w:rFonts w:ascii="Times New Roman" w:cs="Times New Roman" w:eastAsia="Times New Roman" w:hAnsi="Times New Roman"/>
          <w:sz w:val="24"/>
          <w:szCs w:val="24"/>
        </w:rPr>
        <w:t xml:space="preserve">These findings demonstrate that raw MCQ scores materially understate student knowledge on these items. When a student answers incorrectly but explains the concept correctly, the anchor score of 0% misrepresents their understanding.</w:t>
      </w:r>
    </w:p>
    <w:p>
      <w:pPr>
        <w:pStyle w:val="Heading3"/>
        <w:spacing w:before="240" w:after="120"/>
      </w:pPr>
      <w:r>
        <w:rPr>
          <w:rFonts w:ascii="Times New Roman" w:cs="Times New Roman" w:eastAsia="Times New Roman" w:hAnsi="Times New Roman"/>
          <w:sz w:val="24"/>
          <w:szCs w:val="24"/>
        </w:rPr>
        <w:t xml:space="preserve">4.4.6 Validation Against Manual Analysis</w:t>
      </w:r>
    </w:p>
    <w:p>
      <w:pPr>
        <w:spacing w:line="360" w:after="200"/>
      </w:pPr>
      <w:r>
        <w:rPr>
          <w:rFonts w:ascii="Times New Roman" w:cs="Times New Roman" w:eastAsia="Times New Roman" w:hAnsi="Times New Roman"/>
          <w:sz w:val="24"/>
          <w:szCs w:val="24"/>
        </w:rPr>
        <w:t xml:space="preserve">Prior to AI scoring, a manual analysis of response patterns was conducted on a calibration sample. Table 4.11 compares the predicted dominant misconception rates from manual analysis with the AI-scored results for the consented sample.</w:t>
      </w:r>
    </w:p>
    <w:p>
      <w:pPr>
        <w:spacing w:line="360" w:after="200"/>
      </w:pPr>
      <w:r>
        <w:rPr>
          <w:rFonts w:ascii="Times New Roman" w:cs="Times New Roman" w:eastAsia="Times New Roman" w:hAnsi="Times New Roman"/>
          <w:b/>
          <w:bCs/>
          <w:sz w:val="24"/>
          <w:szCs w:val="24"/>
        </w:rPr>
        <w:t xml:space="preserve">Table 4.11: Manual Prediction vs. AI Scoring Results (Consented Sample)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Predicted</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Actual</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Assessment</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lower_inflation_means_lower_prices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Confirmed. AI distributed more to employment_link (21%).</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Selection error rate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Confirmed. Higher than predicted.</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employer_use_confusion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Near-exact match.</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routine_care_primary</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Confirmed. Slight redistribution to frequency_over_severity.</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exceptions_disprove_rule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Confirmed. Slightly higher than predicted.</w:t>
            </w:r>
          </w:p>
        </w:tc>
      </w:tr>
    </w:tbl>
    <w:p>
      <w:pPr>
        <w:spacing w:after="200"/>
      </w:pPr>
    </w:p>
    <w:p>
      <w:pPr>
        <w:spacing w:line="360" w:after="200"/>
      </w:pPr>
      <w:r>
        <w:rPr>
          <w:rFonts w:ascii="Times New Roman" w:cs="Times New Roman" w:eastAsia="Times New Roman" w:hAnsi="Times New Roman"/>
          <w:sz w:val="24"/>
          <w:szCs w:val="24"/>
        </w:rPr>
        <w:t xml:space="preserve">All five validation benchmarks were confirmed. Three showed exact or near-exact alignment (Q10, Q30, Q12), and two showed the AI distributing classifications more granularly across subtags within the same misconception family (Q6, Q36). The taxonomy is performing as designed: the scoring model produces classifications consistent with human-defined categories while offering finer-grained discrimination within misconception families.</w:t>
      </w:r>
    </w:p>
    <w:p>
      <w:pPr>
        <w:pStyle w:val="Heading3"/>
        <w:spacing w:before="240" w:after="120"/>
      </w:pPr>
      <w:r>
        <w:rPr>
          <w:rFonts w:ascii="Times New Roman" w:cs="Times New Roman" w:eastAsia="Times New Roman" w:hAnsi="Times New Roman"/>
          <w:sz w:val="24"/>
          <w:szCs w:val="24"/>
        </w:rPr>
        <w:t xml:space="preserve">4.4.7 Cross-Item Patterns</w:t>
      </w:r>
    </w:p>
    <w:p>
      <w:pPr>
        <w:spacing w:line="360" w:after="200"/>
      </w:pPr>
      <w:r>
        <w:rPr>
          <w:rFonts w:ascii="Times New Roman" w:cs="Times New Roman" w:eastAsia="Times New Roman" w:hAnsi="Times New Roman"/>
          <w:sz w:val="24"/>
          <w:szCs w:val="24"/>
        </w:rPr>
        <w:t xml:space="preserve">Five dominant patterns emerged across the assessment:</w:t>
      </w:r>
    </w:p>
    <w:p>
      <w:pPr>
        <w:pStyle w:val="ListParagraph"/>
        <w:numPr>
          <w:ilvl w:val="0"/>
          <w:numId w:val="2"/>
        </w:numPr>
        <w:spacing w:line="360" w:after="100"/>
      </w:pPr>
      <w:r>
        <w:rPr>
          <w:rFonts w:ascii="Times New Roman" w:cs="Times New Roman" w:eastAsia="Times New Roman" w:hAnsi="Times New Roman"/>
          <w:b/>
          <w:bCs/>
          <w:sz w:val="24"/>
          <w:szCs w:val="24"/>
        </w:rPr>
        <w:t xml:space="preserve">Inflation mechanics confusion</w:t>
      </w:r>
      <w:r>
        <w:rPr>
          <w:rFonts w:ascii="Times New Roman" w:cs="Times New Roman" w:eastAsia="Times New Roman" w:hAnsi="Times New Roman"/>
          <w:sz w:val="24"/>
          <w:szCs w:val="24"/>
        </w:rPr>
        <w:t xml:space="preserve"> -- centered on the distinction between lower inflation rates and lower prices (Q6, Q7), representing the single largest misconception cluster</w:t>
      </w:r>
    </w:p>
    <w:p>
      <w:pPr>
        <w:pStyle w:val="ListParagraph"/>
        <w:numPr>
          <w:ilvl w:val="0"/>
          <w:numId w:val="2"/>
        </w:numPr>
        <w:spacing w:line="360" w:after="100"/>
      </w:pPr>
      <w:r>
        <w:rPr>
          <w:rFonts w:ascii="Times New Roman" w:cs="Times New Roman" w:eastAsia="Times New Roman" w:hAnsi="Times New Roman"/>
          <w:b/>
          <w:bCs/>
          <w:sz w:val="24"/>
          <w:szCs w:val="24"/>
        </w:rPr>
        <w:t xml:space="preserve">Risk-return reasoning from exceptions</w:t>
      </w:r>
      <w:r>
        <w:rPr>
          <w:rFonts w:ascii="Times New Roman" w:cs="Times New Roman" w:eastAsia="Times New Roman" w:hAnsi="Times New Roman"/>
          <w:sz w:val="24"/>
          <w:szCs w:val="24"/>
        </w:rPr>
        <w:t xml:space="preserve"> -- students cited specific counterexamples to invalidate general financial principles (Q30, Q35), applying inductive reasoning where deductive understanding is required</w:t>
      </w:r>
    </w:p>
    <w:p>
      <w:pPr>
        <w:pStyle w:val="ListParagraph"/>
        <w:numPr>
          <w:ilvl w:val="0"/>
          <w:numId w:val="2"/>
        </w:numPr>
        <w:spacing w:line="360" w:after="100"/>
      </w:pPr>
      <w:r>
        <w:rPr>
          <w:rFonts w:ascii="Times New Roman" w:cs="Times New Roman" w:eastAsia="Times New Roman" w:hAnsi="Times New Roman"/>
          <w:b/>
          <w:bCs/>
          <w:sz w:val="24"/>
          <w:szCs w:val="24"/>
        </w:rPr>
        <w:t xml:space="preserve">Insurance purpose confusion</w:t>
      </w:r>
      <w:r>
        <w:rPr>
          <w:rFonts w:ascii="Times New Roman" w:cs="Times New Roman" w:eastAsia="Times New Roman" w:hAnsi="Times New Roman"/>
          <w:sz w:val="24"/>
          <w:szCs w:val="24"/>
        </w:rPr>
        <w:t xml:space="preserve"> -- equating frequency of use with primary function (Q12), reflecting a consumer experience bias</w:t>
      </w:r>
    </w:p>
    <w:p>
      <w:pPr>
        <w:pStyle w:val="ListParagraph"/>
        <w:numPr>
          <w:ilvl w:val="0"/>
          <w:numId w:val="2"/>
        </w:numPr>
        <w:spacing w:line="360" w:after="100"/>
      </w:pPr>
      <w:r>
        <w:rPr>
          <w:rFonts w:ascii="Times New Roman" w:cs="Times New Roman" w:eastAsia="Times New Roman" w:hAnsi="Times New Roman"/>
          <w:b/>
          <w:bCs/>
          <w:sz w:val="24"/>
          <w:szCs w:val="24"/>
        </w:rPr>
        <w:t xml:space="preserve">Empathy-driven financial reasoning</w:t>
      </w:r>
      <w:r>
        <w:rPr>
          <w:rFonts w:ascii="Times New Roman" w:cs="Times New Roman" w:eastAsia="Times New Roman" w:hAnsi="Times New Roman"/>
          <w:sz w:val="24"/>
          <w:szCs w:val="24"/>
        </w:rPr>
        <w:t xml:space="preserve"> -- selecting answers based on personal identification with demographic groups rather than economic logic (Q7)</w:t>
      </w:r>
    </w:p>
    <w:p>
      <w:pPr>
        <w:pStyle w:val="ListParagraph"/>
        <w:numPr>
          <w:ilvl w:val="0"/>
          <w:numId w:val="2"/>
        </w:numPr>
        <w:spacing w:line="360" w:after="100"/>
      </w:pPr>
      <w:r>
        <w:rPr>
          <w:rFonts w:ascii="Times New Roman" w:cs="Times New Roman" w:eastAsia="Times New Roman" w:hAnsi="Times New Roman"/>
          <w:b/>
          <w:bCs/>
          <w:sz w:val="24"/>
          <w:szCs w:val="24"/>
        </w:rPr>
        <w:t xml:space="preserve">Format-induced errors</w:t>
      </w:r>
      <w:r>
        <w:rPr>
          <w:rFonts w:ascii="Times New Roman" w:cs="Times New Roman" w:eastAsia="Times New Roman" w:hAnsi="Times New Roman"/>
          <w:sz w:val="24"/>
          <w:szCs w:val="24"/>
        </w:rPr>
        <w:t xml:space="preserve"> -- particularly on True/False items (Q36, Q2) where correct knowledge led to incorrect answers due to negation confusion or reversed logic</w:t>
      </w:r>
    </w:p>
    <w:p>
      <w:pPr>
        <w:pStyle w:val="Heading1"/>
        <w:pageBreakBefore/>
        <w:spacing w:before="480" w:after="240"/>
      </w:pPr>
      <w:r>
        <w:rPr>
          <w:rFonts w:ascii="Times New Roman" w:cs="Times New Roman" w:eastAsia="Times New Roman" w:hAnsi="Times New Roman"/>
          <w:sz w:val="24"/>
          <w:szCs w:val="24"/>
        </w:rPr>
        <w:t xml:space="preserve">5. Platform and Governance Design</w:t>
      </w:r>
    </w:p>
    <w:p>
      <w:pPr>
        <w:pStyle w:val="Heading2"/>
        <w:spacing w:before="360" w:after="180"/>
      </w:pPr>
      <w:r>
        <w:rPr>
          <w:rFonts w:ascii="Times New Roman" w:cs="Times New Roman" w:eastAsia="Times New Roman" w:hAnsi="Times New Roman"/>
          <w:sz w:val="24"/>
          <w:szCs w:val="24"/>
        </w:rPr>
        <w:t xml:space="preserve">5.1 Technology Stack</w:t>
      </w:r>
    </w:p>
    <w:p>
      <w:pPr>
        <w:spacing w:line="360" w:after="200"/>
      </w:pPr>
      <w:r>
        <w:rPr>
          <w:rFonts w:ascii="Times New Roman" w:cs="Times New Roman" w:eastAsia="Times New Roman" w:hAnsi="Times New Roman"/>
          <w:sz w:val="24"/>
          <w:szCs w:val="24"/>
        </w:rPr>
        <w:t xml:space="preserve">We administer the assessment through a dedicated web platform -- the Financial Literacy Toolkit -- developed for this study. We built the platform on Next.js 14 (App Router) with PostgreSQL 15 as the data store, accessed through PgBouncer connection pooling to support concurrent users. The complete source code is publicly available in the project repository (Bolivard, 2026).</w:t>
      </w:r>
    </w:p>
    <w:p>
      <w:pPr>
        <w:pStyle w:val="Heading2"/>
        <w:spacing w:before="360" w:after="180"/>
      </w:pPr>
      <w:r>
        <w:rPr>
          <w:rFonts w:ascii="Times New Roman" w:cs="Times New Roman" w:eastAsia="Times New Roman" w:hAnsi="Times New Roman"/>
          <w:sz w:val="24"/>
          <w:szCs w:val="24"/>
        </w:rPr>
        <w:t xml:space="preserve">5.2 Student Authentication and Data Minimization</w:t>
      </w:r>
    </w:p>
    <w:p>
      <w:pPr>
        <w:spacing w:line="360" w:after="200"/>
      </w:pPr>
      <w:r>
        <w:rPr>
          <w:rFonts w:ascii="Times New Roman" w:cs="Times New Roman" w:eastAsia="Times New Roman" w:hAnsi="Times New Roman"/>
          <w:sz w:val="24"/>
          <w:szCs w:val="24"/>
        </w:rPr>
        <w:t xml:space="preserve">Students access the platform by entering their course code and student ID. On receipt, the platform immediately transforms each student ID into a one-way cryptographic hash (SHA-256 with a per-course pepper) and discards the raw identifier; all subsequent data storage and analysis use only the hashed key. We store no raw student ID numbers, names, email addresses, or other personally identifiable information in the research dataset. The per-course pepper isolates student hashes across courses, preventing cross-course linkage. Age is collected as a categorical range rather than exact date of birth, and geographic identifiers are not collected.</w:t>
      </w:r>
    </w:p>
    <w:p>
      <w:pPr>
        <w:pStyle w:val="Heading2"/>
        <w:spacing w:before="360" w:after="180"/>
      </w:pPr>
      <w:r>
        <w:rPr>
          <w:rFonts w:ascii="Times New Roman" w:cs="Times New Roman" w:eastAsia="Times New Roman" w:hAnsi="Times New Roman"/>
          <w:sz w:val="24"/>
          <w:szCs w:val="24"/>
        </w:rPr>
        <w:t xml:space="preserve">5.3 Consent Mechanics</w:t>
      </w:r>
    </w:p>
    <w:p>
      <w:pPr>
        <w:spacing w:line="360" w:after="200"/>
      </w:pPr>
      <w:r>
        <w:rPr>
          <w:rFonts w:ascii="Times New Roman" w:cs="Times New Roman" w:eastAsia="Times New Roman" w:hAnsi="Times New Roman"/>
          <w:sz w:val="24"/>
          <w:szCs w:val="24"/>
        </w:rPr>
        <w:t xml:space="preserve">The platform implements a two-part consent flow before data collection:</w:t>
      </w:r>
    </w:p>
    <w:p>
      <w:pPr>
        <w:pStyle w:val="ListParagraph"/>
        <w:numPr>
          <w:ilvl w:val="0"/>
          <w:numId w:val="2"/>
        </w:numPr>
        <w:spacing w:line="360" w:after="100"/>
      </w:pPr>
      <w:r>
        <w:rPr>
          <w:rFonts w:ascii="Times New Roman" w:cs="Times New Roman" w:eastAsia="Times New Roman" w:hAnsi="Times New Roman"/>
          <w:b/>
          <w:bCs/>
          <w:sz w:val="24"/>
          <w:szCs w:val="24"/>
        </w:rPr>
        <w:t xml:space="preserve">Course requirement acknowledgment (mandatory).</w:t>
      </w:r>
      <w:r>
        <w:rPr>
          <w:rFonts w:ascii="Times New Roman" w:cs="Times New Roman" w:eastAsia="Times New Roman" w:hAnsi="Times New Roman"/>
          <w:sz w:val="24"/>
          <w:szCs w:val="24"/>
        </w:rPr>
        <w:t xml:space="preserve"> Students review and acknowledge that the assessment is a required course assignment and that their answers are not graded for correctness.</w:t>
      </w:r>
    </w:p>
    <w:p>
      <w:pPr>
        <w:pStyle w:val="ListParagraph"/>
        <w:numPr>
          <w:ilvl w:val="0"/>
          <w:numId w:val="2"/>
        </w:numPr>
        <w:spacing w:line="360" w:after="100"/>
      </w:pPr>
      <w:r>
        <w:rPr>
          <w:rFonts w:ascii="Times New Roman" w:cs="Times New Roman" w:eastAsia="Times New Roman" w:hAnsi="Times New Roman"/>
          <w:b/>
          <w:bCs/>
          <w:sz w:val="24"/>
          <w:szCs w:val="24"/>
        </w:rPr>
        <w:t xml:space="preserve">Research consent (voluntary).</w:t>
      </w:r>
      <w:r>
        <w:rPr>
          <w:rFonts w:ascii="Times New Roman" w:cs="Times New Roman" w:eastAsia="Times New Roman" w:hAnsi="Times New Roman"/>
          <w:sz w:val="24"/>
          <w:szCs w:val="24"/>
        </w:rPr>
        <w:t xml:space="preserve"> Students are presented with a separate research consent screen asking whether their de-identified responses may be used for research evaluating course learning outcomes. The screen explicitly states that declining has no impact on grades, course standing, or access to feedback. The consent decision, timestamp, and version identifier are recorded. Students may withdraw research consent at any time by contacting the course instructor; withdrawn data are excluded from subsequent analyses.</w:t>
      </w:r>
    </w:p>
    <w:p>
      <w:pPr>
        <w:spacing w:line="360" w:after="200"/>
      </w:pPr>
      <w:r>
        <w:rPr>
          <w:rFonts w:ascii="Times New Roman" w:cs="Times New Roman" w:eastAsia="Times New Roman" w:hAnsi="Times New Roman"/>
          <w:sz w:val="24"/>
          <w:szCs w:val="24"/>
        </w:rPr>
        <w:t xml:space="preserve">The consent flow structurally separates the course requirement from the research opt-in: a student can complete the assessment (fulfilling the course obligation) without consenting to research use. This separation is the primary safeguard of voluntariness. Before the consent flow, students view a short orientation video explaining the purpose, structure, and non-graded nature of the assessment (see Appendix E). A privacy notice displayed during onboarding describes the hashing process, data separation, and the student's right to withdraw.</w:t>
      </w:r>
    </w:p>
    <w:p>
      <w:pPr>
        <w:spacing w:line="360" w:after="200"/>
      </w:pPr>
      <w:r>
        <w:rPr>
          <w:rFonts w:ascii="Times New Roman" w:cs="Times New Roman" w:eastAsia="Times New Roman" w:hAnsi="Times New Roman"/>
          <w:b/>
          <w:bCs/>
          <w:sz w:val="24"/>
          <w:szCs w:val="24"/>
        </w:rPr>
        <w:t xml:space="preserve">Consent accounting.</w:t>
      </w:r>
      <w:r>
        <w:rPr>
          <w:rFonts w:ascii="Times New Roman" w:cs="Times New Roman" w:eastAsia="Times New Roman" w:hAnsi="Times New Roman"/>
          <w:sz w:val="24"/>
          <w:szCs w:val="24"/>
        </w:rPr>
        <w:t xml:space="preserve"> Of the 431 students who submitted completed assessments, 354 (82.1%) provided affirmative research consent. Zero students explicitly declined. The remaining 77 (17.9%) have a NULL consent status because they completed the assessment during the first days of the assessment window before the research consent screen was deployed in the platform. Following standard research ethics practice, students with NULL consent are treated as non-consented for all research analyses -- absence of affirmative consent is treated as non-consent, regardless of the reason.</w:t>
      </w:r>
    </w:p>
    <w:p>
      <w:pPr>
        <w:spacing w:line="360" w:after="200"/>
      </w:pPr>
      <w:r>
        <w:rPr>
          <w:rFonts w:ascii="Times New Roman" w:cs="Times New Roman" w:eastAsia="Times New Roman" w:hAnsi="Times New Roman"/>
          <w:b/>
          <w:bCs/>
          <w:sz w:val="24"/>
          <w:szCs w:val="24"/>
        </w:rPr>
        <w:t xml:space="preserve">Representativeness check.</w:t>
      </w:r>
      <w:r>
        <w:rPr>
          <w:rFonts w:ascii="Times New Roman" w:cs="Times New Roman" w:eastAsia="Times New Roman" w:hAnsi="Times New Roman"/>
          <w:sz w:val="24"/>
          <w:szCs w:val="24"/>
        </w:rPr>
        <w:t xml:space="preserve"> The consented subsample appears similar to the full cohort on observed score distributions, as summarized below. This comparison is descriptive; no formal equivalence test was conducted.</w:t>
      </w:r>
    </w:p>
    <w:p>
      <w:pPr>
        <w:spacing w:line="360" w:after="200"/>
      </w:pPr>
      <w:r>
        <w:rPr>
          <w:rFonts w:ascii="Times New Roman" w:cs="Times New Roman" w:eastAsia="Times New Roman" w:hAnsi="Times New Roman"/>
          <w:b/>
          <w:bCs/>
          <w:sz w:val="24"/>
          <w:szCs w:val="24"/>
        </w:rPr>
        <w:t xml:space="preserve">Table 5.1: Consented vs. Full Cohort Comparison</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Consented (n = 354)</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Full Cohort (N = 431)</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Difference</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Anchor mean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67.0%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67.4%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0.4 pp</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Anchor SD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0.0 pp</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Median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69.2%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69.2%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0.0 pp</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Below 50% band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12.7%</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0.4 pp</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80%+ band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24.9%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25.6%</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0.7 pp</w:t>
            </w:r>
          </w:p>
        </w:tc>
      </w:tr>
    </w:tbl>
    <w:p>
      <w:pPr>
        <w:spacing w:after="200"/>
      </w:pPr>
    </w:p>
    <w:p>
      <w:pPr>
        <w:spacing w:line="360" w:after="200"/>
      </w:pPr>
      <w:r>
        <w:rPr>
          <w:rFonts w:ascii="Times New Roman" w:cs="Times New Roman" w:eastAsia="Times New Roman" w:hAnsi="Times New Roman"/>
          <w:sz w:val="24"/>
          <w:szCs w:val="24"/>
        </w:rPr>
        <w:t xml:space="preserve">The small differences (all &lt; 1 percentage point) suggest that the NULL-consent cohort reflects deployment timing rather than a self-selected subgroup, though this cannot be confirmed without additional non-observable covariates.</w:t>
      </w:r>
    </w:p>
    <w:p>
      <w:pPr>
        <w:spacing w:line="360" w:after="200"/>
      </w:pPr>
      <w:r>
        <w:rPr>
          <w:rFonts w:ascii="Times New Roman" w:cs="Times New Roman" w:eastAsia="Times New Roman" w:hAnsi="Times New Roman"/>
          <w:b/>
          <w:bCs/>
          <w:sz w:val="24"/>
          <w:szCs w:val="24"/>
        </w:rPr>
        <w:t xml:space="preserve">Default selection.</w:t>
      </w:r>
      <w:r>
        <w:rPr>
          <w:rFonts w:ascii="Times New Roman" w:cs="Times New Roman" w:eastAsia="Times New Roman" w:hAnsi="Times New Roman"/>
          <w:sz w:val="24"/>
          <w:szCs w:val="24"/>
        </w:rPr>
        <w:t xml:space="preserve"> The consent screen presented "Yes, I consent" as the default selection. While the 0% explicit decline rate is consistent with students having no objection to de-identified research use, the default-yes design may have inflated the consent rate through status quo bias. Paper 2 will mitigate this by implementing a forced active choice (no default selection) in the post-assessment consent screen.</w:t>
      </w:r>
    </w:p>
    <w:p>
      <w:pPr>
        <w:spacing w:line="360" w:after="200"/>
      </w:pPr>
      <w:r>
        <w:rPr>
          <w:rFonts w:ascii="Times New Roman" w:cs="Times New Roman" w:eastAsia="Times New Roman" w:hAnsi="Times New Roman"/>
          <w:sz w:val="24"/>
          <w:szCs w:val="24"/>
        </w:rPr>
        <w:t xml:space="preserve">All analyses in this paper use only the research-consented subset (n = 354). For instructional purposes, all 431 students receive SDM-10 diagnostics and dashboard feedback regardless of consent status; consent governs only research publication, not educational use.</w:t>
      </w:r>
    </w:p>
    <w:p>
      <w:pPr>
        <w:pStyle w:val="Heading1"/>
        <w:pageBreakBefore/>
        <w:spacing w:before="480" w:after="240"/>
      </w:pPr>
      <w:r>
        <w:rPr>
          <w:rFonts w:ascii="Times New Roman" w:cs="Times New Roman" w:eastAsia="Times New Roman" w:hAnsi="Times New Roman"/>
          <w:sz w:val="24"/>
          <w:szCs w:val="24"/>
        </w:rPr>
        <w:t xml:space="preserve">6. Pilot Operations and Descriptive Statistics</w:t>
      </w:r>
    </w:p>
    <w:p>
      <w:pPr>
        <w:spacing w:line="360" w:after="200"/>
      </w:pPr>
      <w:r>
        <w:rPr>
          <w:rFonts w:ascii="Times New Roman" w:cs="Times New Roman" w:eastAsia="Times New Roman" w:hAnsi="Times New Roman"/>
          <w:sz w:val="24"/>
          <w:szCs w:val="24"/>
        </w:rPr>
        <w:t xml:space="preserve">Below we report operational statistics from the pre-course assessment window (February 2--9, 2026) as quality assurance context for interpreting the SDM-10 diagnostic findings. These are descriptive operational summaries of assessment administration, not inferential research results. No subgroup comparisons, hypothesis tests, or claims about population parameters are made in this section. Subgroup analyses are deferred to Paper 2, contingent on institutional review board approval for human-subjects research.</w:t>
      </w:r>
    </w:p>
    <w:p>
      <w:pPr>
        <w:pStyle w:val="Heading2"/>
        <w:spacing w:before="360" w:after="180"/>
      </w:pPr>
      <w:r>
        <w:rPr>
          <w:rFonts w:ascii="Times New Roman" w:cs="Times New Roman" w:eastAsia="Times New Roman" w:hAnsi="Times New Roman"/>
          <w:sz w:val="24"/>
          <w:szCs w:val="24"/>
        </w:rPr>
        <w:t xml:space="preserve">6.1 Participation and Completion</w:t>
      </w:r>
    </w:p>
    <w:p>
      <w:pPr>
        <w:spacing w:line="360" w:after="200"/>
      </w:pPr>
      <w:r>
        <w:rPr>
          <w:rFonts w:ascii="Times New Roman" w:cs="Times New Roman" w:eastAsia="Times New Roman" w:hAnsi="Times New Roman"/>
          <w:sz w:val="24"/>
          <w:szCs w:val="24"/>
        </w:rPr>
        <w:t xml:space="preserve">A total of 443 students onboarded onto the platform, of whom 431 submitted completed assessments, yielding a completion rate of 97.3%. Twelve students abandoned the assessment without submission; all abandoned sessions had been idle for more than 45 hours at the time of window closure. All 431 students who submitted the anchor assessment received SDM-10 items. Of these, 300 consented students (84.7%) received the full 10-item module; 54 received between 5 and 9 items due to insufficient high-Need subcategories in their anchor profile (the algorithm could not fill all 10 slots when a student's anchor performance was uniformly strong or weak across subcategories).</w:t>
      </w:r>
    </w:p>
    <w:p>
      <w:pPr>
        <w:spacing w:line="360" w:after="200"/>
      </w:pPr>
      <w:r>
        <w:rPr>
          <w:rFonts w:ascii="Times New Roman" w:cs="Times New Roman" w:eastAsia="Times New Roman" w:hAnsi="Times New Roman"/>
          <w:b/>
          <w:bCs/>
          <w:sz w:val="24"/>
          <w:szCs w:val="24"/>
        </w:rPr>
        <w:t xml:space="preserve">Table 6.0: Counts and Inclusion Rules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Stage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Enrolled (onboarded)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443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Created platform account with hashed ID</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Completed (submitted)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431</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Submitted anchor + SDM-10 before window close</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Abandoned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Onboarded but did not submit; idle &gt; 45 hours</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Consented (research)</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354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Affirmative "Yes" on research consent screen</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Declined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Explicit "No" on research consent screen</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NULL consent</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77</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Completed before consent screen deployed; treated as non-consented</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Withdrawn</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 withdrawals received during the study period</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b/>
                <w:bCs/>
                <w:sz w:val="22"/>
                <w:szCs w:val="22"/>
              </w:rPr>
              <w:t xml:space="preserve">Research-consented analysis set</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b/>
                <w:bCs/>
                <w:sz w:val="22"/>
                <w:szCs w:val="22"/>
              </w:rPr>
              <w:t xml:space="preserve">354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b/>
                <w:bCs/>
                <w:sz w:val="22"/>
                <w:szCs w:val="22"/>
              </w:rPr>
              <w:t xml:space="preserve">Inclusion rule: research_consent = true AND submitted_at IS NOT NULL</w:t>
            </w:r>
          </w:p>
        </w:tc>
      </w:tr>
    </w:tbl>
    <w:p>
      <w:pPr>
        <w:spacing w:after="200"/>
      </w:pPr>
    </w:p>
    <w:p>
      <w:pPr>
        <w:spacing w:line="360" w:after="200"/>
      </w:pPr>
      <w:r>
        <w:rPr>
          <w:rFonts w:ascii="Times New Roman" w:cs="Times New Roman" w:eastAsia="Times New Roman" w:hAnsi="Times New Roman"/>
          <w:sz w:val="24"/>
          <w:szCs w:val="24"/>
        </w:rPr>
        <w:t xml:space="preserve">All tables and statistics in Sections 4 and 6 use the research-consented set (n = 354) unless explicitly noted otherwise. Instructional feedback is delivered to all 431 submitters regardless of consent status.</w:t>
      </w:r>
    </w:p>
    <w:p>
      <w:pPr>
        <w:spacing w:before="360" w:after="120"/>
        <w:jc w:val="center"/>
      </w:pPr>
      <w:r>
        <w:drawing>
          <wp:inline distT="0" distB="0" distL="0" distR="0">
            <wp:extent cx="55245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05752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3. Daily Enrollment and Completion (Feb 2–9, 2026). Full completed cohort: 433 enrolled, 421 completed (97.2%).</w:t>
      </w:r>
    </w:p>
    <w:p>
      <w:pPr>
        <w:spacing w:line="360" w:after="200"/>
      </w:pPr>
      <w:r>
        <w:rPr>
          <w:rFonts w:ascii="Times New Roman" w:cs="Times New Roman" w:eastAsia="Times New Roman" w:hAnsi="Times New Roman"/>
          <w:sz w:val="24"/>
          <w:szCs w:val="24"/>
        </w:rPr>
        <w:t xml:space="preserve">The following demographic summary describes the composition of the consented sample for operational context only. No subgroup performance comparisons are reported in Paper 1.</w:t>
      </w:r>
    </w:p>
    <w:p>
      <w:pPr>
        <w:spacing w:line="360" w:after="200"/>
      </w:pPr>
      <w:r>
        <w:rPr>
          <w:rFonts w:ascii="Times New Roman" w:cs="Times New Roman" w:eastAsia="Times New Roman" w:hAnsi="Times New Roman"/>
          <w:b/>
          <w:bCs/>
          <w:sz w:val="24"/>
          <w:szCs w:val="24"/>
        </w:rPr>
        <w:t xml:space="preserve">Table 6.1: Sample Demographics (Consented, n = 354)</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Characteristic</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Female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213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60.2%</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Male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139</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39.3%</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Prefer not to say</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0.6%</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English first language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278</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78.5%</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Spanish first language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12.4%</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Other languages</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9.0%</w:t>
            </w:r>
          </w:p>
        </w:tc>
      </w:tr>
    </w:tbl>
    <w:p>
      <w:pPr>
        <w:spacing w:after="200"/>
      </w:pPr>
    </w:p>
    <w:p>
      <w:pPr>
        <w:spacing w:before="360" w:after="120"/>
        <w:jc w:val="center"/>
      </w:pPr>
      <w:r>
        <w:drawing>
          <wp:inline distT="0" distB="0" distL="0" distR="0">
            <wp:extent cx="55245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355282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7. Sample Demographics (N = 421, full completed cohort). Panels show gender, age range, race/ethnicity, work experience, and first-generation status.</w:t>
      </w:r>
    </w:p>
    <w:p>
      <w:pPr>
        <w:spacing w:before="360" w:after="120"/>
        <w:jc w:val="center"/>
      </w:pPr>
      <w:r>
        <w:drawing>
          <wp:inline distT="0" distB="0" distL="0" distR="0">
            <wp:extent cx="55245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268605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8. Financial Background and Self-Assessment (N = 421, full completed cohort). Panels show frequency of financial stress and self-rated financial knowledge.</w:t>
      </w:r>
    </w:p>
    <w:p>
      <w:pPr>
        <w:pStyle w:val="Heading2"/>
        <w:spacing w:before="360" w:after="180"/>
      </w:pPr>
      <w:r>
        <w:rPr>
          <w:rFonts w:ascii="Times New Roman" w:cs="Times New Roman" w:eastAsia="Times New Roman" w:hAnsi="Times New Roman"/>
          <w:sz w:val="24"/>
          <w:szCs w:val="24"/>
        </w:rPr>
        <w:t xml:space="preserve">6.2 Anchor Score Context</w:t>
      </w:r>
    </w:p>
    <w:p>
      <w:pPr>
        <w:spacing w:line="360" w:after="200"/>
      </w:pPr>
      <w:r>
        <w:rPr>
          <w:rFonts w:ascii="Times New Roman" w:cs="Times New Roman" w:eastAsia="Times New Roman" w:hAnsi="Times New Roman"/>
          <w:sz w:val="24"/>
          <w:szCs w:val="24"/>
        </w:rPr>
        <w:t xml:space="preserve">The following score summaries provide operational context for interpreting SDM-10 diagnostic patterns. They are not inferential claims about population-level financial literacy.</w:t>
      </w:r>
    </w:p>
    <w:p>
      <w:pPr>
        <w:spacing w:line="360" w:after="200"/>
      </w:pPr>
      <w:r>
        <w:rPr>
          <w:rFonts w:ascii="Times New Roman" w:cs="Times New Roman" w:eastAsia="Times New Roman" w:hAnsi="Times New Roman"/>
          <w:sz w:val="24"/>
          <w:szCs w:val="24"/>
        </w:rPr>
        <w:t xml:space="preserve">For the consented subset (n = 354), the mean anchor score was 67.0% (SD = 17.9%, median = 69.2%) across 26 scored knowledge items. Domain-level means were:</w:t>
      </w:r>
    </w:p>
    <w:p>
      <w:pPr>
        <w:spacing w:line="360" w:after="200"/>
      </w:pPr>
      <w:r>
        <w:rPr>
          <w:rFonts w:ascii="Times New Roman" w:cs="Times New Roman" w:eastAsia="Times New Roman" w:hAnsi="Times New Roman"/>
          <w:b/>
          <w:bCs/>
          <w:sz w:val="24"/>
          <w:szCs w:val="24"/>
        </w:rPr>
        <w:t xml:space="preserve">Table 6.2: Mean Accuracy by Domain (Consented, n = 354)</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Domain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Items</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Mean % Correct</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72.4%</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69.2%</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63.4%</w:t>
            </w:r>
          </w:p>
        </w:tc>
      </w:tr>
    </w:tbl>
    <w:p>
      <w:pPr>
        <w:spacing w:after="200"/>
      </w:pPr>
    </w:p>
    <w:p>
      <w:pPr>
        <w:spacing w:line="360" w:after="200"/>
      </w:pPr>
      <w:r>
        <w:rPr>
          <w:rFonts w:ascii="Times New Roman" w:cs="Times New Roman" w:eastAsia="Times New Roman" w:hAnsi="Times New Roman"/>
          <w:sz w:val="24"/>
          <w:szCs w:val="24"/>
        </w:rPr>
        <w:t xml:space="preserve">Investment and Risk was the weakest domain, driven primarily by low performance on Q38 (Inflation Protection) and Q6 (Inflation Lowering). However, Investment and Risk also has the highest selection error count (56), suggesting some of this weakness is artefactual.</w:t>
      </w:r>
    </w:p>
    <w:p>
      <w:pPr>
        <w:spacing w:before="360" w:after="120"/>
        <w:jc w:val="center"/>
      </w:pPr>
      <w:r>
        <w:drawing>
          <wp:inline distT="0" distB="0" distL="0" distR="0">
            <wp:extent cx="55245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426720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2. Domain-Level Performance Comparison (full completed cohort). Error bars show ±1 SD. Dashed line indicates overall mean (66.6%).</w:t>
      </w:r>
    </w:p>
    <w:p>
      <w:pPr>
        <w:spacing w:line="360" w:after="200"/>
      </w:pPr>
      <w:r>
        <w:rPr>
          <w:rFonts w:ascii="Times New Roman" w:cs="Times New Roman" w:eastAsia="Times New Roman" w:hAnsi="Times New Roman"/>
          <w:b/>
          <w:bCs/>
          <w:sz w:val="24"/>
          <w:szCs w:val="24"/>
        </w:rPr>
        <w:t xml:space="preserve">Table 6.3: Score Distribution by Performance Band (Consented, n = 354)</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Band</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 of Sample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Status</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Below 50%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12.7%</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At risk</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50--69%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45.5%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Developing</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70--79%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Proficient</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80% and above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88</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24.9%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Strong</w:t>
            </w:r>
          </w:p>
        </w:tc>
      </w:tr>
    </w:tbl>
    <w:p>
      <w:pPr>
        <w:spacing w:after="200"/>
      </w:pPr>
    </w:p>
    <w:p>
      <w:pPr>
        <w:spacing w:line="360" w:after="200"/>
      </w:pPr>
      <w:r>
        <w:rPr>
          <w:rFonts w:ascii="Times New Roman" w:cs="Times New Roman" w:eastAsia="Times New Roman" w:hAnsi="Times New Roman"/>
          <w:sz w:val="24"/>
          <w:szCs w:val="24"/>
        </w:rPr>
        <w:t xml:space="preserve">The largest segment (45.5%) falls in the 50--69% band. Combined with the 12.7% below 50%, over half the consented sample has partial or incomplete financial literacy knowledge.</w:t>
      </w:r>
    </w:p>
    <w:p>
      <w:pPr>
        <w:spacing w:before="360" w:after="120"/>
        <w:jc w:val="center"/>
      </w:pPr>
      <w:r>
        <w:drawing>
          <wp:inline distT="0" distB="0" distL="0" distR="0">
            <wp:extent cx="55245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379095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1. Pre-Course Overall Score Distribution (N = 421, full completed cohort). Dashed line shows mean (66.6%). The modal bin (60–69%) contains 28.5% of students.</w:t>
      </w:r>
    </w:p>
    <w:p>
      <w:pPr>
        <w:spacing w:before="360" w:after="120"/>
        <w:jc w:val="center"/>
      </w:pPr>
      <w:r>
        <w:drawing>
          <wp:inline distT="0" distB="0" distL="0" distR="0">
            <wp:extent cx="55245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404812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6. Item Difficulty Ranking by Subdomain (N = 421, full completed cohort). Items colored by difficulty tier: green (strong, ≥70%), yellow (moderate, 50–69%), red (weak, &lt;50%).</w:t>
      </w:r>
    </w:p>
    <w:p>
      <w:pPr>
        <w:spacing w:line="360" w:after="200"/>
      </w:pPr>
      <w:r>
        <w:rPr>
          <w:rFonts w:ascii="Times New Roman" w:cs="Times New Roman" w:eastAsia="Times New Roman" w:hAnsi="Times New Roman"/>
          <w:sz w:val="24"/>
          <w:szCs w:val="24"/>
        </w:rPr>
        <w:t xml:space="preserve">The consented SDM-10 mean score (64.4% across 3,340 responses) was lower than the anchor mean (67.0%), confirming that the adaptive selection algorithm appropriately targeted subcategories where students demonstrated weaker performance. These scores provide context for interpreting the SDM-10 diagnostic findings but are not the primary analytical contribution of this paper.</w:t>
      </w:r>
    </w:p>
    <w:p>
      <w:pPr>
        <w:pStyle w:val="Heading2"/>
        <w:spacing w:before="360" w:after="180"/>
      </w:pPr>
      <w:r>
        <w:rPr>
          <w:rFonts w:ascii="Times New Roman" w:cs="Times New Roman" w:eastAsia="Times New Roman" w:hAnsi="Times New Roman"/>
          <w:sz w:val="24"/>
          <w:szCs w:val="24"/>
        </w:rPr>
        <w:t xml:space="preserve">6.3 Assessment Duration</w:t>
      </w:r>
    </w:p>
    <w:p>
      <w:pPr>
        <w:spacing w:line="360" w:after="200"/>
      </w:pPr>
      <w:r>
        <w:rPr>
          <w:rFonts w:ascii="Times New Roman" w:cs="Times New Roman" w:eastAsia="Times New Roman" w:hAnsi="Times New Roman"/>
          <w:sz w:val="24"/>
          <w:szCs w:val="24"/>
        </w:rPr>
        <w:t xml:space="preserve">The median assessment duration was 18.1 minutes (consented subset). The mean duration (217.2 minutes) was heavily skewed by a small number of sessions left open without completion, including sessions that remained idle for multiple days. The median is the more representative measure of active assessment time.</w:t>
      </w:r>
    </w:p>
    <w:p>
      <w:pPr>
        <w:spacing w:before="360" w:after="120"/>
        <w:jc w:val="center"/>
      </w:pPr>
      <w:r>
        <w:drawing>
          <wp:inline distT="0" distB="0" distL="0" distR="0">
            <wp:extent cx="55245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320992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4. Assessment Submission Time Distribution (N = 421, full completed cohort). Peak submissions occurred between 2–10 PM CST (Chicago time).</w:t>
      </w:r>
    </w:p>
    <w:p>
      <w:pPr>
        <w:pStyle w:val="Heading1"/>
        <w:pageBreakBefore/>
        <w:spacing w:before="480" w:after="240"/>
      </w:pPr>
      <w:r>
        <w:rPr>
          <w:rFonts w:ascii="Times New Roman" w:cs="Times New Roman" w:eastAsia="Times New Roman" w:hAnsi="Times New Roman"/>
          <w:sz w:val="24"/>
          <w:szCs w:val="24"/>
        </w:rPr>
        <w:t xml:space="preserve">7. Discussion</w:t>
      </w:r>
    </w:p>
    <w:p>
      <w:pPr>
        <w:spacing w:line="360" w:after="200"/>
      </w:pPr>
      <w:r>
        <w:rPr>
          <w:rFonts w:ascii="Times New Roman" w:cs="Times New Roman" w:eastAsia="Times New Roman" w:hAnsi="Times New Roman"/>
          <w:sz w:val="24"/>
          <w:szCs w:val="24"/>
        </w:rPr>
        <w:t xml:space="preserve">The SDM-10 diagnostic findings reveal that standard multiple-choice assessment scores both overstate and understate student financial literacy knowledge in systematic, measurable ways. As noted in Section 4.4, all SDM-10 prevalence rates reported below reflect conditioned subsamples -- diagnose items target students who answered incorrectly with high confidence, and confirm items target students who answered correctly with low confidence -- not random cross-sections of the class. The rates characterize what happens within those tails, not the prevalence of misconceptions across the full class.</w:t>
      </w:r>
    </w:p>
    <w:p>
      <w:pPr>
        <w:spacing w:line="360" w:after="200"/>
      </w:pPr>
      <w:r>
        <w:rPr>
          <w:rFonts w:ascii="Times New Roman" w:cs="Times New Roman" w:eastAsia="Times New Roman" w:hAnsi="Times New Roman"/>
          <w:b/>
          <w:bCs/>
          <w:sz w:val="24"/>
          <w:szCs w:val="24"/>
        </w:rPr>
        <w:t xml:space="preserve">Selection errors materially distort MCQ scoring.</w:t>
      </w:r>
      <w:r>
        <w:rPr>
          <w:rFonts w:ascii="Times New Roman" w:cs="Times New Roman" w:eastAsia="Times New Roman" w:hAnsi="Times New Roman"/>
          <w:sz w:val="24"/>
          <w:szCs w:val="24"/>
        </w:rPr>
        <w:t xml:space="preserve"> The most striking finding is the magnitude of selection errors: among students who answered incorrectly with high confidence, 31.9% of classified responses demonstrated correct understanding of the underlying concept in their open-ended explanation. On individual items, selection error rates reached 81% (Q36, diversification principle), 41% (Q10, credit reports), and 32% (Q2, mortgages). These students would receive a score of zero on the anchor assessment despite possessing the targeted knowledge. Without the open-ended diagnostic follow-up, these errors would be indistinguishable from genuine misconceptions, leading to misallocation of instructional resources toward remediation that students do not need. The pattern is concentrated on True/False items and negation-framed MCQ items, suggesting that item format rather than student knowledge drives the errors. The 81% selection error rate on Q36 has direct implications for instrument revision: Q36 should be rewritten in multiple-choice format, and Q10's "which is FALSE" framing should be reconsidered.</w:t>
      </w:r>
    </w:p>
    <w:p>
      <w:pPr>
        <w:spacing w:line="360" w:after="200"/>
      </w:pPr>
      <w:r>
        <w:rPr>
          <w:rFonts w:ascii="Times New Roman" w:cs="Times New Roman" w:eastAsia="Times New Roman" w:hAnsi="Times New Roman"/>
          <w:b/>
          <w:bCs/>
          <w:sz w:val="24"/>
          <w:szCs w:val="24"/>
        </w:rPr>
        <w:t xml:space="preserve">"False correct" guesses inflate anchor scores.</w:t>
      </w:r>
      <w:r>
        <w:rPr>
          <w:rFonts w:ascii="Times New Roman" w:cs="Times New Roman" w:eastAsia="Times New Roman" w:hAnsi="Times New Roman"/>
          <w:sz w:val="24"/>
          <w:szCs w:val="24"/>
        </w:rPr>
        <w:t xml:space="preserve"> On the confirm side, among students who answered correctly but with low confidence (the SDM-10 confirm trigger), 13.7% were classified as likely guesses -- they could not articulate any understanding of the concept they ostensibly answered correctly. That rate applies to the low-confidence-correct tail, not to all correct responses, but it demonstrates that a non-trivial fraction of ostensibly correct answers do not reflect genuine understanding. On individual items with high guessing probability, anchor scores overestimate true comprehension.</w:t>
      </w:r>
    </w:p>
    <w:p>
      <w:pPr>
        <w:spacing w:line="360" w:after="200"/>
      </w:pPr>
      <w:r>
        <w:rPr>
          <w:rFonts w:ascii="Times New Roman" w:cs="Times New Roman" w:eastAsia="Times New Roman" w:hAnsi="Times New Roman"/>
          <w:b/>
          <w:bCs/>
          <w:sz w:val="24"/>
          <w:szCs w:val="24"/>
        </w:rPr>
        <w:t xml:space="preserve">Misconception patterns are domain-specific and instructionally actionable.</w:t>
      </w:r>
      <w:r>
        <w:rPr>
          <w:rFonts w:ascii="Times New Roman" w:cs="Times New Roman" w:eastAsia="Times New Roman" w:hAnsi="Times New Roman"/>
          <w:sz w:val="24"/>
          <w:szCs w:val="24"/>
        </w:rPr>
        <w:t xml:space="preserve"> Within the high-confidence-incorrect subsample targeted by the SDM-10, five dominant misconception clusters emerged (inflation mechanics confusion, risk-return reasoning from exceptions, insurance purpose confusion, empathy-driven reasoning, and format-induced errors). These clusters are specific enough to inform targeted instructional interventions. For example, the finding that students who were confident and wrong on Q6 systematically confuse "lower inflation" with "falling prices" (INF-01, the most frequent misconception) suggests that QUIN 102 should dedicate explicit instructional time to distinguishing rate of change from level -- a distinction that is foundational to understanding monetary policy but counter-intuitive to many students. Because the SDM-10 selects for high-Need responses, these misconception rates should not be extrapolated to the full class without adjusting for item-level coverage (see Limitation 2).</w:t>
      </w:r>
    </w:p>
    <w:p>
      <w:pPr>
        <w:spacing w:line="360" w:after="200"/>
      </w:pPr>
      <w:r>
        <w:rPr>
          <w:rFonts w:ascii="Times New Roman" w:cs="Times New Roman" w:eastAsia="Times New Roman" w:hAnsi="Times New Roman"/>
          <w:b/>
          <w:bCs/>
          <w:sz w:val="24"/>
          <w:szCs w:val="24"/>
        </w:rPr>
        <w:t xml:space="preserve">The three-way classification adds diagnostic value beyond MCQ scores.</w:t>
      </w:r>
      <w:r>
        <w:rPr>
          <w:rFonts w:ascii="Times New Roman" w:cs="Times New Roman" w:eastAsia="Times New Roman" w:hAnsi="Times New Roman"/>
          <w:sz w:val="24"/>
          <w:szCs w:val="24"/>
        </w:rPr>
        <w:t xml:space="preserve"> Traditional MCQ instruments classify responses into only two categories (correct/incorrect). The SDM-10's three-way classification (misconception/knowledge gap/selection error for diagnose; verified/partial/likely guess for confirm) provides the diagnostic specificity needed to differentiate students who need conceptual correction from those who need format remediation or foundational instruction. None of this information is available from the anchor score alone, and the ability to surface it represents the instrument's primary contribution to measurement methodology in financial literacy evaluation.</w:t>
      </w:r>
    </w:p>
    <w:p>
      <w:pPr>
        <w:spacing w:line="360" w:after="200"/>
      </w:pPr>
      <w:r>
        <w:rPr>
          <w:rFonts w:ascii="Times New Roman" w:cs="Times New Roman" w:eastAsia="Times New Roman" w:hAnsi="Times New Roman"/>
          <w:b/>
          <w:bCs/>
          <w:sz w:val="24"/>
          <w:szCs w:val="24"/>
        </w:rPr>
        <w:t xml:space="preserve">Instructional targeting.</w:t>
      </w:r>
      <w:r>
        <w:rPr>
          <w:rFonts w:ascii="Times New Roman" w:cs="Times New Roman" w:eastAsia="Times New Roman" w:hAnsi="Times New Roman"/>
          <w:sz w:val="24"/>
          <w:szCs w:val="24"/>
        </w:rPr>
        <w:t xml:space="preserve"> The item-level diagnostic data enable prioritized instructional interventions. The following rates are conditional on the SDM-10 trigger (incorrect + high confidence) and reflect the composition of errors within that subsample rather than cohort-wide rates. Critical priority targets include inflation mechanics (Q6, Q7), where 79% and 63% of diagnosed responses respectively revealed active misconceptions centered on the rate-versus-level confusion, and health insurance purpose (Q12), where 82% of diagnosed responses reflected the misconception that routine care is the primary function of insurance. High priority targets include risk-return reasoning (Q30, Q35), where the exceptions-disprove-rule pattern indicates a reasoning error about statistical relationships rather than a content knowledge gap, and auto loan factors (Q8), where students recognize individual factors but do not understand their interaction. Items with high selection error rates (Q36, Q9, Q14) require item revision rather than instructional intervention -- the students already understand the material.</w:t>
      </w:r>
    </w:p>
    <w:p>
      <w:pPr>
        <w:spacing w:line="360" w:after="200"/>
      </w:pPr>
      <w:r>
        <w:rPr>
          <w:rFonts w:ascii="Times New Roman" w:cs="Times New Roman" w:eastAsia="Times New Roman" w:hAnsi="Times New Roman"/>
          <w:b/>
          <w:bCs/>
          <w:sz w:val="24"/>
          <w:szCs w:val="24"/>
        </w:rPr>
        <w:t xml:space="preserve">Implications for risk literacy measurement.</w:t>
      </w:r>
      <w:r>
        <w:rPr>
          <w:rFonts w:ascii="Times New Roman" w:cs="Times New Roman" w:eastAsia="Times New Roman" w:hAnsi="Times New Roman"/>
          <w:sz w:val="24"/>
          <w:szCs w:val="24"/>
        </w:rPr>
        <w:t xml:space="preserve"> The instrument's emphasis on risk-related items (diversification, insurance, risk-return tradeoffs, crisis awareness) combined with the SDM-10 diagnostic layer provides a richer assessment of risk literacy than traditional knowledge-only measures. The finding that students can often articulate correct risk reasoning but select wrong answers (particularly on diversification items) suggests that the gap between students' conceptual understanding and their ability to translate that understanding into correct MCQ responses is larger in the risk domain than in other domains.</w:t>
      </w:r>
    </w:p>
    <w:p>
      <w:pPr>
        <w:spacing w:line="360" w:after="200"/>
      </w:pPr>
      <w:r>
        <w:rPr>
          <w:rFonts w:ascii="Times New Roman" w:cs="Times New Roman" w:eastAsia="Times New Roman" w:hAnsi="Times New Roman"/>
          <w:b/>
          <w:bCs/>
          <w:sz w:val="24"/>
          <w:szCs w:val="24"/>
        </w:rPr>
        <w:t xml:space="preserve">Future modality: oral diagnostics for misconception depth (proposed).</w:t>
      </w:r>
      <w:r>
        <w:rPr>
          <w:rFonts w:ascii="Times New Roman" w:cs="Times New Roman" w:eastAsia="Times New Roman" w:hAnsi="Times New Roman"/>
          <w:sz w:val="24"/>
          <w:szCs w:val="24"/>
        </w:rPr>
        <w:t xml:space="preserve"> A promising extension of the SDM-10 framework is an oral diagnostic modality implemented as a structured, AI-mediated interview calibrated by each student's highest-Need SDM findings. Written open-ended prompts can yield thin responses that limit diagnostic signal, while a short conversation can adaptively probe reasoning, distinguish misreading from conceptual misunderstanding, and classify misconceptions by depth — for example, shallow misconceptions that collapse after one counterexample versus deep structural misunderstandings that persist under scaffolding. This modality would complement the baseline assessment by adding depth classification and resolution tracking, using the existing misconception taxonomy and rubric applied to transcripts, rather than replacing the anchor assessment.</w:t>
      </w:r>
    </w:p>
    <w:p>
      <w:pPr>
        <w:spacing w:line="360" w:after="200"/>
      </w:pPr>
      <w:r>
        <w:rPr>
          <w:rFonts w:ascii="Times New Roman" w:cs="Times New Roman" w:eastAsia="Times New Roman" w:hAnsi="Times New Roman"/>
          <w:sz w:val="24"/>
          <w:szCs w:val="24"/>
        </w:rPr>
        <w:t xml:space="preserve">Operationally, the oral diagnostic should be designed as a constrained clinical-interview script with branching logic rather than open-ended chat: a brief warm-up, then 2–3 targeted probes per participant based on their top misconceptions, using new scenarios rather than repeating original items, followed by structured follow-ups designed to test self-correction and persistence. Because oral assessment introduces additional considerations — including speaking anxiety, language and accent effects, transcription error, and privacy risks associated with voice data — this modality is proposed only as a small IRB-reviewed volunteer pilot (for example, ~20–30 students) evaluated via within-subject comparison against written SDM classifications to quantify incremental diagnostic value before any scaling.</w:t>
      </w:r>
    </w:p>
    <w:p>
      <w:pPr>
        <w:spacing w:line="360" w:after="200"/>
      </w:pPr>
      <w:r>
        <w:rPr>
          <w:rFonts w:ascii="Times New Roman" w:cs="Times New Roman" w:eastAsia="Times New Roman" w:hAnsi="Times New Roman"/>
          <w:sz w:val="24"/>
          <w:szCs w:val="24"/>
        </w:rPr>
        <w:t xml:space="preserve">This oral modality is future work and would be implemented and analyzed only under IRB review with opt-in participation and a non-voice alternative path.</w:t>
      </w:r>
    </w:p>
    <w:p>
      <w:pPr>
        <w:pStyle w:val="Heading1"/>
        <w:pageBreakBefore/>
        <w:spacing w:before="480" w:after="240"/>
      </w:pPr>
      <w:r>
        <w:rPr>
          <w:rFonts w:ascii="Times New Roman" w:cs="Times New Roman" w:eastAsia="Times New Roman" w:hAnsi="Times New Roman"/>
          <w:sz w:val="24"/>
          <w:szCs w:val="24"/>
        </w:rPr>
        <w:t xml:space="preserve">8. Limitations</w:t>
      </w:r>
    </w:p>
    <w:p>
      <w:pPr>
        <w:spacing w:line="360" w:after="200"/>
      </w:pPr>
      <w:r>
        <w:rPr>
          <w:rFonts w:ascii="Times New Roman" w:cs="Times New Roman" w:eastAsia="Times New Roman" w:hAnsi="Times New Roman"/>
          <w:sz w:val="24"/>
          <w:szCs w:val="24"/>
        </w:rPr>
        <w:t xml:space="preserve">Readers should keep the following limitations in mind when interpreting these findings.</w:t>
      </w:r>
    </w:p>
    <w:p>
      <w:pPr>
        <w:pStyle w:val="ListParagraph"/>
        <w:numPr>
          <w:ilvl w:val="0"/>
          <w:numId w:val="2"/>
        </w:numPr>
        <w:spacing w:line="360" w:after="100"/>
      </w:pPr>
      <w:r>
        <w:rPr>
          <w:rFonts w:ascii="Times New Roman" w:cs="Times New Roman" w:eastAsia="Times New Roman" w:hAnsi="Times New Roman"/>
          <w:b/>
          <w:bCs/>
          <w:sz w:val="24"/>
          <w:szCs w:val="24"/>
        </w:rPr>
        <w:t xml:space="preserve">No causal claims.</w:t>
      </w:r>
      <w:r>
        <w:rPr>
          <w:rFonts w:ascii="Times New Roman" w:cs="Times New Roman" w:eastAsia="Times New Roman" w:hAnsi="Times New Roman"/>
          <w:sz w:val="24"/>
          <w:szCs w:val="24"/>
        </w:rPr>
        <w:t xml:space="preserve"> Because we report instrument design and pilot diagnostic outputs from a single pre-course assessment, no causal claims about instructional effectiveness can be drawn from Paper 1. Establishing causality requires paired pre-post data, which we plan to report in Paper 2.</w:t>
      </w:r>
    </w:p>
    <w:p>
      <w:pPr>
        <w:pStyle w:val="ListParagraph"/>
        <w:numPr>
          <w:ilvl w:val="0"/>
          <w:numId w:val="2"/>
        </w:numPr>
        <w:spacing w:line="360" w:after="100"/>
      </w:pPr>
      <w:r>
        <w:rPr>
          <w:rFonts w:ascii="Times New Roman" w:cs="Times New Roman" w:eastAsia="Times New Roman" w:hAnsi="Times New Roman"/>
          <w:b/>
          <w:bCs/>
          <w:sz w:val="24"/>
          <w:szCs w:val="24"/>
        </w:rPr>
        <w:t xml:space="preserve">SDM subsample conditioning.</w:t>
      </w:r>
      <w:r>
        <w:rPr>
          <w:rFonts w:ascii="Times New Roman" w:cs="Times New Roman" w:eastAsia="Times New Roman" w:hAnsi="Times New Roman"/>
          <w:sz w:val="24"/>
          <w:szCs w:val="24"/>
        </w:rPr>
        <w:t xml:space="preserve"> The SDM-10 open-ended items are administered only to students whose anchor responses triggered high-Need subcategories (incorrect + high confidence, or correct + low confidence). Misconception prevalence estimates reflect the tails of the confidence-accuracy distribution, not a random cross-section. Per-item coverage ranges from approximately 20% (Q32) to 90% (Q7). Extrapolation to the full cohort is only appropriate when item-level coverage exceeds 50%.</w:t>
      </w:r>
    </w:p>
    <w:p>
      <w:pPr>
        <w:pStyle w:val="ListParagraph"/>
        <w:numPr>
          <w:ilvl w:val="0"/>
          <w:numId w:val="2"/>
        </w:numPr>
        <w:spacing w:line="360" w:after="100"/>
      </w:pPr>
      <w:r>
        <w:rPr>
          <w:rFonts w:ascii="Times New Roman" w:cs="Times New Roman" w:eastAsia="Times New Roman" w:hAnsi="Times New Roman"/>
          <w:b/>
          <w:bCs/>
          <w:sz w:val="24"/>
          <w:szCs w:val="24"/>
        </w:rPr>
        <w:t xml:space="preserve">Single scoring model.</w:t>
      </w:r>
      <w:r>
        <w:rPr>
          <w:rFonts w:ascii="Times New Roman" w:cs="Times New Roman" w:eastAsia="Times New Roman" w:hAnsi="Times New Roman"/>
          <w:sz w:val="24"/>
          <w:szCs w:val="24"/>
        </w:rPr>
        <w:t xml:space="preserve"> A single LLM (GPT-4.1) classified all open-ended responses. We selected this model through an 11-model concordance protocol (Appendix D), and it achieved zero schema violations and zero parse errors across the 778 scored consented responses; nevertheless, automated classification may diverge from human judgment on borderline cases. The model assigned "high" confidence to 96.8% of its own classifications, which may indicate underutilization of the uncertainty channel. A human-AI agreement study on a stratified subsample would strengthen reliability evidence.</w:t>
      </w:r>
    </w:p>
    <w:p>
      <w:pPr>
        <w:pStyle w:val="ListParagraph"/>
        <w:numPr>
          <w:ilvl w:val="0"/>
          <w:numId w:val="2"/>
        </w:numPr>
        <w:spacing w:line="360" w:after="100"/>
      </w:pPr>
      <w:r>
        <w:rPr>
          <w:rFonts w:ascii="Times New Roman" w:cs="Times New Roman" w:eastAsia="Times New Roman" w:hAnsi="Times New Roman"/>
          <w:b/>
          <w:bCs/>
          <w:sz w:val="24"/>
          <w:szCs w:val="24"/>
        </w:rPr>
        <w:t xml:space="preserve">No publishable subgroup claims.</w:t>
      </w:r>
      <w:r>
        <w:rPr>
          <w:rFonts w:ascii="Times New Roman" w:cs="Times New Roman" w:eastAsia="Times New Roman" w:hAnsi="Times New Roman"/>
          <w:sz w:val="24"/>
          <w:szCs w:val="24"/>
        </w:rPr>
        <w:t xml:space="preserve"> Although the pre-course assessment collected demographic and financial background data, we defer all subgroup analyses (e.g., by gender, race/ethnicity, first-generation status) to Paper 2. We plan to submit an IRB application for human-subjects research; until approval is obtained, no subgroup comparisons or inferential claims appear in this report.</w:t>
      </w:r>
    </w:p>
    <w:p>
      <w:pPr>
        <w:pStyle w:val="ListParagraph"/>
        <w:numPr>
          <w:ilvl w:val="0"/>
          <w:numId w:val="2"/>
        </w:numPr>
        <w:spacing w:line="360" w:after="100"/>
      </w:pPr>
      <w:r>
        <w:rPr>
          <w:rFonts w:ascii="Times New Roman" w:cs="Times New Roman" w:eastAsia="Times New Roman" w:hAnsi="Times New Roman"/>
          <w:b/>
          <w:bCs/>
          <w:sz w:val="24"/>
          <w:szCs w:val="24"/>
        </w:rPr>
        <w:t xml:space="preserve">Possible lookup between anchor and SDM.</w:t>
      </w:r>
      <w:r>
        <w:rPr>
          <w:rFonts w:ascii="Times New Roman" w:cs="Times New Roman" w:eastAsia="Times New Roman" w:hAnsi="Times New Roman"/>
          <w:sz w:val="24"/>
          <w:szCs w:val="24"/>
        </w:rPr>
        <w:t xml:space="preserve"> The SDM-10 is administered immediately after the anchor assessment in the same session. Students may look up answers between the anchor and SDM items, potentially inflating SDM scores. The 100% SDM completion rate and the lower SDM mean score (64.4% vs. 67.0% anchor) provide some evidence against widespread lookup behavior, but the possibility cannot be excluded.</w:t>
      </w:r>
    </w:p>
    <w:p>
      <w:pPr>
        <w:pStyle w:val="ListParagraph"/>
        <w:numPr>
          <w:ilvl w:val="0"/>
          <w:numId w:val="2"/>
        </w:numPr>
        <w:spacing w:line="360" w:after="100"/>
      </w:pPr>
      <w:r>
        <w:rPr>
          <w:rFonts w:ascii="Times New Roman" w:cs="Times New Roman" w:eastAsia="Times New Roman" w:hAnsi="Times New Roman"/>
          <w:b/>
          <w:bCs/>
          <w:sz w:val="24"/>
          <w:szCs w:val="24"/>
        </w:rPr>
        <w:t xml:space="preserve">Consent attrition.</w:t>
      </w:r>
      <w:r>
        <w:rPr>
          <w:rFonts w:ascii="Times New Roman" w:cs="Times New Roman" w:eastAsia="Times New Roman" w:hAnsi="Times New Roman"/>
          <w:sz w:val="24"/>
          <w:szCs w:val="24"/>
        </w:rPr>
        <w:t xml:space="preserve"> Seventy-seven students (17.9% of the cohort) have NULL consent status because they completed the assessment before the research consent screen was deployed. No student actively opted out (see Section 5.3). We exclude the NULL cohort from all research analyses per standard practice (absence of affirmative consent is treated as non-consent). A representativeness check (Section 5.3) shows the consented sample is similar to the full cohort on score distribution and classification distributions, so consent-related selection bias is unlikely. However, the reduction from 431 to 354 students slightly reduces statistical power for item-level analyses with small cell sizes.</w:t>
      </w:r>
    </w:p>
    <w:p>
      <w:pPr>
        <w:pStyle w:val="ListParagraph"/>
        <w:numPr>
          <w:ilvl w:val="0"/>
          <w:numId w:val="2"/>
        </w:numPr>
        <w:spacing w:line="360" w:after="100"/>
      </w:pPr>
      <w:r>
        <w:rPr>
          <w:rFonts w:ascii="Times New Roman" w:cs="Times New Roman" w:eastAsia="Times New Roman" w:hAnsi="Times New Roman"/>
          <w:b/>
          <w:bCs/>
          <w:sz w:val="24"/>
          <w:szCs w:val="24"/>
        </w:rPr>
        <w:t xml:space="preserve">Legacy submission types.</w:t>
      </w:r>
      <w:r>
        <w:rPr>
          <w:rFonts w:ascii="Times New Roman" w:cs="Times New Roman" w:eastAsia="Times New Roman" w:hAnsi="Times New Roman"/>
          <w:sz w:val="24"/>
          <w:szCs w:val="24"/>
        </w:rPr>
        <w:t xml:space="preserve"> Legacy submission types resulting from technical adjustments during the first days of the assessment window account for approximately 20% of submissions. These were reviewed and retained but may affect comparability for a subset of respondents.</w:t>
      </w:r>
    </w:p>
    <w:p>
      <w:pPr>
        <w:pStyle w:val="ListParagraph"/>
        <w:numPr>
          <w:ilvl w:val="0"/>
          <w:numId w:val="2"/>
        </w:numPr>
        <w:spacing w:line="360" w:after="100"/>
      </w:pPr>
      <w:r>
        <w:rPr>
          <w:rFonts w:ascii="Times New Roman" w:cs="Times New Roman" w:eastAsia="Times New Roman" w:hAnsi="Times New Roman"/>
          <w:b/>
          <w:bCs/>
          <w:sz w:val="24"/>
          <w:szCs w:val="24"/>
        </w:rPr>
        <w:t xml:space="preserve">Variant assignment mismatch.</w:t>
      </w:r>
      <w:r>
        <w:rPr>
          <w:rFonts w:ascii="Times New Roman" w:cs="Times New Roman" w:eastAsia="Times New Roman" w:hAnsi="Times New Roman"/>
          <w:sz w:val="24"/>
          <w:szCs w:val="24"/>
        </w:rPr>
        <w:t xml:space="preserve"> A software defect caused 40 mismatched SDM variant assignments across 36 students due to a stale anchor score synchronization issue. We identified and filtered the mismatched responses using an anchor_score and confidence cross-check. The bug was subsequently fixed, and the misconception taxonomy is unaffected because we verified that all analyzed responses correspond to correctly triggered variants.</w:t>
      </w:r>
    </w:p>
    <w:p>
      <w:pPr>
        <w:pStyle w:val="ListParagraph"/>
        <w:numPr>
          <w:ilvl w:val="0"/>
          <w:numId w:val="2"/>
        </w:numPr>
        <w:spacing w:line="360" w:after="100"/>
      </w:pPr>
      <w:r>
        <w:rPr>
          <w:rFonts w:ascii="Times New Roman" w:cs="Times New Roman" w:eastAsia="Times New Roman" w:hAnsi="Times New Roman"/>
          <w:b/>
          <w:bCs/>
          <w:sz w:val="24"/>
          <w:szCs w:val="24"/>
        </w:rPr>
        <w:t xml:space="preserve">Default consent selection.</w:t>
      </w:r>
      <w:r>
        <w:rPr>
          <w:rFonts w:ascii="Times New Roman" w:cs="Times New Roman" w:eastAsia="Times New Roman" w:hAnsi="Times New Roman"/>
          <w:sz w:val="24"/>
          <w:szCs w:val="24"/>
        </w:rPr>
        <w:t xml:space="preserve"> The research consent screen presented "Yes, I consent" as the default selection. While no student actively chose to decline (as noted in Section 5.3), the default-yes design may have inflated the consent rate through status quo bias. The consent rate (82.1%) should be interpreted with this limitation in mind. Paper 2 will use a forced active choice design with no default selection.</w:t>
      </w:r>
    </w:p>
    <w:p>
      <w:pPr>
        <w:pStyle w:val="Heading1"/>
        <w:pageBreakBefore/>
        <w:spacing w:before="480" w:after="240"/>
      </w:pPr>
      <w:r>
        <w:rPr>
          <w:rFonts w:ascii="Times New Roman" w:cs="Times New Roman" w:eastAsia="Times New Roman" w:hAnsi="Times New Roman"/>
          <w:sz w:val="24"/>
          <w:szCs w:val="24"/>
        </w:rPr>
        <w:t xml:space="preserve">9. Planned Validation Study (Paper 2 Protocol Preview)</w:t>
      </w:r>
    </w:p>
    <w:p>
      <w:pPr>
        <w:spacing w:line="360" w:after="200"/>
      </w:pPr>
      <w:r>
        <w:rPr>
          <w:rFonts w:ascii="Times New Roman" w:cs="Times New Roman" w:eastAsia="Times New Roman" w:hAnsi="Times New Roman"/>
          <w:b/>
          <w:bCs/>
          <w:sz w:val="24"/>
          <w:szCs w:val="24"/>
        </w:rPr>
        <w:t xml:space="preserve">Scope boundary.</w:t>
      </w:r>
      <w:r>
        <w:rPr>
          <w:rFonts w:ascii="Times New Roman" w:cs="Times New Roman" w:eastAsia="Times New Roman" w:hAnsi="Times New Roman"/>
          <w:sz w:val="24"/>
          <w:szCs w:val="24"/>
        </w:rPr>
        <w:t xml:space="preserve"> This independent study paper documents instrument and platform development and pilot operations. Confirmatory evaluation and publishable analyses are planned for a subsequent IRB-reviewed study. Nothing in this section should be read as asserting that IRB approval has been obtained or that the described analyses will necessarily be conducted.</w:t>
      </w:r>
    </w:p>
    <w:p>
      <w:pPr>
        <w:pStyle w:val="Heading2"/>
        <w:spacing w:before="360" w:after="180"/>
      </w:pPr>
      <w:r>
        <w:rPr>
          <w:rFonts w:ascii="Times New Roman" w:cs="Times New Roman" w:eastAsia="Times New Roman" w:hAnsi="Times New Roman"/>
          <w:sz w:val="24"/>
          <w:szCs w:val="24"/>
        </w:rPr>
        <w:t xml:space="preserve">9.1 How Paper 1 Informs the Planned Study</w:t>
      </w:r>
    </w:p>
    <w:p>
      <w:pPr>
        <w:spacing w:line="360" w:after="200"/>
      </w:pPr>
      <w:r>
        <w:rPr>
          <w:rFonts w:ascii="Times New Roman" w:cs="Times New Roman" w:eastAsia="Times New Roman" w:hAnsi="Times New Roman"/>
          <w:sz w:val="24"/>
          <w:szCs w:val="24"/>
        </w:rPr>
        <w:t xml:space="preserve">The pilot deployment reported in Sections 4--6 produced several outputs that directly shape the Paper 2 design:</w:t>
      </w:r>
    </w:p>
    <w:p>
      <w:pPr>
        <w:pStyle w:val="ListParagraph"/>
        <w:numPr>
          <w:ilvl w:val="0"/>
          <w:numId w:val="3"/>
        </w:numPr>
        <w:spacing w:line="360" w:after="100"/>
      </w:pPr>
      <w:r>
        <w:rPr>
          <w:rFonts w:ascii="Times New Roman" w:cs="Times New Roman" w:eastAsia="Times New Roman" w:hAnsi="Times New Roman"/>
          <w:b/>
          <w:bCs/>
          <w:sz w:val="24"/>
          <w:szCs w:val="24"/>
        </w:rPr>
        <w:t xml:space="preserve">Instrument revision targets.</w:t>
      </w:r>
      <w:r>
        <w:rPr>
          <w:rFonts w:ascii="Times New Roman" w:cs="Times New Roman" w:eastAsia="Times New Roman" w:hAnsi="Times New Roman"/>
          <w:sz w:val="24"/>
          <w:szCs w:val="24"/>
        </w:rPr>
        <w:t xml:space="preserve"> The SDM-10 diagnostic findings identified items requiring revision before the post-assessment. Q36 (81% selection error) will be rewritten in multiple-choice format; Q10's "which is FALSE" framing will be reconsidered; and items with high guess rates (Q32, Q29) will receive improved distractor sets. These revisions will be completed before the post-assessment window.</w:t>
      </w:r>
    </w:p>
    <w:p>
      <w:pPr>
        <w:pStyle w:val="ListParagraph"/>
        <w:numPr>
          <w:ilvl w:val="0"/>
          <w:numId w:val="3"/>
        </w:numPr>
        <w:spacing w:line="360" w:after="100"/>
      </w:pPr>
      <w:r>
        <w:rPr>
          <w:rFonts w:ascii="Times New Roman" w:cs="Times New Roman" w:eastAsia="Times New Roman" w:hAnsi="Times New Roman"/>
          <w:b/>
          <w:bCs/>
          <w:sz w:val="24"/>
          <w:szCs w:val="24"/>
        </w:rPr>
        <w:t xml:space="preserve">Misconception taxonomy as outcome framework.</w:t>
      </w:r>
      <w:r>
        <w:rPr>
          <w:rFonts w:ascii="Times New Roman" w:cs="Times New Roman" w:eastAsia="Times New Roman" w:hAnsi="Times New Roman"/>
          <w:sz w:val="24"/>
          <w:szCs w:val="24"/>
        </w:rPr>
        <w:t xml:space="preserve"> The 62-entry misconception taxonomy (Appendix C) provides a pre-registered coding scheme for the post-assessment open-ended responses, enabling direct pre-post comparison of misconception prevalence within specific clusters.</w:t>
      </w:r>
    </w:p>
    <w:p>
      <w:pPr>
        <w:pStyle w:val="ListParagraph"/>
        <w:numPr>
          <w:ilvl w:val="0"/>
          <w:numId w:val="3"/>
        </w:numPr>
        <w:spacing w:line="360" w:after="100"/>
      </w:pPr>
      <w:r>
        <w:rPr>
          <w:rFonts w:ascii="Times New Roman" w:cs="Times New Roman" w:eastAsia="Times New Roman" w:hAnsi="Times New Roman"/>
          <w:b/>
          <w:bCs/>
          <w:sz w:val="24"/>
          <w:szCs w:val="24"/>
        </w:rPr>
        <w:t xml:space="preserve">Governance and consent infrastructure.</w:t>
      </w:r>
      <w:r>
        <w:rPr>
          <w:rFonts w:ascii="Times New Roman" w:cs="Times New Roman" w:eastAsia="Times New Roman" w:hAnsi="Times New Roman"/>
          <w:sz w:val="24"/>
          <w:szCs w:val="24"/>
        </w:rPr>
        <w:t xml:space="preserve"> The consent mechanics, data minimization architecture, and privacy-preserving authentication documented in Section 5 will carry forward unchanged, ensuring consistent data governance across both assessments.</w:t>
      </w:r>
    </w:p>
    <w:p>
      <w:pPr>
        <w:pStyle w:val="ListParagraph"/>
        <w:numPr>
          <w:ilvl w:val="0"/>
          <w:numId w:val="3"/>
        </w:numPr>
        <w:spacing w:line="360" w:after="100"/>
      </w:pPr>
      <w:r>
        <w:rPr>
          <w:rFonts w:ascii="Times New Roman" w:cs="Times New Roman" w:eastAsia="Times New Roman" w:hAnsi="Times New Roman"/>
          <w:b/>
          <w:bCs/>
          <w:sz w:val="24"/>
          <w:szCs w:val="24"/>
        </w:rPr>
        <w:t xml:space="preserve">Baseline coverage estimates.</w:t>
      </w:r>
      <w:r>
        <w:rPr>
          <w:rFonts w:ascii="Times New Roman" w:cs="Times New Roman" w:eastAsia="Times New Roman" w:hAnsi="Times New Roman"/>
          <w:sz w:val="24"/>
          <w:szCs w:val="24"/>
        </w:rPr>
        <w:t xml:space="preserve"> Item-level SDM coverage rates (Table 4.5) inform the statistical power available for pre-post misconception comparisons. Items with coverage below 30% may require alternative analysis strategies.</w:t>
      </w:r>
    </w:p>
    <w:p>
      <w:pPr>
        <w:pStyle w:val="Heading2"/>
        <w:spacing w:before="360" w:after="180"/>
      </w:pPr>
      <w:r>
        <w:rPr>
          <w:rFonts w:ascii="Times New Roman" w:cs="Times New Roman" w:eastAsia="Times New Roman" w:hAnsi="Times New Roman"/>
          <w:sz w:val="24"/>
          <w:szCs w:val="24"/>
        </w:rPr>
        <w:t xml:space="preserve">9.2 Planned Study Design</w:t>
      </w:r>
    </w:p>
    <w:p>
      <w:pPr>
        <w:spacing w:line="360" w:after="200"/>
      </w:pPr>
      <w:r>
        <w:rPr>
          <w:rFonts w:ascii="Times New Roman" w:cs="Times New Roman" w:eastAsia="Times New Roman" w:hAnsi="Times New Roman"/>
          <w:sz w:val="24"/>
          <w:szCs w:val="24"/>
        </w:rPr>
        <w:t xml:space="preserve">We plan to submit an IRB application to Loyola University Chicago to evaluate the association between QUIN 102 instruction and changes in student financial literacy. If approved, the following analyses are planned:</w:t>
      </w:r>
    </w:p>
    <w:p>
      <w:pPr>
        <w:pStyle w:val="ListParagraph"/>
        <w:numPr>
          <w:ilvl w:val="0"/>
          <w:numId w:val="2"/>
        </w:numPr>
        <w:spacing w:line="360" w:after="100"/>
      </w:pPr>
      <w:r>
        <w:rPr>
          <w:rFonts w:ascii="Times New Roman" w:cs="Times New Roman" w:eastAsia="Times New Roman" w:hAnsi="Times New Roman"/>
          <w:b/>
          <w:bCs/>
          <w:sz w:val="24"/>
          <w:szCs w:val="24"/>
        </w:rPr>
        <w:t xml:space="preserve">Post-course assessment administration.</w:t>
      </w:r>
      <w:r>
        <w:rPr>
          <w:rFonts w:ascii="Times New Roman" w:cs="Times New Roman" w:eastAsia="Times New Roman" w:hAnsi="Times New Roman"/>
          <w:sz w:val="24"/>
          <w:szCs w:val="24"/>
        </w:rPr>
        <w:t xml:space="preserve"> The post-course assessment will be administered during the last week of the Spring 2026 semester, using the same 40-item anchor assessment and SDM-10 module. If approved, the post-assessment will include an IRB-reviewed consent process for human-subjects research.</w:t>
      </w:r>
    </w:p>
    <w:p>
      <w:pPr>
        <w:pStyle w:val="ListParagraph"/>
        <w:numPr>
          <w:ilvl w:val="0"/>
          <w:numId w:val="2"/>
        </w:numPr>
        <w:spacing w:line="360" w:after="100"/>
      </w:pPr>
      <w:r>
        <w:rPr>
          <w:rFonts w:ascii="Times New Roman" w:cs="Times New Roman" w:eastAsia="Times New Roman" w:hAnsi="Times New Roman"/>
          <w:b/>
          <w:bCs/>
          <w:sz w:val="24"/>
          <w:szCs w:val="24"/>
        </w:rPr>
        <w:t xml:space="preserve">Pre-post paired analyses.</w:t>
      </w:r>
      <w:r>
        <w:rPr>
          <w:rFonts w:ascii="Times New Roman" w:cs="Times New Roman" w:eastAsia="Times New Roman" w:hAnsi="Times New Roman"/>
          <w:sz w:val="24"/>
          <w:szCs w:val="24"/>
        </w:rPr>
        <w:t xml:space="preserve"> We will compute learning gains as the difference between post-course and pre-course scores for each student, both overall and by domain. Paired t-tests (or nonparametric equivalents) will assess the statistical significance of mean gains, and we will report standardized effect sizes (within-student Cohen's d).</w:t>
      </w:r>
    </w:p>
    <w:p>
      <w:pPr>
        <w:pStyle w:val="ListParagraph"/>
        <w:numPr>
          <w:ilvl w:val="0"/>
          <w:numId w:val="2"/>
        </w:numPr>
        <w:spacing w:line="360" w:after="100"/>
      </w:pPr>
      <w:r>
        <w:rPr>
          <w:rFonts w:ascii="Times New Roman" w:cs="Times New Roman" w:eastAsia="Times New Roman" w:hAnsi="Times New Roman"/>
          <w:b/>
          <w:bCs/>
          <w:sz w:val="24"/>
          <w:szCs w:val="24"/>
        </w:rPr>
        <w:t xml:space="preserve">Multivariable regression.</w:t>
      </w:r>
      <w:r>
        <w:rPr>
          <w:rFonts w:ascii="Times New Roman" w:cs="Times New Roman" w:eastAsia="Times New Roman" w:hAnsi="Times New Roman"/>
          <w:sz w:val="24"/>
          <w:szCs w:val="24"/>
        </w:rPr>
        <w:t xml:space="preserve"> We will model heterogeneity in learning gains as a function of baseline covariates, including demographics, financial background, work status, financial stress, self-rated knowledge, prior product experience, and preference-item responses (Q15--Q28). Separate domain-specific models will reveal whether the predictors of learning gains differ across borrowing, investment, and risk management.</w:t>
      </w:r>
    </w:p>
    <w:p>
      <w:pPr>
        <w:pStyle w:val="ListParagraph"/>
        <w:numPr>
          <w:ilvl w:val="0"/>
          <w:numId w:val="2"/>
        </w:numPr>
        <w:spacing w:line="360" w:after="100"/>
      </w:pPr>
      <w:r>
        <w:rPr>
          <w:rFonts w:ascii="Times New Roman" w:cs="Times New Roman" w:eastAsia="Times New Roman" w:hAnsi="Times New Roman"/>
          <w:b/>
          <w:bCs/>
          <w:sz w:val="24"/>
          <w:szCs w:val="24"/>
        </w:rPr>
        <w:t xml:space="preserve">Psychometric validation.</w:t>
      </w:r>
      <w:r>
        <w:rPr>
          <w:rFonts w:ascii="Times New Roman" w:cs="Times New Roman" w:eastAsia="Times New Roman" w:hAnsi="Times New Roman"/>
          <w:sz w:val="24"/>
          <w:szCs w:val="24"/>
        </w:rPr>
        <w:t xml:space="preserve"> We will run Exploratory Factor Analysis to assess dimensionality within and across domains, use Cronbach's alpha to evaluate internal consistency, and examine item-level statistics to identify items for refinement in future administrations.</w:t>
      </w:r>
    </w:p>
    <w:p>
      <w:pPr>
        <w:pStyle w:val="ListParagraph"/>
        <w:numPr>
          <w:ilvl w:val="0"/>
          <w:numId w:val="2"/>
        </w:numPr>
        <w:spacing w:line="360" w:after="100"/>
      </w:pPr>
      <w:r>
        <w:rPr>
          <w:rFonts w:ascii="Times New Roman" w:cs="Times New Roman" w:eastAsia="Times New Roman" w:hAnsi="Times New Roman"/>
          <w:b/>
          <w:bCs/>
          <w:sz w:val="24"/>
          <w:szCs w:val="24"/>
        </w:rPr>
        <w:t xml:space="preserve">Subgroup analyses.</w:t>
      </w:r>
      <w:r>
        <w:rPr>
          <w:rFonts w:ascii="Times New Roman" w:cs="Times New Roman" w:eastAsia="Times New Roman" w:hAnsi="Times New Roman"/>
          <w:sz w:val="24"/>
          <w:szCs w:val="24"/>
        </w:rPr>
        <w:t xml:space="preserve"> If IRB-approved, demographic and financial background subgroup comparisons (by gender, race/ethnicity, first-generation status, work experience, financial stress) will be reported with appropriate transparency practices for multiple comparisons.</w:t>
      </w:r>
    </w:p>
    <w:p>
      <w:pPr>
        <w:pStyle w:val="ListParagraph"/>
        <w:numPr>
          <w:ilvl w:val="0"/>
          <w:numId w:val="2"/>
        </w:numPr>
        <w:spacing w:line="360" w:after="100"/>
      </w:pPr>
      <w:r>
        <w:rPr>
          <w:rFonts w:ascii="Times New Roman" w:cs="Times New Roman" w:eastAsia="Times New Roman" w:hAnsi="Times New Roman"/>
          <w:b/>
          <w:bCs/>
          <w:sz w:val="24"/>
          <w:szCs w:val="24"/>
        </w:rPr>
        <w:t xml:space="preserve">SDM-10 pre-post comparison.</w:t>
      </w:r>
      <w:r>
        <w:rPr>
          <w:rFonts w:ascii="Times New Roman" w:cs="Times New Roman" w:eastAsia="Times New Roman" w:hAnsi="Times New Roman"/>
          <w:sz w:val="24"/>
          <w:szCs w:val="24"/>
        </w:rPr>
        <w:t xml:space="preserve"> Pre-post changes in misconception prevalence, selection error rates, and the distribution of three-way classifications will be analyzed to assess whether instruction reduces specific misconception clusters and improves the alignment between student knowledge and item responses. Paper 2 will pre-specify which misconception codes from the taxonomy are expected to change, based on QUIN 102 curriculum coverage.</w:t>
      </w:r>
    </w:p>
    <w:p>
      <w:pPr>
        <w:pStyle w:val="Heading2"/>
        <w:spacing w:before="360" w:after="180"/>
      </w:pPr>
      <w:r>
        <w:rPr>
          <w:rFonts w:ascii="Times New Roman" w:cs="Times New Roman" w:eastAsia="Times New Roman" w:hAnsi="Times New Roman"/>
          <w:sz w:val="24"/>
          <w:szCs w:val="24"/>
        </w:rPr>
        <w:t xml:space="preserve">9.3 Consent and Privacy</w:t>
      </w:r>
    </w:p>
    <w:p>
      <w:pPr>
        <w:spacing w:line="360" w:after="200"/>
      </w:pPr>
      <w:r>
        <w:rPr>
          <w:rFonts w:ascii="Times New Roman" w:cs="Times New Roman" w:eastAsia="Times New Roman" w:hAnsi="Times New Roman"/>
          <w:sz w:val="24"/>
          <w:szCs w:val="24"/>
        </w:rPr>
        <w:t xml:space="preserve">The publishable evaluation will be conducted only on IRB-consented data. The existing consent infrastructure (Section 5.3) separates instructional use from research use; this separation will be maintained in the post-assessment. All student data will remain de-identified using the one-way hashing architecture described in Section 5.2. No raw student identifiers will appear in any dataset or publication.</w:t>
      </w:r>
    </w:p>
    <w:p>
      <w:pPr>
        <w:spacing w:line="360" w:after="200"/>
      </w:pPr>
      <w:r>
        <w:rPr>
          <w:rFonts w:ascii="Times New Roman" w:cs="Times New Roman" w:eastAsia="Times New Roman" w:hAnsi="Times New Roman"/>
          <w:b/>
          <w:bCs/>
          <w:sz w:val="24"/>
          <w:szCs w:val="24"/>
        </w:rPr>
        <w:t xml:space="preserve">Suppression rules.</w:t>
      </w:r>
      <w:r>
        <w:rPr>
          <w:rFonts w:ascii="Times New Roman" w:cs="Times New Roman" w:eastAsia="Times New Roman" w:hAnsi="Times New Roman"/>
          <w:sz w:val="24"/>
          <w:szCs w:val="24"/>
        </w:rPr>
        <w:t xml:space="preserve"> To protect student privacy in subgroup analyses, Paper 2 will suppress any demographic cell with fewer than 10 observations. Intersectional cells (e.g., gender x race/ethnicity) that fall below this threshold will be reported only in aggregate or omitted. These thresholds follow standard practices for small-sample educational research and are consistent with a FERPA-aware design approach to de-identification.</w:t>
      </w:r>
    </w:p>
    <w:p>
      <w:pPr>
        <w:pStyle w:val="Heading2"/>
        <w:spacing w:before="360" w:after="180"/>
      </w:pPr>
      <w:r>
        <w:rPr>
          <w:rFonts w:ascii="Times New Roman" w:cs="Times New Roman" w:eastAsia="Times New Roman" w:hAnsi="Times New Roman"/>
          <w:sz w:val="24"/>
          <w:szCs w:val="24"/>
        </w:rPr>
        <w:t xml:space="preserve">9.4 Intended Use and Prohibited Use</w:t>
      </w:r>
    </w:p>
    <w:p>
      <w:pPr>
        <w:spacing w:line="360" w:after="200"/>
      </w:pPr>
      <w:r>
        <w:rPr>
          <w:rFonts w:ascii="Times New Roman" w:cs="Times New Roman" w:eastAsia="Times New Roman" w:hAnsi="Times New Roman"/>
          <w:sz w:val="24"/>
          <w:szCs w:val="24"/>
        </w:rPr>
        <w:t xml:space="preserve">The instrument and platform described in this paper are designed for educational assessment and learning outcome measurement within QUIN 102. The following uses are intended and supported:</w:t>
      </w:r>
    </w:p>
    <w:p>
      <w:pPr>
        <w:pStyle w:val="ListParagraph"/>
        <w:numPr>
          <w:ilvl w:val="0"/>
          <w:numId w:val="3"/>
        </w:numPr>
        <w:spacing w:line="360" w:after="100"/>
      </w:pPr>
      <w:r>
        <w:rPr>
          <w:rFonts w:ascii="Times New Roman" w:cs="Times New Roman" w:eastAsia="Times New Roman" w:hAnsi="Times New Roman"/>
          <w:sz w:val="24"/>
          <w:szCs w:val="24"/>
        </w:rPr>
        <w:t xml:space="preserve">Pre-post measurement of financial literacy knowledge gains</w:t>
      </w:r>
    </w:p>
    <w:p>
      <w:pPr>
        <w:pStyle w:val="ListParagraph"/>
        <w:numPr>
          <w:ilvl w:val="0"/>
          <w:numId w:val="3"/>
        </w:numPr>
        <w:spacing w:line="360" w:after="100"/>
      </w:pPr>
      <w:r>
        <w:rPr>
          <w:rFonts w:ascii="Times New Roman" w:cs="Times New Roman" w:eastAsia="Times New Roman" w:hAnsi="Times New Roman"/>
          <w:sz w:val="24"/>
          <w:szCs w:val="24"/>
        </w:rPr>
        <w:t xml:space="preserve">Identification of domain-specific misconceptions for instructional targeting</w:t>
      </w:r>
    </w:p>
    <w:p>
      <w:pPr>
        <w:pStyle w:val="ListParagraph"/>
        <w:numPr>
          <w:ilvl w:val="0"/>
          <w:numId w:val="3"/>
        </w:numPr>
        <w:spacing w:line="360" w:after="100"/>
      </w:pPr>
      <w:r>
        <w:rPr>
          <w:rFonts w:ascii="Times New Roman" w:cs="Times New Roman" w:eastAsia="Times New Roman" w:hAnsi="Times New Roman"/>
          <w:sz w:val="24"/>
          <w:szCs w:val="24"/>
        </w:rPr>
        <w:t xml:space="preserve">Adaptive diagnostic follow-up for students with confidence-accuracy misalignment</w:t>
      </w:r>
    </w:p>
    <w:p>
      <w:pPr>
        <w:spacing w:line="360" w:after="200"/>
      </w:pPr>
      <w:r>
        <w:rPr>
          <w:rFonts w:ascii="Times New Roman" w:cs="Times New Roman" w:eastAsia="Times New Roman" w:hAnsi="Times New Roman"/>
          <w:sz w:val="24"/>
          <w:szCs w:val="24"/>
        </w:rPr>
        <w:t xml:space="preserve">The following uses are explicitly outside the scope of this instrument and are not supported by the evidence presented:</w:t>
      </w:r>
    </w:p>
    <w:p>
      <w:pPr>
        <w:pStyle w:val="ListParagraph"/>
        <w:numPr>
          <w:ilvl w:val="0"/>
          <w:numId w:val="3"/>
        </w:numPr>
        <w:spacing w:line="360" w:after="100"/>
      </w:pPr>
      <w:r>
        <w:rPr>
          <w:rFonts w:ascii="Times New Roman" w:cs="Times New Roman" w:eastAsia="Times New Roman" w:hAnsi="Times New Roman"/>
          <w:sz w:val="24"/>
          <w:szCs w:val="24"/>
        </w:rPr>
        <w:t xml:space="preserve">Credit, lending, or financial eligibility decisions</w:t>
      </w:r>
    </w:p>
    <w:p>
      <w:pPr>
        <w:pStyle w:val="ListParagraph"/>
        <w:numPr>
          <w:ilvl w:val="0"/>
          <w:numId w:val="3"/>
        </w:numPr>
        <w:spacing w:line="360" w:after="100"/>
      </w:pPr>
      <w:r>
        <w:rPr>
          <w:rFonts w:ascii="Times New Roman" w:cs="Times New Roman" w:eastAsia="Times New Roman" w:hAnsi="Times New Roman"/>
          <w:sz w:val="24"/>
          <w:szCs w:val="24"/>
        </w:rPr>
        <w:t xml:space="preserve">Employment screening or hiring decisions</w:t>
      </w:r>
    </w:p>
    <w:p>
      <w:pPr>
        <w:pStyle w:val="ListParagraph"/>
        <w:numPr>
          <w:ilvl w:val="0"/>
          <w:numId w:val="3"/>
        </w:numPr>
        <w:spacing w:line="360" w:after="100"/>
      </w:pPr>
      <w:r>
        <w:rPr>
          <w:rFonts w:ascii="Times New Roman" w:cs="Times New Roman" w:eastAsia="Times New Roman" w:hAnsi="Times New Roman"/>
          <w:sz w:val="24"/>
          <w:szCs w:val="24"/>
        </w:rPr>
        <w:t xml:space="preserve">High-stakes individual assessment with consequences beyond course feedback</w:t>
      </w:r>
    </w:p>
    <w:p>
      <w:pPr>
        <w:pStyle w:val="ListParagraph"/>
        <w:numPr>
          <w:ilvl w:val="0"/>
          <w:numId w:val="3"/>
        </w:numPr>
        <w:spacing w:line="360" w:after="100"/>
      </w:pPr>
      <w:r>
        <w:rPr>
          <w:rFonts w:ascii="Times New Roman" w:cs="Times New Roman" w:eastAsia="Times New Roman" w:hAnsi="Times New Roman"/>
          <w:sz w:val="24"/>
          <w:szCs w:val="24"/>
        </w:rPr>
        <w:t xml:space="preserve">Population-level claims about financial literacy without appropriate sampling</w:t>
      </w:r>
    </w:p>
    <w:p>
      <w:pPr>
        <w:spacing w:line="360" w:after="200"/>
      </w:pPr>
      <w:r>
        <w:rPr>
          <w:rFonts w:ascii="Times New Roman" w:cs="Times New Roman" w:eastAsia="Times New Roman" w:hAnsi="Times New Roman"/>
          <w:sz w:val="24"/>
          <w:szCs w:val="24"/>
        </w:rPr>
        <w:t xml:space="preserve">Paper 2 will combine the pre-course baseline with post-course results, learning gains analysis, heterogeneity models, and psychometric validation into a comprehensive evaluation of QUIN 102's association with student financial literacy outcomes -- contingent on IRB approval and successful post-assessment administration.</w:t>
      </w:r>
    </w:p>
    <w:p>
      <w:pPr>
        <w:pStyle w:val="Heading1"/>
        <w:pageBreakBefore/>
        <w:spacing w:before="480" w:after="240"/>
      </w:pPr>
      <w:r>
        <w:rPr>
          <w:rFonts w:ascii="Times New Roman" w:cs="Times New Roman" w:eastAsia="Times New Roman" w:hAnsi="Times New Roman"/>
          <w:sz w:val="24"/>
          <w:szCs w:val="24"/>
        </w:rPr>
        <w:t xml:space="preserve">References</w:t>
      </w:r>
    </w:p>
    <w:p>
      <w:pPr>
        <w:spacing w:line="360" w:after="200"/>
      </w:pPr>
      <w:r>
        <w:rPr>
          <w:rFonts w:ascii="Times New Roman" w:cs="Times New Roman" w:eastAsia="Times New Roman" w:hAnsi="Times New Roman"/>
          <w:sz w:val="24"/>
          <w:szCs w:val="24"/>
        </w:rPr>
        <w:t xml:space="preserve">Akers, B., &amp; Chingos, M. M. (2014). </w:t>
      </w:r>
      <w:r>
        <w:rPr>
          <w:rFonts w:ascii="Times New Roman" w:cs="Times New Roman" w:eastAsia="Times New Roman" w:hAnsi="Times New Roman"/>
          <w:i/>
          <w:iCs/>
          <w:sz w:val="24"/>
          <w:szCs w:val="24"/>
        </w:rPr>
        <w:t xml:space="preserve">Are college students borrowing blindly?</w:t>
      </w:r>
      <w:r>
        <w:rPr>
          <w:rFonts w:ascii="Times New Roman" w:cs="Times New Roman" w:eastAsia="Times New Roman" w:hAnsi="Times New Roman"/>
          <w:sz w:val="24"/>
          <w:szCs w:val="24"/>
        </w:rPr>
        <w:t xml:space="preserve"> Brookings Institution.</w:t>
      </w:r>
    </w:p>
    <w:p>
      <w:pPr>
        <w:spacing w:line="360" w:after="200"/>
      </w:pPr>
      <w:r>
        <w:rPr>
          <w:rFonts w:ascii="Times New Roman" w:cs="Times New Roman" w:eastAsia="Times New Roman" w:hAnsi="Times New Roman"/>
          <w:sz w:val="24"/>
          <w:szCs w:val="24"/>
        </w:rPr>
        <w:t xml:space="preserve">Allgood, S., &amp; Walstad, W. B. (2016). The effects of perceived and actual financial literacy on financial behaviors. </w:t>
      </w:r>
      <w:r>
        <w:rPr>
          <w:rFonts w:ascii="Times New Roman" w:cs="Times New Roman" w:eastAsia="Times New Roman" w:hAnsi="Times New Roman"/>
          <w:i/>
          <w:iCs/>
          <w:sz w:val="24"/>
          <w:szCs w:val="24"/>
        </w:rPr>
        <w:t xml:space="preserve">Economic Inquiry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54</w:t>
      </w:r>
      <w:r>
        <w:rPr>
          <w:rFonts w:ascii="Times New Roman" w:cs="Times New Roman" w:eastAsia="Times New Roman" w:hAnsi="Times New Roman"/>
          <w:sz w:val="24"/>
          <w:szCs w:val="24"/>
        </w:rPr>
        <w:t xml:space="preserve">(1), 675--697.</w:t>
      </w:r>
    </w:p>
    <w:p>
      <w:pPr>
        <w:spacing w:line="360" w:after="200"/>
      </w:pPr>
      <w:r>
        <w:rPr>
          <w:rFonts w:ascii="Times New Roman" w:cs="Times New Roman" w:eastAsia="Times New Roman" w:hAnsi="Times New Roman"/>
          <w:sz w:val="24"/>
          <w:szCs w:val="24"/>
        </w:rPr>
        <w:t xml:space="preserve">Chen, H., &amp; Volpe, R. P. (1998). An analysis of personal financial literacy among college students. </w:t>
      </w:r>
      <w:r>
        <w:rPr>
          <w:rFonts w:ascii="Times New Roman" w:cs="Times New Roman" w:eastAsia="Times New Roman" w:hAnsi="Times New Roman"/>
          <w:i/>
          <w:iCs/>
          <w:sz w:val="24"/>
          <w:szCs w:val="24"/>
        </w:rPr>
        <w:t xml:space="preserve">Financial Services Review</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7</w:t>
      </w:r>
      <w:r>
        <w:rPr>
          <w:rFonts w:ascii="Times New Roman" w:cs="Times New Roman" w:eastAsia="Times New Roman" w:hAnsi="Times New Roman"/>
          <w:sz w:val="24"/>
          <w:szCs w:val="24"/>
        </w:rPr>
        <w:t xml:space="preserve">(2), 107--128.</w:t>
      </w:r>
    </w:p>
    <w:p>
      <w:pPr>
        <w:spacing w:line="360" w:after="200"/>
      </w:pPr>
      <w:r>
        <w:rPr>
          <w:rFonts w:ascii="Times New Roman" w:cs="Times New Roman" w:eastAsia="Times New Roman" w:hAnsi="Times New Roman"/>
          <w:sz w:val="24"/>
          <w:szCs w:val="24"/>
        </w:rPr>
        <w:t xml:space="preserve">Fernandes, D., Lynch, J. G., Jr., &amp; Netemeyer, R. G. (2014). Financial literacy, financial education, and downstream financial behaviors. </w:t>
      </w:r>
      <w:r>
        <w:rPr>
          <w:rFonts w:ascii="Times New Roman" w:cs="Times New Roman" w:eastAsia="Times New Roman" w:hAnsi="Times New Roman"/>
          <w:i/>
          <w:iCs/>
          <w:sz w:val="24"/>
          <w:szCs w:val="24"/>
        </w:rPr>
        <w:t xml:space="preserve">Management Science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60</w:t>
      </w:r>
      <w:r>
        <w:rPr>
          <w:rFonts w:ascii="Times New Roman" w:cs="Times New Roman" w:eastAsia="Times New Roman" w:hAnsi="Times New Roman"/>
          <w:sz w:val="24"/>
          <w:szCs w:val="24"/>
        </w:rPr>
        <w:t xml:space="preserve">(8), 1861--1883.</w:t>
      </w:r>
    </w:p>
    <w:p>
      <w:pPr>
        <w:spacing w:line="360" w:after="200"/>
      </w:pPr>
      <w:r>
        <w:rPr>
          <w:rFonts w:ascii="Times New Roman" w:cs="Times New Roman" w:eastAsia="Times New Roman" w:hAnsi="Times New Roman"/>
          <w:sz w:val="24"/>
          <w:szCs w:val="24"/>
        </w:rPr>
        <w:t xml:space="preserve">Flodén, J. (2025). Grading exams using large language models: A comparison between human and AI grading of exams in higher education using ChatGPT. </w:t>
      </w:r>
      <w:r>
        <w:rPr>
          <w:rFonts w:ascii="Times New Roman" w:cs="Times New Roman" w:eastAsia="Times New Roman" w:hAnsi="Times New Roman"/>
          <w:i/>
          <w:iCs/>
          <w:sz w:val="24"/>
          <w:szCs w:val="24"/>
        </w:rPr>
        <w:t xml:space="preserve">British Educational Research Journal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51</w:t>
      </w:r>
      <w:r>
        <w:rPr>
          <w:rFonts w:ascii="Times New Roman" w:cs="Times New Roman" w:eastAsia="Times New Roman" w:hAnsi="Times New Roman"/>
          <w:sz w:val="24"/>
          <w:szCs w:val="24"/>
        </w:rPr>
        <w:t xml:space="preserve">(1), 201--224.</w:t>
      </w:r>
    </w:p>
    <w:p>
      <w:pPr>
        <w:spacing w:line="360" w:after="200"/>
      </w:pPr>
      <w:r>
        <w:rPr>
          <w:rFonts w:ascii="Times New Roman" w:cs="Times New Roman" w:eastAsia="Times New Roman" w:hAnsi="Times New Roman"/>
          <w:sz w:val="24"/>
          <w:szCs w:val="24"/>
        </w:rPr>
        <w:t xml:space="preserve">Goyal, K., &amp; Kumar, S. (2021). Financial literacy: A systematic review and bibliometric analysis. </w:t>
      </w:r>
      <w:r>
        <w:rPr>
          <w:rFonts w:ascii="Times New Roman" w:cs="Times New Roman" w:eastAsia="Times New Roman" w:hAnsi="Times New Roman"/>
          <w:i/>
          <w:iCs/>
          <w:sz w:val="24"/>
          <w:szCs w:val="24"/>
        </w:rPr>
        <w:t xml:space="preserve">International Journal of Consumer Studies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45</w:t>
      </w:r>
      <w:r>
        <w:rPr>
          <w:rFonts w:ascii="Times New Roman" w:cs="Times New Roman" w:eastAsia="Times New Roman" w:hAnsi="Times New Roman"/>
          <w:sz w:val="24"/>
          <w:szCs w:val="24"/>
        </w:rPr>
        <w:t xml:space="preserve">(1), 80--105.</w:t>
      </w:r>
    </w:p>
    <w:p>
      <w:pPr>
        <w:spacing w:line="360" w:after="200"/>
      </w:pPr>
      <w:r>
        <w:rPr>
          <w:rFonts w:ascii="Times New Roman" w:cs="Times New Roman" w:eastAsia="Times New Roman" w:hAnsi="Times New Roman"/>
          <w:sz w:val="24"/>
          <w:szCs w:val="24"/>
        </w:rPr>
        <w:t xml:space="preserve">Hastings, J. S., Madrian, B. C., &amp; Skimmyhorn, W. L. (2013). Financial literacy, financial education, and economic outcomes. </w:t>
      </w:r>
      <w:r>
        <w:rPr>
          <w:rFonts w:ascii="Times New Roman" w:cs="Times New Roman" w:eastAsia="Times New Roman" w:hAnsi="Times New Roman"/>
          <w:i/>
          <w:iCs/>
          <w:sz w:val="24"/>
          <w:szCs w:val="24"/>
        </w:rPr>
        <w:t xml:space="preserve">Annual Review of Economics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w:t>
      </w:r>
      <w:r>
        <w:rPr>
          <w:rFonts w:ascii="Times New Roman" w:cs="Times New Roman" w:eastAsia="Times New Roman" w:hAnsi="Times New Roman"/>
          <w:sz w:val="24"/>
          <w:szCs w:val="24"/>
        </w:rPr>
        <w:t xml:space="preserve">, 347--373.</w:t>
      </w:r>
    </w:p>
    <w:p>
      <w:pPr>
        <w:spacing w:line="360" w:after="200"/>
      </w:pPr>
      <w:r>
        <w:rPr>
          <w:rFonts w:ascii="Times New Roman" w:cs="Times New Roman" w:eastAsia="Times New Roman" w:hAnsi="Times New Roman"/>
          <w:sz w:val="24"/>
          <w:szCs w:val="24"/>
        </w:rPr>
        <w:t xml:space="preserve">Huston, S. J. (2010). Measuring financial literacy. </w:t>
      </w:r>
      <w:r>
        <w:rPr>
          <w:rFonts w:ascii="Times New Roman" w:cs="Times New Roman" w:eastAsia="Times New Roman" w:hAnsi="Times New Roman"/>
          <w:i/>
          <w:iCs/>
          <w:sz w:val="24"/>
          <w:szCs w:val="24"/>
        </w:rPr>
        <w:t xml:space="preserve">Journal of Consumer Affairs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44</w:t>
      </w:r>
      <w:r>
        <w:rPr>
          <w:rFonts w:ascii="Times New Roman" w:cs="Times New Roman" w:eastAsia="Times New Roman" w:hAnsi="Times New Roman"/>
          <w:sz w:val="24"/>
          <w:szCs w:val="24"/>
        </w:rPr>
        <w:t xml:space="preserve">(2), 296--316.</w:t>
      </w:r>
    </w:p>
    <w:p>
      <w:pPr>
        <w:spacing w:line="360" w:after="200"/>
      </w:pPr>
      <w:r>
        <w:rPr>
          <w:rFonts w:ascii="Times New Roman" w:cs="Times New Roman" w:eastAsia="Times New Roman" w:hAnsi="Times New Roman"/>
          <w:sz w:val="24"/>
          <w:szCs w:val="24"/>
        </w:rPr>
        <w:t xml:space="preserve">Ipatova, E., &amp; Merheb, K. (2023). Re-examining the Dunning-Kruger effect: Objective vs. subjective financial literacy in the young and overconfident (SSRN Working Paper No. 4645450).</w:t>
      </w:r>
    </w:p>
    <w:p>
      <w:pPr>
        <w:spacing w:line="360" w:after="200"/>
      </w:pPr>
      <w:r>
        <w:rPr>
          <w:rFonts w:ascii="Times New Roman" w:cs="Times New Roman" w:eastAsia="Times New Roman" w:hAnsi="Times New Roman"/>
          <w:sz w:val="24"/>
          <w:szCs w:val="24"/>
        </w:rPr>
        <w:t xml:space="preserve">Kaiser, T., Lusardi, A., Menkhoff, L., &amp; Urban, C. (2022). Financial education affects financial knowledge and downstream behaviors. </w:t>
      </w:r>
      <w:r>
        <w:rPr>
          <w:rFonts w:ascii="Times New Roman" w:cs="Times New Roman" w:eastAsia="Times New Roman" w:hAnsi="Times New Roman"/>
          <w:i/>
          <w:iCs/>
          <w:sz w:val="24"/>
          <w:szCs w:val="24"/>
        </w:rPr>
        <w:t xml:space="preserve">Journal of Financial Economics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145</w:t>
      </w:r>
      <w:r>
        <w:rPr>
          <w:rFonts w:ascii="Times New Roman" w:cs="Times New Roman" w:eastAsia="Times New Roman" w:hAnsi="Times New Roman"/>
          <w:sz w:val="24"/>
          <w:szCs w:val="24"/>
        </w:rPr>
        <w:t xml:space="preserve">(2), 255--272.</w:t>
      </w:r>
    </w:p>
    <w:p>
      <w:pPr>
        <w:spacing w:line="360" w:after="200"/>
      </w:pPr>
      <w:r>
        <w:rPr>
          <w:rFonts w:ascii="Times New Roman" w:cs="Times New Roman" w:eastAsia="Times New Roman" w:hAnsi="Times New Roman"/>
          <w:sz w:val="24"/>
          <w:szCs w:val="24"/>
        </w:rPr>
        <w:t xml:space="preserve">Kramer, M. M. (2016). Financial literacy, confidence and financial advice seeking. </w:t>
      </w:r>
      <w:r>
        <w:rPr>
          <w:rFonts w:ascii="Times New Roman" w:cs="Times New Roman" w:eastAsia="Times New Roman" w:hAnsi="Times New Roman"/>
          <w:i/>
          <w:iCs/>
          <w:sz w:val="24"/>
          <w:szCs w:val="24"/>
        </w:rPr>
        <w:t xml:space="preserve">Journal of Economic Behavior &amp; Organization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131</w:t>
      </w:r>
      <w:r>
        <w:rPr>
          <w:rFonts w:ascii="Times New Roman" w:cs="Times New Roman" w:eastAsia="Times New Roman" w:hAnsi="Times New Roman"/>
          <w:sz w:val="24"/>
          <w:szCs w:val="24"/>
        </w:rPr>
        <w:t xml:space="preserve">(Part A), 198--217.</w:t>
      </w:r>
    </w:p>
    <w:p>
      <w:pPr>
        <w:spacing w:line="360" w:after="200"/>
      </w:pPr>
      <w:r>
        <w:rPr>
          <w:rFonts w:ascii="Times New Roman" w:cs="Times New Roman" w:eastAsia="Times New Roman" w:hAnsi="Times New Roman"/>
          <w:sz w:val="24"/>
          <w:szCs w:val="24"/>
        </w:rPr>
        <w:t xml:space="preserve">Lusardi, A. (2019). Financial literacy and the need for financial education: Evidence and implications. </w:t>
      </w:r>
      <w:r>
        <w:rPr>
          <w:rFonts w:ascii="Times New Roman" w:cs="Times New Roman" w:eastAsia="Times New Roman" w:hAnsi="Times New Roman"/>
          <w:i/>
          <w:iCs/>
          <w:sz w:val="24"/>
          <w:szCs w:val="24"/>
        </w:rPr>
        <w:t xml:space="preserve">Swiss Journal of Economics and Statistics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155</w:t>
      </w:r>
      <w:r>
        <w:rPr>
          <w:rFonts w:ascii="Times New Roman" w:cs="Times New Roman" w:eastAsia="Times New Roman" w:hAnsi="Times New Roman"/>
          <w:sz w:val="24"/>
          <w:szCs w:val="24"/>
        </w:rPr>
        <w:t xml:space="preserve">, Article 1.</w:t>
      </w:r>
    </w:p>
    <w:p>
      <w:pPr>
        <w:spacing w:line="360" w:after="200"/>
      </w:pPr>
      <w:r>
        <w:rPr>
          <w:rFonts w:ascii="Times New Roman" w:cs="Times New Roman" w:eastAsia="Times New Roman" w:hAnsi="Times New Roman"/>
          <w:sz w:val="24"/>
          <w:szCs w:val="24"/>
        </w:rPr>
        <w:t xml:space="preserve">Lusardi, A., &amp; Mitchell, O. S. (2014). The economic importance of financial literacy: Theory and evidence. </w:t>
      </w:r>
      <w:r>
        <w:rPr>
          <w:rFonts w:ascii="Times New Roman" w:cs="Times New Roman" w:eastAsia="Times New Roman" w:hAnsi="Times New Roman"/>
          <w:i/>
          <w:iCs/>
          <w:sz w:val="24"/>
          <w:szCs w:val="24"/>
        </w:rPr>
        <w:t xml:space="preserve">Journal of Economic Literature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52</w:t>
      </w:r>
      <w:r>
        <w:rPr>
          <w:rFonts w:ascii="Times New Roman" w:cs="Times New Roman" w:eastAsia="Times New Roman" w:hAnsi="Times New Roman"/>
          <w:sz w:val="24"/>
          <w:szCs w:val="24"/>
        </w:rPr>
        <w:t xml:space="preserve">(1), 5--44.</w:t>
      </w:r>
    </w:p>
    <w:p>
      <w:pPr>
        <w:spacing w:line="360" w:after="200"/>
      </w:pPr>
      <w:r>
        <w:rPr>
          <w:rFonts w:ascii="Times New Roman" w:cs="Times New Roman" w:eastAsia="Times New Roman" w:hAnsi="Times New Roman"/>
          <w:sz w:val="24"/>
          <w:szCs w:val="24"/>
        </w:rPr>
        <w:t xml:space="preserve">Lusardi, A., &amp; Tufano, P. (2015). Debt literacy, financial experiences, and overindebtedness. </w:t>
      </w:r>
      <w:r>
        <w:rPr>
          <w:rFonts w:ascii="Times New Roman" w:cs="Times New Roman" w:eastAsia="Times New Roman" w:hAnsi="Times New Roman"/>
          <w:i/>
          <w:iCs/>
          <w:sz w:val="24"/>
          <w:szCs w:val="24"/>
        </w:rPr>
        <w:t xml:space="preserve">Journal of Pension Economics and Finance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14</w:t>
      </w:r>
      <w:r>
        <w:rPr>
          <w:rFonts w:ascii="Times New Roman" w:cs="Times New Roman" w:eastAsia="Times New Roman" w:hAnsi="Times New Roman"/>
          <w:sz w:val="24"/>
          <w:szCs w:val="24"/>
        </w:rPr>
        <w:t xml:space="preserve">(4), 332--368.</w:t>
      </w:r>
    </w:p>
    <w:p>
      <w:pPr>
        <w:spacing w:line="360" w:after="200"/>
      </w:pPr>
      <w:r>
        <w:rPr>
          <w:rFonts w:ascii="Times New Roman" w:cs="Times New Roman" w:eastAsia="Times New Roman" w:hAnsi="Times New Roman"/>
          <w:sz w:val="24"/>
          <w:szCs w:val="24"/>
        </w:rPr>
        <w:t xml:space="preserve">Mandell, L., &amp; Klein, L. S. (2009). The impact of financial literacy education on subsequent financial behavior. </w:t>
      </w:r>
      <w:r>
        <w:rPr>
          <w:rFonts w:ascii="Times New Roman" w:cs="Times New Roman" w:eastAsia="Times New Roman" w:hAnsi="Times New Roman"/>
          <w:i/>
          <w:iCs/>
          <w:sz w:val="24"/>
          <w:szCs w:val="24"/>
        </w:rPr>
        <w:t xml:space="preserve">Journal of Financial Counseling and Planning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20</w:t>
      </w:r>
      <w:r>
        <w:rPr>
          <w:rFonts w:ascii="Times New Roman" w:cs="Times New Roman" w:eastAsia="Times New Roman" w:hAnsi="Times New Roman"/>
          <w:sz w:val="24"/>
          <w:szCs w:val="24"/>
        </w:rPr>
        <w:t xml:space="preserve">(1), 15--24.</w:t>
      </w:r>
    </w:p>
    <w:p>
      <w:pPr>
        <w:spacing w:line="360" w:after="200"/>
      </w:pPr>
      <w:r>
        <w:rPr>
          <w:rFonts w:ascii="Times New Roman" w:cs="Times New Roman" w:eastAsia="Times New Roman" w:hAnsi="Times New Roman"/>
          <w:sz w:val="24"/>
          <w:szCs w:val="24"/>
        </w:rPr>
        <w:t xml:space="preserve">Mizumoto, A., &amp; Eguchi, M. (2024). Large language models and automated essay scoring of English language learner writing: Insights into validity and reliability. </w:t>
      </w:r>
      <w:r>
        <w:rPr>
          <w:rFonts w:ascii="Times New Roman" w:cs="Times New Roman" w:eastAsia="Times New Roman" w:hAnsi="Times New Roman"/>
          <w:i/>
          <w:iCs/>
          <w:sz w:val="24"/>
          <w:szCs w:val="24"/>
        </w:rPr>
        <w:t xml:space="preserve">Computers and Education: Artificial Intelligence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w:t>
      </w:r>
      <w:r>
        <w:rPr>
          <w:rFonts w:ascii="Times New Roman" w:cs="Times New Roman" w:eastAsia="Times New Roman" w:hAnsi="Times New Roman"/>
          <w:sz w:val="24"/>
          <w:szCs w:val="24"/>
        </w:rPr>
        <w:t xml:space="preserve">, 100208.</w:t>
      </w:r>
    </w:p>
    <w:p>
      <w:pPr>
        <w:spacing w:line="360" w:after="200"/>
      </w:pPr>
      <w:r>
        <w:rPr>
          <w:rFonts w:ascii="Times New Roman" w:cs="Times New Roman" w:eastAsia="Times New Roman" w:hAnsi="Times New Roman"/>
          <w:sz w:val="24"/>
          <w:szCs w:val="24"/>
        </w:rPr>
        <w:t xml:space="preserve">OECD. (2022). </w:t>
      </w:r>
      <w:r>
        <w:rPr>
          <w:rFonts w:ascii="Times New Roman" w:cs="Times New Roman" w:eastAsia="Times New Roman" w:hAnsi="Times New Roman"/>
          <w:i/>
          <w:iCs/>
          <w:sz w:val="24"/>
          <w:szCs w:val="24"/>
        </w:rPr>
        <w:t xml:space="preserve">OECD/INFE toolkit for measuring financial literacy and financial inclusion 2022</w:t>
      </w:r>
      <w:r>
        <w:rPr>
          <w:rFonts w:ascii="Times New Roman" w:cs="Times New Roman" w:eastAsia="Times New Roman" w:hAnsi="Times New Roman"/>
          <w:sz w:val="24"/>
          <w:szCs w:val="24"/>
        </w:rPr>
        <w:t xml:space="preserve">. OECD Publishing.</w:t>
      </w:r>
    </w:p>
    <w:p>
      <w:pPr>
        <w:spacing w:line="360" w:after="200"/>
      </w:pPr>
      <w:r>
        <w:rPr>
          <w:rFonts w:ascii="Times New Roman" w:cs="Times New Roman" w:eastAsia="Times New Roman" w:hAnsi="Times New Roman"/>
          <w:sz w:val="24"/>
          <w:szCs w:val="24"/>
        </w:rPr>
        <w:t xml:space="preserve">Olivos, F., Kamelski, T., &amp; Ascui-Gac, S. (2025). Assessing instructor-AI cooperation for grading essay-type questions in an introductory sociology course. </w:t>
      </w:r>
      <w:r>
        <w:rPr>
          <w:rFonts w:ascii="Times New Roman" w:cs="Times New Roman" w:eastAsia="Times New Roman" w:hAnsi="Times New Roman"/>
          <w:i/>
          <w:iCs/>
          <w:sz w:val="24"/>
          <w:szCs w:val="24"/>
        </w:rPr>
        <w:t xml:space="preserve">Teaching Sociology</w:t>
      </w:r>
      <w:r>
        <w:rPr>
          <w:rFonts w:ascii="Times New Roman" w:cs="Times New Roman" w:eastAsia="Times New Roman" w:hAnsi="Times New Roman"/>
          <w:sz w:val="24"/>
          <w:szCs w:val="24"/>
        </w:rPr>
        <w:t xml:space="preserve">. Advance online publication. https://doi.org/10.1177/0092055X251397371</w:t>
      </w:r>
    </w:p>
    <w:p>
      <w:pPr>
        <w:spacing w:line="360" w:after="200"/>
      </w:pPr>
      <w:r>
        <w:rPr>
          <w:rFonts w:ascii="Times New Roman" w:cs="Times New Roman" w:eastAsia="Times New Roman" w:hAnsi="Times New Roman"/>
          <w:sz w:val="24"/>
          <w:szCs w:val="24"/>
        </w:rPr>
        <w:t xml:space="preserve">Porto, N., &amp; Xiao, J. J. (2016). Financial literacy overconfidence and financial advice seeking. </w:t>
      </w:r>
      <w:r>
        <w:rPr>
          <w:rFonts w:ascii="Times New Roman" w:cs="Times New Roman" w:eastAsia="Times New Roman" w:hAnsi="Times New Roman"/>
          <w:i/>
          <w:iCs/>
          <w:sz w:val="24"/>
          <w:szCs w:val="24"/>
        </w:rPr>
        <w:t xml:space="preserve">Journal of Financial Service Professionals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70</w:t>
      </w:r>
      <w:r>
        <w:rPr>
          <w:rFonts w:ascii="Times New Roman" w:cs="Times New Roman" w:eastAsia="Times New Roman" w:hAnsi="Times New Roman"/>
          <w:sz w:val="24"/>
          <w:szCs w:val="24"/>
        </w:rPr>
        <w:t xml:space="preserve">(4), 78--88.</w:t>
      </w:r>
    </w:p>
    <w:p>
      <w:pPr>
        <w:spacing w:line="360" w:after="200"/>
      </w:pPr>
      <w:r>
        <w:rPr>
          <w:rFonts w:ascii="Times New Roman" w:cs="Times New Roman" w:eastAsia="Times New Roman" w:hAnsi="Times New Roman"/>
          <w:sz w:val="24"/>
          <w:szCs w:val="24"/>
        </w:rPr>
        <w:t xml:space="preserve">Robb, C. A., &amp; Woodyard, A. (2011). Financial knowledge and best practice behavior. </w:t>
      </w:r>
      <w:r>
        <w:rPr>
          <w:rFonts w:ascii="Times New Roman" w:cs="Times New Roman" w:eastAsia="Times New Roman" w:hAnsi="Times New Roman"/>
          <w:i/>
          <w:iCs/>
          <w:sz w:val="24"/>
          <w:szCs w:val="24"/>
        </w:rPr>
        <w:t xml:space="preserve">Journal of Financial Counseling and Planning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22</w:t>
      </w:r>
      <w:r>
        <w:rPr>
          <w:rFonts w:ascii="Times New Roman" w:cs="Times New Roman" w:eastAsia="Times New Roman" w:hAnsi="Times New Roman"/>
          <w:sz w:val="24"/>
          <w:szCs w:val="24"/>
        </w:rPr>
        <w:t xml:space="preserve">(1), 60--70.</w:t>
      </w:r>
    </w:p>
    <w:p>
      <w:pPr>
        <w:spacing w:line="360" w:after="200"/>
      </w:pPr>
      <w:r>
        <w:rPr>
          <w:rFonts w:ascii="Times New Roman" w:cs="Times New Roman" w:eastAsia="Times New Roman" w:hAnsi="Times New Roman"/>
          <w:sz w:val="24"/>
          <w:szCs w:val="24"/>
        </w:rPr>
        <w:t xml:space="preserve">Stango, V., &amp; Zinman, J. (2009). Exponential growth bias and household finance. </w:t>
      </w:r>
      <w:r>
        <w:rPr>
          <w:rFonts w:ascii="Times New Roman" w:cs="Times New Roman" w:eastAsia="Times New Roman" w:hAnsi="Times New Roman"/>
          <w:i/>
          <w:iCs/>
          <w:sz w:val="24"/>
          <w:szCs w:val="24"/>
        </w:rPr>
        <w:t xml:space="preserve">Journal of Finance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64</w:t>
      </w:r>
      <w:r>
        <w:rPr>
          <w:rFonts w:ascii="Times New Roman" w:cs="Times New Roman" w:eastAsia="Times New Roman" w:hAnsi="Times New Roman"/>
          <w:sz w:val="24"/>
          <w:szCs w:val="24"/>
        </w:rPr>
        <w:t xml:space="preserve">(6), 2807--2849.</w:t>
      </w:r>
    </w:p>
    <w:p>
      <w:pPr>
        <w:spacing w:line="360" w:after="200"/>
      </w:pPr>
      <w:r>
        <w:rPr>
          <w:rFonts w:ascii="Times New Roman" w:cs="Times New Roman" w:eastAsia="Times New Roman" w:hAnsi="Times New Roman"/>
          <w:sz w:val="24"/>
          <w:szCs w:val="24"/>
        </w:rPr>
        <w:t xml:space="preserve">van Rooij, M., Lusardi, A., &amp; Alessie, R. (2011). Financial literacy and stock market participation. </w:t>
      </w:r>
      <w:r>
        <w:rPr>
          <w:rFonts w:ascii="Times New Roman" w:cs="Times New Roman" w:eastAsia="Times New Roman" w:hAnsi="Times New Roman"/>
          <w:i/>
          <w:iCs/>
          <w:sz w:val="24"/>
          <w:szCs w:val="24"/>
        </w:rPr>
        <w:t xml:space="preserve">Journal of Financial Economics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101</w:t>
      </w:r>
      <w:r>
        <w:rPr>
          <w:rFonts w:ascii="Times New Roman" w:cs="Times New Roman" w:eastAsia="Times New Roman" w:hAnsi="Times New Roman"/>
          <w:sz w:val="24"/>
          <w:szCs w:val="24"/>
        </w:rPr>
        <w:t xml:space="preserve">(2), 449--472.</w:t>
      </w:r>
    </w:p>
    <w:p>
      <w:pPr>
        <w:spacing w:line="360" w:after="200"/>
      </w:pPr>
      <w:r>
        <w:rPr>
          <w:rFonts w:ascii="Times New Roman" w:cs="Times New Roman" w:eastAsia="Times New Roman" w:hAnsi="Times New Roman"/>
          <w:sz w:val="24"/>
          <w:szCs w:val="24"/>
        </w:rPr>
        <w:t xml:space="preserve">Wagner, J., &amp; Walstad, W. B. (2019). The effects of financial education on short-term and long-term financial behaviors. </w:t>
      </w:r>
      <w:r>
        <w:rPr>
          <w:rFonts w:ascii="Times New Roman" w:cs="Times New Roman" w:eastAsia="Times New Roman" w:hAnsi="Times New Roman"/>
          <w:i/>
          <w:iCs/>
          <w:sz w:val="24"/>
          <w:szCs w:val="24"/>
        </w:rPr>
        <w:t xml:space="preserve">Journal of Consumer Affairs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53</w:t>
      </w:r>
      <w:r>
        <w:rPr>
          <w:rFonts w:ascii="Times New Roman" w:cs="Times New Roman" w:eastAsia="Times New Roman" w:hAnsi="Times New Roman"/>
          <w:sz w:val="24"/>
          <w:szCs w:val="24"/>
        </w:rPr>
        <w:t xml:space="preserve">(1), 234--259.</w:t>
      </w:r>
    </w:p>
    <w:p>
      <w:pPr>
        <w:spacing w:line="360" w:after="200"/>
      </w:pPr>
      <w:r>
        <w:rPr>
          <w:rFonts w:ascii="Times New Roman" w:cs="Times New Roman" w:eastAsia="Times New Roman" w:hAnsi="Times New Roman"/>
          <w:sz w:val="24"/>
          <w:szCs w:val="24"/>
        </w:rPr>
        <w:t xml:space="preserve">Willis, L. E. (2011). The financial education fallacy. </w:t>
      </w:r>
      <w:r>
        <w:rPr>
          <w:rFonts w:ascii="Times New Roman" w:cs="Times New Roman" w:eastAsia="Times New Roman" w:hAnsi="Times New Roman"/>
          <w:i/>
          <w:iCs/>
          <w:sz w:val="24"/>
          <w:szCs w:val="24"/>
        </w:rPr>
        <w:t xml:space="preserve">American Economic Review</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101</w:t>
      </w:r>
      <w:r>
        <w:rPr>
          <w:rFonts w:ascii="Times New Roman" w:cs="Times New Roman" w:eastAsia="Times New Roman" w:hAnsi="Times New Roman"/>
          <w:sz w:val="24"/>
          <w:szCs w:val="24"/>
        </w:rPr>
        <w:t xml:space="preserve">(3), 429--434.</w:t>
      </w:r>
    </w:p>
    <w:p>
      <w:pPr>
        <w:spacing w:line="360" w:after="200"/>
      </w:pPr>
      <w:r>
        <w:rPr>
          <w:rFonts w:ascii="Times New Roman" w:cs="Times New Roman" w:eastAsia="Times New Roman" w:hAnsi="Times New Roman"/>
          <w:sz w:val="24"/>
          <w:szCs w:val="24"/>
        </w:rPr>
        <w:t xml:space="preserve">Yavuz, F. (2025). Utilizing large language models for EFL essay grading: An examination of reliability and validity in rubric-based assessments. </w:t>
      </w:r>
      <w:r>
        <w:rPr>
          <w:rFonts w:ascii="Times New Roman" w:cs="Times New Roman" w:eastAsia="Times New Roman" w:hAnsi="Times New Roman"/>
          <w:i/>
          <w:iCs/>
          <w:sz w:val="24"/>
          <w:szCs w:val="24"/>
        </w:rPr>
        <w:t xml:space="preserve">British Journal of Educational Technology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56</w:t>
      </w:r>
      <w:r>
        <w:rPr>
          <w:rFonts w:ascii="Times New Roman" w:cs="Times New Roman" w:eastAsia="Times New Roman" w:hAnsi="Times New Roman"/>
          <w:sz w:val="24"/>
          <w:szCs w:val="24"/>
        </w:rPr>
        <w:t xml:space="preserve">(2), 487--506.</w:t>
      </w:r>
    </w:p>
    <w:p>
      <w:pPr>
        <w:pStyle w:val="Heading1"/>
        <w:pageBreakBefore/>
        <w:spacing w:before="480" w:after="240"/>
      </w:pPr>
      <w:r>
        <w:rPr>
          <w:rFonts w:ascii="Times New Roman" w:cs="Times New Roman" w:eastAsia="Times New Roman" w:hAnsi="Times New Roman"/>
          <w:sz w:val="24"/>
          <w:szCs w:val="24"/>
        </w:rPr>
        <w:t xml:space="preserve">Declaration of AI and AI-Assisted Technologies</w:t>
      </w:r>
    </w:p>
    <w:p>
      <w:pPr>
        <w:spacing w:line="360" w:after="200"/>
      </w:pPr>
      <w:r>
        <w:rPr>
          <w:rFonts w:ascii="Times New Roman" w:cs="Times New Roman" w:eastAsia="Times New Roman" w:hAnsi="Times New Roman"/>
          <w:sz w:val="24"/>
          <w:szCs w:val="24"/>
        </w:rPr>
        <w:t xml:space="preserve">This study employed AI tools in three capacities, disclosed here in accordance with current best-practice guidelines for transparency in academic publishing.</w:t>
      </w:r>
    </w:p>
    <w:p>
      <w:pPr>
        <w:pStyle w:val="ListParagraph"/>
        <w:numPr>
          <w:ilvl w:val="0"/>
          <w:numId w:val="2"/>
        </w:numPr>
        <w:spacing w:line="360" w:after="100"/>
      </w:pPr>
      <w:r>
        <w:rPr>
          <w:rFonts w:ascii="Times New Roman" w:cs="Times New Roman" w:eastAsia="Times New Roman" w:hAnsi="Times New Roman"/>
          <w:b/>
          <w:bCs/>
          <w:sz w:val="24"/>
          <w:szCs w:val="24"/>
        </w:rPr>
        <w:t xml:space="preserve">Assessment platform development.</w:t>
      </w:r>
      <w:r>
        <w:rPr>
          <w:rFonts w:ascii="Times New Roman" w:cs="Times New Roman" w:eastAsia="Times New Roman" w:hAnsi="Times New Roman"/>
          <w:sz w:val="24"/>
          <w:szCs w:val="24"/>
        </w:rPr>
        <w:t xml:space="preserve"> AI-assisted coding tools (GitHub Copilot, Claude Code) were used during development of the web-based assessment platform to accelerate implementation of the user interface, data collection logic, and adaptive routing algorithm. All platform functionality was independently tested and validated by the research team prior to deployment. The complete source code is publicly available for inspection in the project repository (Bolivard, 2026).</w:t>
      </w:r>
    </w:p>
    <w:p>
      <w:pPr>
        <w:pStyle w:val="ListParagraph"/>
        <w:numPr>
          <w:ilvl w:val="0"/>
          <w:numId w:val="2"/>
        </w:numPr>
        <w:spacing w:line="360" w:after="100"/>
      </w:pPr>
      <w:r>
        <w:rPr>
          <w:rFonts w:ascii="Times New Roman" w:cs="Times New Roman" w:eastAsia="Times New Roman" w:hAnsi="Times New Roman"/>
          <w:b/>
          <w:bCs/>
          <w:sz w:val="24"/>
          <w:szCs w:val="24"/>
        </w:rPr>
        <w:t xml:space="preserve">Open-ended response scoring.</w:t>
      </w:r>
      <w:r>
        <w:rPr>
          <w:rFonts w:ascii="Times New Roman" w:cs="Times New Roman" w:eastAsia="Times New Roman" w:hAnsi="Times New Roman"/>
          <w:sz w:val="24"/>
          <w:szCs w:val="24"/>
        </w:rPr>
        <w:t xml:space="preserve"> GPT-4.1 (OpenAI), accessed via the OpenRouter API, served as the automated scoring engine for classifying open-ended student responses into the three-way taxonomy (misconception, knowledge gap, selection error). The model was selected from among 11 candidate LLMs through a multi-model concordance protocol (Appendix D). The scoring rubric, item-specific prompts, misconception taxonomy, and calibration examples were developed entirely by the research team based on manual analysis of student responses. Low-confidence classifications were flagged for human adjudication by the course instructor. This methodological use of LLM-based scoring follows established practices in educational assessment (Mizumoto &amp; Eguchi, 2024; Yavuz, 2025) and is detailed in Section 4.3.</w:t>
      </w:r>
    </w:p>
    <w:p>
      <w:pPr>
        <w:pStyle w:val="ListParagraph"/>
        <w:numPr>
          <w:ilvl w:val="0"/>
          <w:numId w:val="2"/>
        </w:numPr>
        <w:spacing w:line="360" w:after="100"/>
      </w:pPr>
      <w:r>
        <w:rPr>
          <w:rFonts w:ascii="Times New Roman" w:cs="Times New Roman" w:eastAsia="Times New Roman" w:hAnsi="Times New Roman"/>
          <w:b/>
          <w:bCs/>
          <w:sz w:val="24"/>
          <w:szCs w:val="24"/>
        </w:rPr>
        <w:t xml:space="preserve">Manuscript preparation.</w:t>
      </w:r>
      <w:r>
        <w:rPr>
          <w:rFonts w:ascii="Times New Roman" w:cs="Times New Roman" w:eastAsia="Times New Roman" w:hAnsi="Times New Roman"/>
          <w:sz w:val="24"/>
          <w:szCs w:val="24"/>
        </w:rPr>
        <w:t xml:space="preserve"> Generative AI tools assisted with drafting, editing, and formatting portions of this manuscript. All content was reviewed, revised, and verified by the authors, who take full responsibility for the accuracy and integrity of the publication.</w:t>
      </w:r>
    </w:p>
    <w:p>
      <w:pPr>
        <w:pStyle w:val="Heading1"/>
        <w:pageBreakBefore/>
        <w:spacing w:before="480" w:after="240"/>
      </w:pPr>
      <w:r>
        <w:rPr>
          <w:rFonts w:ascii="Times New Roman" w:cs="Times New Roman" w:eastAsia="Times New Roman" w:hAnsi="Times New Roman"/>
          <w:sz w:val="24"/>
          <w:szCs w:val="24"/>
        </w:rPr>
        <w:t xml:space="preserve">Appendix A: SDM-10 Selection Algorithm and Burden Controls</w:t>
      </w:r>
    </w:p>
    <w:p>
      <w:pPr>
        <w:pStyle w:val="Heading2"/>
        <w:spacing w:before="360" w:after="180"/>
      </w:pPr>
      <w:r>
        <w:rPr>
          <w:rFonts w:ascii="Times New Roman" w:cs="Times New Roman" w:eastAsia="Times New Roman" w:hAnsi="Times New Roman"/>
          <w:sz w:val="24"/>
          <w:szCs w:val="24"/>
        </w:rPr>
        <w:t xml:space="preserve">Table A.1: SDM-10 Selection and Burden Controls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4680"/>
        <w:gridCol w:w="4680"/>
      </w:tblGrid>
      <w:tr>
        <w:trPr>
          <w:tblHeader/>
        </w:trPr>
        <w:tc>
          <w:tcPr>
            <w:tcW w:type="dxa" w:w="468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Control</w:t>
            </w:r>
          </w:p>
        </w:tc>
        <w:tc>
          <w:tcPr>
            <w:tcW w:type="dxa" w:w="468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SDM size</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Target 10 items after the 40 anchor questions (5--10 delivered depending on available high-Need subcategories)</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Selection basis</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Ranked by Need score (0--5) at subcategory level</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Domain balance</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At least 2 items per domain (borrowing/credit, investment, risk management)</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Subcategory cap</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Max 2 SDM items per subcategory</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Open-ended cap</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Max 3 open-ended items per student</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Format fallback</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When open-ended cap reached: Open_Diagnose → Lower_MCQ, Open_Confirm → Same_MCQ</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Item source</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Pre-written 156-variant item bank only; no generated questions</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Grading</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SDM-10 is diagnostic only; grade from 40 anchors only</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Primary outcomes</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RQ1/RQ2 use 26 anchor knowledge items; SDM-10 is secondary diagnostic output</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A.2: Need Score Mapping (Correctness x Confidence x Format)</w:t>
      </w:r>
    </w:p>
    <w:p>
      <w:pPr>
        <w:spacing w:line="360" w:after="200"/>
      </w:pPr>
      <w:r>
        <w:rPr>
          <w:rFonts w:ascii="Times New Roman" w:cs="Times New Roman" w:eastAsia="Times New Roman" w:hAnsi="Times New Roman"/>
          <w:sz w:val="24"/>
          <w:szCs w:val="24"/>
        </w:rPr>
        <w:t xml:space="preserve">The Need score quantifies residual uncertainty about a student's understanding in each subcategory. Higher values indicate greater need for diagnostic follow-up. The format-aware adjustment reflects differential guessing probability (50% for True/False vs. ~25% for MCQ).</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Confidence</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Correct (MCQ)</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Correct (T/F)</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Incorrect (MCQ)</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Incorrect (T/F)</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 (Low)</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 (Mid)</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 (High)</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A.3: Variant Type Assignment Rules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Anchor Pattern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Variant Type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Format</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Diagnostic Goal</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Incorrect + High confidence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Open_Diagnose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Open-ended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Surface and classify misconception</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Incorrect + Mid confidence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Lower_MCQ</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Multiple choice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Test foundational understanding</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Incorrect + Low confidence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Lower_TF</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True/False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 basic concept recognition</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 Low confidence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Open_Confirm</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Open-ended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Verify understanding vs. lucky guess</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 Mid confidence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Same_MCQ</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Multiple choice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 at parallel difficulty</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 High confidence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Higher_MCQ</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Multiple choice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Probe deeper application</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A.4: Three-Phase Selection Algorithm</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Phase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Purpose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Logic</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Phase 1: Domain minimums</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Ensure coverage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 top-Need item from each domain until each has &gt;= 2 items</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Phase 2: Need-based filling</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Maximize diagnostic value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Fill remaining slots in descending Need order with 5-level tiebreaker</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Phase 3: Mastery fallback</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Avoid empty slots</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If fewer than 10 subcategories have Need &gt; 0, add mastery-probing items from strongest subcategories</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A.5: Tiebreaker Hierarchy (When Need Scores Are Equal)</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Priority</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Criterion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Domain deficit</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Favor domain with fewer items already selected</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Format priority</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True/False prioritized over MCQ (reduces guessing)</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Subcategory spread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Max 2 items per subcategory</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Domain order</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 Investment → Risk Management</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Seeded random</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Deterministic tie resolution using student hash</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A.6: Three-Way Classification Decision Tree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Step</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Condition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Blank, "I don't know," or too short to interpret?</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Knowledge gap</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reasoning despite wrong anchor answer?</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Selection error</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Student self-corrects in explanation?</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Selection error</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Specific wrong mental model identified?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Misconception (assign Layer 1 + Layer 2 codes)</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Vague reasoning, no identifiable pattern?</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Knowledge gap</w:t>
            </w:r>
          </w:p>
        </w:tc>
      </w:tr>
    </w:tbl>
    <w:p>
      <w:pPr>
        <w:spacing w:after="200"/>
      </w:pPr>
    </w:p>
    <w:p>
      <w:pPr>
        <w:pStyle w:val="Heading1"/>
        <w:pageBreakBefore/>
        <w:spacing w:before="480" w:after="240"/>
      </w:pPr>
      <w:r>
        <w:rPr>
          <w:rFonts w:ascii="Times New Roman" w:cs="Times New Roman" w:eastAsia="Times New Roman" w:hAnsi="Times New Roman"/>
          <w:sz w:val="24"/>
          <w:szCs w:val="24"/>
        </w:rPr>
        <w:t xml:space="preserve">Appendix B: Assessment Items (Full Question Bank)</w:t>
      </w:r>
    </w:p>
    <w:p>
      <w:pPr>
        <w:pStyle w:val="Heading2"/>
        <w:spacing w:before="360" w:after="180"/>
      </w:pPr>
      <w:r>
        <w:rPr>
          <w:rFonts w:ascii="Times New Roman" w:cs="Times New Roman" w:eastAsia="Times New Roman" w:hAnsi="Times New Roman"/>
          <w:sz w:val="24"/>
          <w:szCs w:val="24"/>
        </w:rPr>
        <w:t xml:space="preserve">Table B.1: Assessment Questions with Categories and Subcategories</w:t>
      </w:r>
    </w:p>
    <w:p>
      <w:pPr>
        <w:spacing w:line="360" w:after="200"/>
      </w:pPr>
      <w:r>
        <w:rPr>
          <w:rFonts w:ascii="Times New Roman" w:cs="Times New Roman" w:eastAsia="Times New Roman" w:hAnsi="Times New Roman"/>
          <w:sz w:val="24"/>
          <w:szCs w:val="24"/>
        </w:rPr>
        <w:t xml:space="preserve">Q15--Q28 are preference items (unscored).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Category</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Subcategory</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Count</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Q#</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Scored</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Baseline Covariates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Demographic Characteristics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B1--B5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Baseline Covariates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Financial Background &amp; Context</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B6--B10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Baseline Covariates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Debt status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B11--B13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Compound Interest</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Borrowing/Mortgages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 Q6, Q7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Borrowing/Interest</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Saving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Earning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Q9</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Borrowing/Credit</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Diversification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Q11, Q14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Q12, Q13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Allocation Preference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Loss Aversion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Perception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Social Influence and Herding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Retirement Risk Planning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Q19</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Emotional Response to Loss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Decision Process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Confidence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Attitude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Reaction to Underperformance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Definition of Success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Downside Awareness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Preference in Income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Scam Skepticism</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Investing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Q29, Q30, Q31, Q32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Basic Probability -- Percentage to Frequency</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Investment Risk -- Diversification Effect</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Investment Risk -- Risk-Return Relationship</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Management -- Diversification Principle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Management -- Insurance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Investment Risk -- Inflation Risk</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Investment Risk -- Asset Class Risk</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Q39</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Crisis/Systemic Risk</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Q40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bl>
    <w:p>
      <w:pPr>
        <w:spacing w:after="200"/>
      </w:pPr>
    </w:p>
    <w:p>
      <w:pPr>
        <w:pStyle w:val="Heading2"/>
        <w:spacing w:before="360" w:after="180"/>
      </w:pPr>
      <w:r>
        <w:rPr>
          <w:rFonts w:ascii="Times New Roman" w:cs="Times New Roman" w:eastAsia="Times New Roman" w:hAnsi="Times New Roman"/>
          <w:sz w:val="24"/>
          <w:szCs w:val="24"/>
        </w:rPr>
        <w:t xml:space="preserve">B.2: Baseline Covariates (B1–B13, Not Scored)</w:t>
      </w:r>
    </w:p>
    <w:p>
      <w:pPr>
        <w:spacing w:line="360" w:after="200"/>
      </w:pPr>
      <w:r>
        <w:rPr>
          <w:rFonts w:ascii="Times New Roman" w:cs="Times New Roman" w:eastAsia="Times New Roman" w:hAnsi="Times New Roman"/>
          <w:sz w:val="24"/>
          <w:szCs w:val="24"/>
        </w:rPr>
        <w:t xml:space="preserve">These items collect demographic characteristics, financial background, and debt status during the onboarding phase. No responses are scored.</w:t>
      </w:r>
    </w:p>
    <w:p>
      <w:pPr>
        <w:spacing w:line="360" w:after="200"/>
      </w:pPr>
      <w:r>
        <w:rPr>
          <w:rFonts w:ascii="Times New Roman" w:cs="Times New Roman" w:eastAsia="Times New Roman" w:hAnsi="Times New Roman"/>
          <w:b/>
          <w:bCs/>
          <w:sz w:val="24"/>
          <w:szCs w:val="24"/>
        </w:rPr>
        <w:t xml:space="preserve">B1.</w:t>
      </w:r>
      <w:r>
        <w:rPr>
          <w:rFonts w:ascii="Times New Roman" w:cs="Times New Roman" w:eastAsia="Times New Roman" w:hAnsi="Times New Roman"/>
          <w:sz w:val="24"/>
          <w:szCs w:val="24"/>
        </w:rPr>
        <w:t xml:space="preserve"> What is your gender? </w:t>
      </w:r>
      <w:r>
        <w:rPr>
          <w:rFonts w:ascii="Times New Roman" w:cs="Times New Roman" w:eastAsia="Times New Roman" w:hAnsi="Times New Roman"/>
          <w:i/>
          <w:iCs/>
          <w:sz w:val="24"/>
          <w:szCs w:val="24"/>
        </w:rPr>
        <w:t xml:space="preserve">(A) Female | (B) Male | (C) Prefer not to say</w:t>
      </w:r>
    </w:p>
    <w:p>
      <w:pPr>
        <w:spacing w:line="360" w:after="200"/>
      </w:pPr>
      <w:r>
        <w:rPr>
          <w:rFonts w:ascii="Times New Roman" w:cs="Times New Roman" w:eastAsia="Times New Roman" w:hAnsi="Times New Roman"/>
          <w:b/>
          <w:bCs/>
          <w:sz w:val="24"/>
          <w:szCs w:val="24"/>
        </w:rPr>
        <w:t xml:space="preserve">B2.</w:t>
      </w:r>
      <w:r>
        <w:rPr>
          <w:rFonts w:ascii="Times New Roman" w:cs="Times New Roman" w:eastAsia="Times New Roman" w:hAnsi="Times New Roman"/>
          <w:sz w:val="24"/>
          <w:szCs w:val="24"/>
        </w:rPr>
        <w:t xml:space="preserve"> Which category best describes your racial or ethnic background? </w:t>
      </w:r>
      <w:r>
        <w:rPr>
          <w:rFonts w:ascii="Times New Roman" w:cs="Times New Roman" w:eastAsia="Times New Roman" w:hAnsi="Times New Roman"/>
          <w:i/>
          <w:iCs/>
          <w:sz w:val="24"/>
          <w:szCs w:val="24"/>
        </w:rPr>
        <w:t xml:space="preserve">(A) White or Caucasian | (B) Asian | (C) Black or African American | (D) Hispanic or Latino | (E) Native Hawaiian or Pacific Islander | (F) Native American or Alaska Native | (G) Two or more racial or ethnic backgrounds | (H) Other | (I) Prefer not to say</w:t>
      </w:r>
    </w:p>
    <w:p>
      <w:pPr>
        <w:spacing w:line="360" w:after="200"/>
      </w:pPr>
      <w:r>
        <w:rPr>
          <w:rFonts w:ascii="Times New Roman" w:cs="Times New Roman" w:eastAsia="Times New Roman" w:hAnsi="Times New Roman"/>
          <w:b/>
          <w:bCs/>
          <w:sz w:val="24"/>
          <w:szCs w:val="24"/>
        </w:rPr>
        <w:t xml:space="preserve">B3.</w:t>
      </w:r>
      <w:r>
        <w:rPr>
          <w:rFonts w:ascii="Times New Roman" w:cs="Times New Roman" w:eastAsia="Times New Roman" w:hAnsi="Times New Roman"/>
          <w:sz w:val="24"/>
          <w:szCs w:val="24"/>
        </w:rPr>
        <w:t xml:space="preserve"> What is your age range? </w:t>
      </w:r>
      <w:r>
        <w:rPr>
          <w:rFonts w:ascii="Times New Roman" w:cs="Times New Roman" w:eastAsia="Times New Roman" w:hAnsi="Times New Roman"/>
          <w:i/>
          <w:iCs/>
          <w:sz w:val="24"/>
          <w:szCs w:val="24"/>
        </w:rPr>
        <w:t xml:space="preserve">(A) 20 or under | (B) Above 20</w:t>
      </w:r>
    </w:p>
    <w:p>
      <w:pPr>
        <w:spacing w:line="360" w:after="200"/>
      </w:pPr>
      <w:r>
        <w:rPr>
          <w:rFonts w:ascii="Times New Roman" w:cs="Times New Roman" w:eastAsia="Times New Roman" w:hAnsi="Times New Roman"/>
          <w:b/>
          <w:bCs/>
          <w:sz w:val="24"/>
          <w:szCs w:val="24"/>
        </w:rPr>
        <w:t xml:space="preserve">B4.</w:t>
      </w:r>
      <w:r>
        <w:rPr>
          <w:rFonts w:ascii="Times New Roman" w:cs="Times New Roman" w:eastAsia="Times New Roman" w:hAnsi="Times New Roman"/>
          <w:sz w:val="24"/>
          <w:szCs w:val="24"/>
        </w:rPr>
        <w:t xml:space="preserve"> What is your first language? </w:t>
      </w:r>
      <w:r>
        <w:rPr>
          <w:rFonts w:ascii="Times New Roman" w:cs="Times New Roman" w:eastAsia="Times New Roman" w:hAnsi="Times New Roman"/>
          <w:i/>
          <w:iCs/>
          <w:sz w:val="24"/>
          <w:szCs w:val="24"/>
        </w:rPr>
        <w:t xml:space="preserve">(A) English | (B) Spanish | (C) Chinese (any dialect) | (D) French | (E) Russian | (F) Dutch | (G) Other (please specify)</w:t>
      </w:r>
    </w:p>
    <w:p>
      <w:pPr>
        <w:spacing w:line="360" w:after="200"/>
      </w:pPr>
      <w:r>
        <w:rPr>
          <w:rFonts w:ascii="Times New Roman" w:cs="Times New Roman" w:eastAsia="Times New Roman" w:hAnsi="Times New Roman"/>
          <w:b/>
          <w:bCs/>
          <w:sz w:val="24"/>
          <w:szCs w:val="24"/>
        </w:rPr>
        <w:t xml:space="preserve">B5.</w:t>
      </w:r>
      <w:r>
        <w:rPr>
          <w:rFonts w:ascii="Times New Roman" w:cs="Times New Roman" w:eastAsia="Times New Roman" w:hAnsi="Times New Roman"/>
          <w:sz w:val="24"/>
          <w:szCs w:val="24"/>
        </w:rPr>
        <w:t xml:space="preserve"> Do you have work experience? </w:t>
      </w:r>
      <w:r>
        <w:rPr>
          <w:rFonts w:ascii="Times New Roman" w:cs="Times New Roman" w:eastAsia="Times New Roman" w:hAnsi="Times New Roman"/>
          <w:i/>
          <w:iCs/>
          <w:sz w:val="24"/>
          <w:szCs w:val="24"/>
        </w:rPr>
        <w:t xml:space="preserve">(A) No work experience | (B) Part-time employment | (C) Full-time employment</w:t>
      </w:r>
    </w:p>
    <w:p>
      <w:pPr>
        <w:spacing w:line="360" w:after="200"/>
      </w:pPr>
      <w:r>
        <w:rPr>
          <w:rFonts w:ascii="Times New Roman" w:cs="Times New Roman" w:eastAsia="Times New Roman" w:hAnsi="Times New Roman"/>
          <w:b/>
          <w:bCs/>
          <w:sz w:val="24"/>
          <w:szCs w:val="24"/>
        </w:rPr>
        <w:t xml:space="preserve">B6.</w:t>
      </w:r>
      <w:r>
        <w:rPr>
          <w:rFonts w:ascii="Times New Roman" w:cs="Times New Roman" w:eastAsia="Times New Roman" w:hAnsi="Times New Roman"/>
          <w:sz w:val="24"/>
          <w:szCs w:val="24"/>
        </w:rPr>
        <w:t xml:space="preserve"> Prior to enrolling in this course, had you personally used any of the following financial products? (Select all that apply) </w:t>
      </w:r>
      <w:r>
        <w:rPr>
          <w:rFonts w:ascii="Times New Roman" w:cs="Times New Roman" w:eastAsia="Times New Roman" w:hAnsi="Times New Roman"/>
          <w:i/>
          <w:iCs/>
          <w:sz w:val="24"/>
          <w:szCs w:val="24"/>
        </w:rPr>
        <w:t xml:space="preserve">(A) Credit card | (B) Student loan | (C) Auto loan | (D) Investment account (stocks, ETFs, mutual funds) | (E) Insurance policy in your own name | (F) None of the above</w:t>
      </w:r>
    </w:p>
    <w:p>
      <w:pPr>
        <w:spacing w:line="360" w:after="200"/>
      </w:pPr>
      <w:r>
        <w:rPr>
          <w:rFonts w:ascii="Times New Roman" w:cs="Times New Roman" w:eastAsia="Times New Roman" w:hAnsi="Times New Roman"/>
          <w:b/>
          <w:bCs/>
          <w:sz w:val="24"/>
          <w:szCs w:val="24"/>
        </w:rPr>
        <w:t xml:space="preserve">B7.</w:t>
      </w:r>
      <w:r>
        <w:rPr>
          <w:rFonts w:ascii="Times New Roman" w:cs="Times New Roman" w:eastAsia="Times New Roman" w:hAnsi="Times New Roman"/>
          <w:sz w:val="24"/>
          <w:szCs w:val="24"/>
        </w:rPr>
        <w:t xml:space="preserve"> Before enrolling in this course, how would you rate your overall financial knowledge? </w:t>
      </w:r>
      <w:r>
        <w:rPr>
          <w:rFonts w:ascii="Times New Roman" w:cs="Times New Roman" w:eastAsia="Times New Roman" w:hAnsi="Times New Roman"/>
          <w:i/>
          <w:iCs/>
          <w:sz w:val="24"/>
          <w:szCs w:val="24"/>
        </w:rPr>
        <w:t xml:space="preserve">(A) Very low | (B) Low | (C) Moderate | (D) High | (E) Very high</w:t>
      </w:r>
    </w:p>
    <w:p>
      <w:pPr>
        <w:spacing w:line="360" w:after="200"/>
      </w:pPr>
      <w:r>
        <w:rPr>
          <w:rFonts w:ascii="Times New Roman" w:cs="Times New Roman" w:eastAsia="Times New Roman" w:hAnsi="Times New Roman"/>
          <w:b/>
          <w:bCs/>
          <w:sz w:val="24"/>
          <w:szCs w:val="24"/>
        </w:rPr>
        <w:t xml:space="preserve">B8.</w:t>
      </w:r>
      <w:r>
        <w:rPr>
          <w:rFonts w:ascii="Times New Roman" w:cs="Times New Roman" w:eastAsia="Times New Roman" w:hAnsi="Times New Roman"/>
          <w:sz w:val="24"/>
          <w:szCs w:val="24"/>
        </w:rPr>
        <w:t xml:space="preserve"> How often do you feel financially stressed? </w:t>
      </w:r>
      <w:r>
        <w:rPr>
          <w:rFonts w:ascii="Times New Roman" w:cs="Times New Roman" w:eastAsia="Times New Roman" w:hAnsi="Times New Roman"/>
          <w:i/>
          <w:iCs/>
          <w:sz w:val="24"/>
          <w:szCs w:val="24"/>
        </w:rPr>
        <w:t xml:space="preserve">(A) Never | (B) Rarely | (C) Sometimes | (D) Often | (E) Always</w:t>
      </w:r>
    </w:p>
    <w:p>
      <w:pPr>
        <w:spacing w:line="360" w:after="200"/>
      </w:pPr>
      <w:r>
        <w:rPr>
          <w:rFonts w:ascii="Times New Roman" w:cs="Times New Roman" w:eastAsia="Times New Roman" w:hAnsi="Times New Roman"/>
          <w:b/>
          <w:bCs/>
          <w:sz w:val="24"/>
          <w:szCs w:val="24"/>
        </w:rPr>
        <w:t xml:space="preserve">B9.</w:t>
      </w:r>
      <w:r>
        <w:rPr>
          <w:rFonts w:ascii="Times New Roman" w:cs="Times New Roman" w:eastAsia="Times New Roman" w:hAnsi="Times New Roman"/>
          <w:sz w:val="24"/>
          <w:szCs w:val="24"/>
        </w:rPr>
        <w:t xml:space="preserve"> Highest Level of Parental Education </w:t>
      </w:r>
      <w:r>
        <w:rPr>
          <w:rFonts w:ascii="Times New Roman" w:cs="Times New Roman" w:eastAsia="Times New Roman" w:hAnsi="Times New Roman"/>
          <w:i/>
          <w:iCs/>
          <w:sz w:val="24"/>
          <w:szCs w:val="24"/>
        </w:rPr>
        <w:t xml:space="preserve">(A) Less than high school | (B) High school diploma or GED | (C) Some college, no degree | (D) Associate degree (AA/AS) | (E) Bachelor's degree (BA/BS) | (F) Graduate or professional degree | (G) Don't know | (H) Prefer not to answer</w:t>
      </w:r>
    </w:p>
    <w:p>
      <w:pPr>
        <w:spacing w:line="360" w:after="200"/>
      </w:pPr>
      <w:r>
        <w:rPr>
          <w:rFonts w:ascii="Times New Roman" w:cs="Times New Roman" w:eastAsia="Times New Roman" w:hAnsi="Times New Roman"/>
          <w:b/>
          <w:bCs/>
          <w:sz w:val="24"/>
          <w:szCs w:val="24"/>
        </w:rPr>
        <w:t xml:space="preserve">B10.</w:t>
      </w:r>
      <w:r>
        <w:rPr>
          <w:rFonts w:ascii="Times New Roman" w:cs="Times New Roman" w:eastAsia="Times New Roman" w:hAnsi="Times New Roman"/>
          <w:sz w:val="24"/>
          <w:szCs w:val="24"/>
        </w:rPr>
        <w:t xml:space="preserve"> Are you a first-generation college student? </w:t>
      </w:r>
      <w:r>
        <w:rPr>
          <w:rFonts w:ascii="Times New Roman" w:cs="Times New Roman" w:eastAsia="Times New Roman" w:hAnsi="Times New Roman"/>
          <w:i/>
          <w:iCs/>
          <w:sz w:val="24"/>
          <w:szCs w:val="24"/>
        </w:rPr>
        <w:t xml:space="preserve">(A) Yes | (B) No | (C) Prefer not to say</w:t>
      </w:r>
    </w:p>
    <w:p>
      <w:pPr>
        <w:spacing w:line="360" w:after="200"/>
      </w:pPr>
      <w:r>
        <w:rPr>
          <w:rFonts w:ascii="Times New Roman" w:cs="Times New Roman" w:eastAsia="Times New Roman" w:hAnsi="Times New Roman"/>
          <w:b/>
          <w:bCs/>
          <w:sz w:val="24"/>
          <w:szCs w:val="24"/>
        </w:rPr>
        <w:t xml:space="preserve">B11.</w:t>
      </w:r>
      <w:r>
        <w:rPr>
          <w:rFonts w:ascii="Times New Roman" w:cs="Times New Roman" w:eastAsia="Times New Roman" w:hAnsi="Times New Roman"/>
          <w:sz w:val="24"/>
          <w:szCs w:val="24"/>
        </w:rPr>
        <w:t xml:space="preserve"> Do you currently have any student loan debt? </w:t>
      </w:r>
      <w:r>
        <w:rPr>
          <w:rFonts w:ascii="Times New Roman" w:cs="Times New Roman" w:eastAsia="Times New Roman" w:hAnsi="Times New Roman"/>
          <w:i/>
          <w:iCs/>
          <w:sz w:val="24"/>
          <w:szCs w:val="24"/>
        </w:rPr>
        <w:t xml:space="preserve">(A) Yes | (B) No | (C) Prefer not to say</w:t>
      </w:r>
    </w:p>
    <w:p>
      <w:pPr>
        <w:spacing w:line="360" w:after="200"/>
      </w:pPr>
      <w:r>
        <w:rPr>
          <w:rFonts w:ascii="Times New Roman" w:cs="Times New Roman" w:eastAsia="Times New Roman" w:hAnsi="Times New Roman"/>
          <w:b/>
          <w:bCs/>
          <w:sz w:val="24"/>
          <w:szCs w:val="24"/>
        </w:rPr>
        <w:t xml:space="preserve">B12.</w:t>
      </w:r>
      <w:r>
        <w:rPr>
          <w:rFonts w:ascii="Times New Roman" w:cs="Times New Roman" w:eastAsia="Times New Roman" w:hAnsi="Times New Roman"/>
          <w:sz w:val="24"/>
          <w:szCs w:val="24"/>
        </w:rPr>
        <w:t xml:space="preserve"> If yes, what is the interest rate on your student loan debt (best estimate)? </w:t>
      </w:r>
      <w:r>
        <w:rPr>
          <w:rFonts w:ascii="Times New Roman" w:cs="Times New Roman" w:eastAsia="Times New Roman" w:hAnsi="Times New Roman"/>
          <w:i/>
          <w:iCs/>
          <w:sz w:val="24"/>
          <w:szCs w:val="24"/>
        </w:rPr>
        <w:t xml:space="preserve">(A) Less than 5% | (B) Between 5% and 10% | (C) Above 10% | (D) I do not know | (E) Prefer not to say</w:t>
      </w:r>
    </w:p>
    <w:p>
      <w:pPr>
        <w:spacing w:line="360" w:after="200"/>
      </w:pPr>
      <w:r>
        <w:rPr>
          <w:rFonts w:ascii="Times New Roman" w:cs="Times New Roman" w:eastAsia="Times New Roman" w:hAnsi="Times New Roman"/>
          <w:b/>
          <w:bCs/>
          <w:sz w:val="24"/>
          <w:szCs w:val="24"/>
        </w:rPr>
        <w:t xml:space="preserve">B13.</w:t>
      </w:r>
      <w:r>
        <w:rPr>
          <w:rFonts w:ascii="Times New Roman" w:cs="Times New Roman" w:eastAsia="Times New Roman" w:hAnsi="Times New Roman"/>
          <w:sz w:val="24"/>
          <w:szCs w:val="24"/>
        </w:rPr>
        <w:t xml:space="preserve"> If yes, what is the maturity of your student loan (time until fully repaid) (best estimate)? </w:t>
      </w:r>
      <w:r>
        <w:rPr>
          <w:rFonts w:ascii="Times New Roman" w:cs="Times New Roman" w:eastAsia="Times New Roman" w:hAnsi="Times New Roman"/>
          <w:i/>
          <w:iCs/>
          <w:sz w:val="24"/>
          <w:szCs w:val="24"/>
        </w:rPr>
        <w:t xml:space="preserve">(A) Less than 5 years | (B) 5 to 10 years | (C) More than 10 years | (D) Do not know | (E) Prefer not to say</w:t>
      </w:r>
    </w:p>
    <w:p>
      <w:pPr>
        <w:pStyle w:val="Heading2"/>
        <w:spacing w:before="360" w:after="180"/>
      </w:pPr>
      <w:r>
        <w:rPr>
          <w:rFonts w:ascii="Times New Roman" w:cs="Times New Roman" w:eastAsia="Times New Roman" w:hAnsi="Times New Roman"/>
          <w:sz w:val="24"/>
          <w:szCs w:val="24"/>
        </w:rPr>
        <w:t xml:space="preserve">B.3: Borrowing, Interest Rates, and Financial Numeracy Knowledge (Q1–Q10, Scored)</w:t>
      </w:r>
    </w:p>
    <w:p>
      <w:pPr>
        <w:spacing w:line="360" w:after="200"/>
      </w:pPr>
      <w:r>
        <w:rPr>
          <w:rFonts w:ascii="Times New Roman" w:cs="Times New Roman" w:eastAsia="Times New Roman" w:hAnsi="Times New Roman"/>
          <w:b/>
          <w:bCs/>
          <w:sz w:val="24"/>
          <w:szCs w:val="24"/>
        </w:rPr>
        <w:t xml:space="preserve">Q1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(Compound Interest).</w:t>
      </w:r>
      <w:r>
        <w:rPr>
          <w:rFonts w:ascii="Times New Roman" w:cs="Times New Roman" w:eastAsia="Times New Roman" w:hAnsi="Times New Roman"/>
          <w:sz w:val="24"/>
          <w:szCs w:val="24"/>
        </w:rPr>
        <w:t xml:space="preserve"> Suppose you had $100 in a savings account and the interest rate was 2% per year. After 5 years, how much do you think you would have in the account if you left the money to grow? </w:t>
      </w:r>
      <w:r>
        <w:rPr>
          <w:rFonts w:ascii="Times New Roman" w:cs="Times New Roman" w:eastAsia="Times New Roman" w:hAnsi="Times New Roman"/>
          <w:i/>
          <w:iCs/>
          <w:sz w:val="24"/>
          <w:szCs w:val="24"/>
        </w:rPr>
        <w:t xml:space="preserve">(A) More than $102 | (B) Exactly $102 | (C) Less than $102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(Borrowing/Mortgages).</w:t>
      </w:r>
      <w:r>
        <w:rPr>
          <w:rFonts w:ascii="Times New Roman" w:cs="Times New Roman" w:eastAsia="Times New Roman" w:hAnsi="Times New Roman"/>
          <w:sz w:val="24"/>
          <w:szCs w:val="24"/>
        </w:rPr>
        <w:t xml:space="preserve"> A 15-year mortgage typically requires higher monthly payments than a 30-year mortgage, but the total interest paid over the life of the loan will be less.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w:t>
      </w:r>
      <w:r>
        <w:rPr>
          <w:rFonts w:ascii="Times New Roman" w:cs="Times New Roman" w:eastAsia="Times New Roman" w:hAnsi="Times New Roman"/>
          <w:sz w:val="24"/>
          <w:szCs w:val="24"/>
        </w:rPr>
        <w:t xml:space="preserve"> High inflation means that the cost of living is increasing rapidly.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(Borrowing/Interest).</w:t>
      </w:r>
      <w:r>
        <w:rPr>
          <w:rFonts w:ascii="Times New Roman" w:cs="Times New Roman" w:eastAsia="Times New Roman" w:hAnsi="Times New Roman"/>
          <w:sz w:val="24"/>
          <w:szCs w:val="24"/>
        </w:rPr>
        <w:t xml:space="preserve"> You lend $25 to a friend one evening and he gives you $25 back the next day. How much interest has he paid on this loan? </w:t>
      </w:r>
      <w:r>
        <w:rPr>
          <w:rFonts w:ascii="Times New Roman" w:cs="Times New Roman" w:eastAsia="Times New Roman" w:hAnsi="Times New Roman"/>
          <w:i/>
          <w:iCs/>
          <w:sz w:val="24"/>
          <w:szCs w:val="24"/>
        </w:rPr>
        <w:t xml:space="preserve">(A) $25 | (B) $0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(Saving).</w:t>
      </w:r>
      <w:r>
        <w:rPr>
          <w:rFonts w:ascii="Times New Roman" w:cs="Times New Roman" w:eastAsia="Times New Roman" w:hAnsi="Times New Roman"/>
          <w:sz w:val="24"/>
          <w:szCs w:val="24"/>
        </w:rPr>
        <w:t xml:space="preserve"> Lyle has a good job and earns enough to pay his bills comfortably each month. In terms of his emergency savings, how much should he have set aside? </w:t>
      </w:r>
      <w:r>
        <w:rPr>
          <w:rFonts w:ascii="Times New Roman" w:cs="Times New Roman" w:eastAsia="Times New Roman" w:hAnsi="Times New Roman"/>
          <w:i/>
          <w:iCs/>
          <w:sz w:val="24"/>
          <w:szCs w:val="24"/>
        </w:rPr>
        <w:t xml:space="preserve">(A) $200 or so | (B) Money equal to his share of one month's rent/mortgage | (C) The equivalent of three or more months of living expenses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w:t>
      </w:r>
      <w:r>
        <w:rPr>
          <w:rFonts w:ascii="Times New Roman" w:cs="Times New Roman" w:eastAsia="Times New Roman" w:hAnsi="Times New Roman"/>
          <w:sz w:val="24"/>
          <w:szCs w:val="24"/>
        </w:rPr>
        <w:t xml:space="preserve"> A successful effort to lower inflation would likely be accompanied by which of the following? </w:t>
      </w:r>
      <w:r>
        <w:rPr>
          <w:rFonts w:ascii="Times New Roman" w:cs="Times New Roman" w:eastAsia="Times New Roman" w:hAnsi="Times New Roman"/>
          <w:i/>
          <w:iCs/>
          <w:sz w:val="24"/>
          <w:szCs w:val="24"/>
        </w:rPr>
        <w:t xml:space="preserve">(A) A decrease in the general level of prices | (B) A slower increase in prices | (C) An increase in employment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w:t>
      </w:r>
      <w:r>
        <w:rPr>
          <w:rFonts w:ascii="Times New Roman" w:cs="Times New Roman" w:eastAsia="Times New Roman" w:hAnsi="Times New Roman"/>
          <w:sz w:val="24"/>
          <w:szCs w:val="24"/>
        </w:rPr>
        <w:t xml:space="preserve"> Inflation can cause difficulty in many ways. Which group would have the greatest problem during periods of high inflation? </w:t>
      </w:r>
      <w:r>
        <w:rPr>
          <w:rFonts w:ascii="Times New Roman" w:cs="Times New Roman" w:eastAsia="Times New Roman" w:hAnsi="Times New Roman"/>
          <w:i/>
          <w:iCs/>
          <w:sz w:val="24"/>
          <w:szCs w:val="24"/>
        </w:rPr>
        <w:t xml:space="preserve">(A) Young couples with no children who both work | (B) Older, working couples saving for retirement | (C) Retirees living on a fixed income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w:t>
      </w:r>
      <w:r>
        <w:rPr>
          <w:rFonts w:ascii="Times New Roman" w:cs="Times New Roman" w:eastAsia="Times New Roman" w:hAnsi="Times New Roman"/>
          <w:sz w:val="24"/>
          <w:szCs w:val="24"/>
        </w:rPr>
        <w:t xml:space="preserve"> Jayden is shopping for an auto loan. Which of the following can he likely negotiate with the lender? </w:t>
      </w:r>
      <w:r>
        <w:rPr>
          <w:rFonts w:ascii="Times New Roman" w:cs="Times New Roman" w:eastAsia="Times New Roman" w:hAnsi="Times New Roman"/>
          <w:i/>
          <w:iCs/>
          <w:sz w:val="24"/>
          <w:szCs w:val="24"/>
        </w:rPr>
        <w:t xml:space="preserve">(A) The interest rate | (B) The required down payment | (C) Both | (D) Neither | (E)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(Earning).</w:t>
      </w:r>
      <w:r>
        <w:rPr>
          <w:rFonts w:ascii="Times New Roman" w:cs="Times New Roman" w:eastAsia="Times New Roman" w:hAnsi="Times New Roman"/>
          <w:sz w:val="24"/>
          <w:szCs w:val="24"/>
        </w:rPr>
        <w:t xml:space="preserve"> Considering the strategy of allocating income, what is the PRIMARY advantage to your household of making a budget? </w:t>
      </w:r>
      <w:r>
        <w:rPr>
          <w:rFonts w:ascii="Times New Roman" w:cs="Times New Roman" w:eastAsia="Times New Roman" w:hAnsi="Times New Roman"/>
          <w:i/>
          <w:iCs/>
          <w:sz w:val="24"/>
          <w:szCs w:val="24"/>
        </w:rPr>
        <w:t xml:space="preserve">(A) Ensures funds are available for bill paying and saving | (B) Reduces your taxes | (C) Increases rate of return on your investments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Q10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(Borrowing/Credit).</w:t>
      </w:r>
      <w:r>
        <w:rPr>
          <w:rFonts w:ascii="Times New Roman" w:cs="Times New Roman" w:eastAsia="Times New Roman" w:hAnsi="Times New Roman"/>
          <w:sz w:val="24"/>
          <w:szCs w:val="24"/>
        </w:rPr>
        <w:t xml:space="preserve"> Which of the following statements regarding credit reports is FALSE? </w:t>
      </w:r>
      <w:r>
        <w:rPr>
          <w:rFonts w:ascii="Times New Roman" w:cs="Times New Roman" w:eastAsia="Times New Roman" w:hAnsi="Times New Roman"/>
          <w:i/>
          <w:iCs/>
          <w:sz w:val="24"/>
          <w:szCs w:val="24"/>
        </w:rPr>
        <w:t xml:space="preserve">(A) Credit reports are used by employers to screen job applicants | (B) A credit report includes an assessment of your worthiness to receive credit | (C) Your credit report is provided by a single source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pStyle w:val="Heading2"/>
        <w:spacing w:before="360" w:after="180"/>
      </w:pPr>
      <w:r>
        <w:rPr>
          <w:rFonts w:ascii="Times New Roman" w:cs="Times New Roman" w:eastAsia="Times New Roman" w:hAnsi="Times New Roman"/>
          <w:sz w:val="24"/>
          <w:szCs w:val="24"/>
        </w:rPr>
        <w:t xml:space="preserve">B.4: Behavioral and Risk Management — Factual Knowledge (Q11–Q14, Scored)</w:t>
      </w:r>
    </w:p>
    <w:p>
      <w:pPr>
        <w:spacing w:line="360" w:after="200"/>
      </w:pPr>
      <w:r>
        <w:rPr>
          <w:rFonts w:ascii="Times New Roman" w:cs="Times New Roman" w:eastAsia="Times New Roman" w:hAnsi="Times New Roman"/>
          <w:b/>
          <w:bCs/>
          <w:sz w:val="24"/>
          <w:szCs w:val="24"/>
        </w:rPr>
        <w:t xml:space="preserve">Q11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Diversification).</w:t>
      </w:r>
      <w:r>
        <w:rPr>
          <w:rFonts w:ascii="Times New Roman" w:cs="Times New Roman" w:eastAsia="Times New Roman" w:hAnsi="Times New Roman"/>
          <w:sz w:val="24"/>
          <w:szCs w:val="24"/>
        </w:rPr>
        <w:t xml:space="preserve"> Please tell me whether this statement is true or false: Buying a single company's stock usually provides a safer return than a stock mutual fund.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Q12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(Insurance).</w:t>
      </w:r>
      <w:r>
        <w:rPr>
          <w:rFonts w:ascii="Times New Roman" w:cs="Times New Roman" w:eastAsia="Times New Roman" w:hAnsi="Times New Roman"/>
          <w:sz w:val="24"/>
          <w:szCs w:val="24"/>
        </w:rPr>
        <w:t xml:space="preserve"> Which of the following best describes the PRIMARY function of health insurance? </w:t>
      </w:r>
      <w:r>
        <w:rPr>
          <w:rFonts w:ascii="Times New Roman" w:cs="Times New Roman" w:eastAsia="Times New Roman" w:hAnsi="Times New Roman"/>
          <w:i/>
          <w:iCs/>
          <w:sz w:val="24"/>
          <w:szCs w:val="24"/>
        </w:rPr>
        <w:t xml:space="preserve">(A) Protect against the possibility of large unexpected medical bills | (B) Cover the cost of routine health care expenses | (C) Pay for elective medical procedures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Q13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(Insurance).</w:t>
      </w:r>
      <w:r>
        <w:rPr>
          <w:rFonts w:ascii="Times New Roman" w:cs="Times New Roman" w:eastAsia="Times New Roman" w:hAnsi="Times New Roman"/>
          <w:sz w:val="24"/>
          <w:szCs w:val="24"/>
        </w:rPr>
        <w:t xml:space="preserve"> What does a home insurance deductible represent? </w:t>
      </w:r>
      <w:r>
        <w:rPr>
          <w:rFonts w:ascii="Times New Roman" w:cs="Times New Roman" w:eastAsia="Times New Roman" w:hAnsi="Times New Roman"/>
          <w:i/>
          <w:iCs/>
          <w:sz w:val="24"/>
          <w:szCs w:val="24"/>
        </w:rPr>
        <w:t xml:space="preserve">(A) Amount you pay before insurance covers damages | (B) Monthly premium for coverage | (C) Maximum amount insurance will pay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Q14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Diversification).</w:t>
      </w:r>
      <w:r>
        <w:rPr>
          <w:rFonts w:ascii="Times New Roman" w:cs="Times New Roman" w:eastAsia="Times New Roman" w:hAnsi="Times New Roman"/>
          <w:sz w:val="24"/>
          <w:szCs w:val="24"/>
        </w:rPr>
        <w:t xml:space="preserve"> When an investor spreads money among different assets, the risk of losing money usually: </w:t>
      </w:r>
      <w:r>
        <w:rPr>
          <w:rFonts w:ascii="Times New Roman" w:cs="Times New Roman" w:eastAsia="Times New Roman" w:hAnsi="Times New Roman"/>
          <w:i/>
          <w:iCs/>
          <w:sz w:val="24"/>
          <w:szCs w:val="24"/>
        </w:rPr>
        <w:t xml:space="preserve">(A) Increases | (B) Decreases | (C) Stays the same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pStyle w:val="Heading2"/>
        <w:spacing w:before="360" w:after="180"/>
      </w:pPr>
      <w:r>
        <w:rPr>
          <w:rFonts w:ascii="Times New Roman" w:cs="Times New Roman" w:eastAsia="Times New Roman" w:hAnsi="Times New Roman"/>
          <w:sz w:val="24"/>
          <w:szCs w:val="24"/>
        </w:rPr>
        <w:t xml:space="preserve">B.5: Financial Attitudes and Preferences (Q15–Q28, Not Scored)</w:t>
      </w:r>
    </w:p>
    <w:p>
      <w:pPr>
        <w:spacing w:line="360" w:after="200"/>
      </w:pPr>
      <w:r>
        <w:rPr>
          <w:rFonts w:ascii="Times New Roman" w:cs="Times New Roman" w:eastAsia="Times New Roman" w:hAnsi="Times New Roman"/>
          <w:sz w:val="24"/>
          <w:szCs w:val="24"/>
        </w:rPr>
        <w:t xml:space="preserve">These 14 items capture behavioral attitudes, risk preferences, and financial decision-making tendencies. They are not scored but contribute to the behavioral profile used in the SDM-10 adaptive module.</w:t>
      </w:r>
    </w:p>
    <w:p>
      <w:pPr>
        <w:spacing w:line="360" w:after="200"/>
      </w:pPr>
      <w:r>
        <w:rPr>
          <w:rFonts w:ascii="Times New Roman" w:cs="Times New Roman" w:eastAsia="Times New Roman" w:hAnsi="Times New Roman"/>
          <w:b/>
          <w:bCs/>
          <w:sz w:val="24"/>
          <w:szCs w:val="24"/>
        </w:rPr>
        <w:t xml:space="preserve">Q15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(Allocation Preference).</w:t>
      </w:r>
      <w:r>
        <w:rPr>
          <w:rFonts w:ascii="Times New Roman" w:cs="Times New Roman" w:eastAsia="Times New Roman" w:hAnsi="Times New Roman"/>
          <w:sz w:val="24"/>
          <w:szCs w:val="24"/>
        </w:rPr>
        <w:t xml:space="preserve"> You receive a $10,000 bonus. What would you most likely do with it? </w:t>
      </w:r>
      <w:r>
        <w:rPr>
          <w:rFonts w:ascii="Times New Roman" w:cs="Times New Roman" w:eastAsia="Times New Roman" w:hAnsi="Times New Roman"/>
          <w:i/>
          <w:iCs/>
          <w:sz w:val="24"/>
          <w:szCs w:val="24"/>
        </w:rPr>
        <w:t xml:space="preserve">(A) Put it in a high-interest savings account for safety | (B) Invest it in mutual funds or ETFs for steady growth | (C) Buy individual stocks with potential for high return | (D) Spend most of it and save the rest later</w:t>
      </w:r>
    </w:p>
    <w:p>
      <w:pPr>
        <w:spacing w:line="360" w:after="200"/>
      </w:pPr>
      <w:r>
        <w:rPr>
          <w:rFonts w:ascii="Times New Roman" w:cs="Times New Roman" w:eastAsia="Times New Roman" w:hAnsi="Times New Roman"/>
          <w:b/>
          <w:bCs/>
          <w:sz w:val="24"/>
          <w:szCs w:val="24"/>
        </w:rPr>
        <w:t xml:space="preserve">Q16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(Loss Aversion).</w:t>
      </w:r>
      <w:r>
        <w:rPr>
          <w:rFonts w:ascii="Times New Roman" w:cs="Times New Roman" w:eastAsia="Times New Roman" w:hAnsi="Times New Roman"/>
          <w:sz w:val="24"/>
          <w:szCs w:val="24"/>
        </w:rPr>
        <w:t xml:space="preserve"> Your retirement account drops 20% due to a market downturn. How do you react? </w:t>
      </w:r>
      <w:r>
        <w:rPr>
          <w:rFonts w:ascii="Times New Roman" w:cs="Times New Roman" w:eastAsia="Times New Roman" w:hAnsi="Times New Roman"/>
          <w:i/>
          <w:iCs/>
          <w:sz w:val="24"/>
          <w:szCs w:val="24"/>
        </w:rPr>
        <w:t xml:space="preserve">(A) Sell everything, I can't risk losing more | (B) Do nothing, markets recover over time | (C) Invest more, buy while prices are low | (D) Move funds to safer options like bonds or cash</w:t>
      </w:r>
    </w:p>
    <w:p>
      <w:pPr>
        <w:spacing w:line="360" w:after="200"/>
      </w:pPr>
      <w:r>
        <w:rPr>
          <w:rFonts w:ascii="Times New Roman" w:cs="Times New Roman" w:eastAsia="Times New Roman" w:hAnsi="Times New Roman"/>
          <w:b/>
          <w:bCs/>
          <w:sz w:val="24"/>
          <w:szCs w:val="24"/>
        </w:rPr>
        <w:t xml:space="preserve">Q17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Perception).</w:t>
      </w:r>
      <w:r>
        <w:rPr>
          <w:rFonts w:ascii="Times New Roman" w:cs="Times New Roman" w:eastAsia="Times New Roman" w:hAnsi="Times New Roman"/>
          <w:sz w:val="24"/>
          <w:szCs w:val="24"/>
        </w:rPr>
        <w:t xml:space="preserve"> What does "risk" mean to you when it comes to financial decisions? </w:t>
      </w:r>
      <w:r>
        <w:rPr>
          <w:rFonts w:ascii="Times New Roman" w:cs="Times New Roman" w:eastAsia="Times New Roman" w:hAnsi="Times New Roman"/>
          <w:i/>
          <w:iCs/>
          <w:sz w:val="24"/>
          <w:szCs w:val="24"/>
        </w:rPr>
        <w:t xml:space="preserve">(A) The chance I could lose money | (B) The opportunity to earn a higher return | (C) Something unpredictable that needs to be managed | (D) I'm not sure</w:t>
      </w:r>
    </w:p>
    <w:p>
      <w:pPr>
        <w:spacing w:line="360" w:after="200"/>
      </w:pPr>
      <w:r>
        <w:rPr>
          <w:rFonts w:ascii="Times New Roman" w:cs="Times New Roman" w:eastAsia="Times New Roman" w:hAnsi="Times New Roman"/>
          <w:b/>
          <w:bCs/>
          <w:sz w:val="24"/>
          <w:szCs w:val="24"/>
        </w:rPr>
        <w:t xml:space="preserve">Q18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(Social Influence and Herding).</w:t>
      </w:r>
      <w:r>
        <w:rPr>
          <w:rFonts w:ascii="Times New Roman" w:cs="Times New Roman" w:eastAsia="Times New Roman" w:hAnsi="Times New Roman"/>
          <w:sz w:val="24"/>
          <w:szCs w:val="24"/>
        </w:rPr>
        <w:t xml:space="preserve"> You hear that everyone is investing in a new crypto asset. What do you do? </w:t>
      </w:r>
      <w:r>
        <w:rPr>
          <w:rFonts w:ascii="Times New Roman" w:cs="Times New Roman" w:eastAsia="Times New Roman" w:hAnsi="Times New Roman"/>
          <w:i/>
          <w:iCs/>
          <w:sz w:val="24"/>
          <w:szCs w:val="24"/>
        </w:rPr>
        <w:t xml:space="preserve">(A) Invest quickly, don't miss out | (B) Put in a small amount just in case | (C) Research carefully before acting | (D) Stay out, I avoid hype</w:t>
      </w:r>
    </w:p>
    <w:p>
      <w:pPr>
        <w:spacing w:line="360" w:after="200"/>
      </w:pPr>
      <w:r>
        <w:rPr>
          <w:rFonts w:ascii="Times New Roman" w:cs="Times New Roman" w:eastAsia="Times New Roman" w:hAnsi="Times New Roman"/>
          <w:b/>
          <w:bCs/>
          <w:sz w:val="24"/>
          <w:szCs w:val="24"/>
        </w:rPr>
        <w:t xml:space="preserve">Q19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(Retirement Risk Planning).</w:t>
      </w:r>
      <w:r>
        <w:rPr>
          <w:rFonts w:ascii="Times New Roman" w:cs="Times New Roman" w:eastAsia="Times New Roman" w:hAnsi="Times New Roman"/>
          <w:sz w:val="24"/>
          <w:szCs w:val="24"/>
        </w:rPr>
        <w:t xml:space="preserve"> When planning for retirement, how do you factor in risk? </w:t>
      </w:r>
      <w:r>
        <w:rPr>
          <w:rFonts w:ascii="Times New Roman" w:cs="Times New Roman" w:eastAsia="Times New Roman" w:hAnsi="Times New Roman"/>
          <w:i/>
          <w:iCs/>
          <w:sz w:val="24"/>
          <w:szCs w:val="24"/>
        </w:rPr>
        <w:t xml:space="preserve">(A) I ignore it, retirement is far away | (B) I aim for high growth regardless | (C) I diversify and rebalance regularly | (D) I rely on my advisor to guide me</w:t>
      </w:r>
    </w:p>
    <w:p>
      <w:pPr>
        <w:spacing w:line="360" w:after="200"/>
      </w:pPr>
      <w:r>
        <w:rPr>
          <w:rFonts w:ascii="Times New Roman" w:cs="Times New Roman" w:eastAsia="Times New Roman" w:hAnsi="Times New Roman"/>
          <w:b/>
          <w:bCs/>
          <w:sz w:val="24"/>
          <w:szCs w:val="24"/>
        </w:rPr>
        <w:t xml:space="preserve">Q20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(Emotional Response to Loss).</w:t>
      </w:r>
      <w:r>
        <w:rPr>
          <w:rFonts w:ascii="Times New Roman" w:cs="Times New Roman" w:eastAsia="Times New Roman" w:hAnsi="Times New Roman"/>
          <w:sz w:val="24"/>
          <w:szCs w:val="24"/>
        </w:rPr>
        <w:t xml:space="preserve"> You lose $1,000 in an investment. What's your emotional reaction? </w:t>
      </w:r>
      <w:r>
        <w:rPr>
          <w:rFonts w:ascii="Times New Roman" w:cs="Times New Roman" w:eastAsia="Times New Roman" w:hAnsi="Times New Roman"/>
          <w:i/>
          <w:iCs/>
          <w:sz w:val="24"/>
          <w:szCs w:val="24"/>
        </w:rPr>
        <w:t xml:space="preserve">(A) Angry and anxious | (B) Concerned but calm | (C) Indifferent | (D) Curious to understand why</w:t>
      </w:r>
    </w:p>
    <w:p>
      <w:pPr>
        <w:spacing w:line="360" w:after="200"/>
      </w:pPr>
      <w:r>
        <w:rPr>
          <w:rFonts w:ascii="Times New Roman" w:cs="Times New Roman" w:eastAsia="Times New Roman" w:hAnsi="Times New Roman"/>
          <w:b/>
          <w:bCs/>
          <w:sz w:val="24"/>
          <w:szCs w:val="24"/>
        </w:rPr>
        <w:t xml:space="preserve">Q21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(Decision Process).</w:t>
      </w:r>
      <w:r>
        <w:rPr>
          <w:rFonts w:ascii="Times New Roman" w:cs="Times New Roman" w:eastAsia="Times New Roman" w:hAnsi="Times New Roman"/>
          <w:sz w:val="24"/>
          <w:szCs w:val="24"/>
        </w:rPr>
        <w:t xml:space="preserve"> When faced with a complex financial decision, how do you typically proceed? </w:t>
      </w:r>
      <w:r>
        <w:rPr>
          <w:rFonts w:ascii="Times New Roman" w:cs="Times New Roman" w:eastAsia="Times New Roman" w:hAnsi="Times New Roman"/>
          <w:i/>
          <w:iCs/>
          <w:sz w:val="24"/>
          <w:szCs w:val="24"/>
        </w:rPr>
        <w:t xml:space="preserve">(A) Do extensive research and consider all outcomes | (B) Go with your intuition or gut feeling | (C) Rely on advice from friends or family | (D) Delay the decision until you feel more confident</w:t>
      </w:r>
    </w:p>
    <w:p>
      <w:pPr>
        <w:spacing w:line="360" w:after="200"/>
      </w:pPr>
      <w:r>
        <w:rPr>
          <w:rFonts w:ascii="Times New Roman" w:cs="Times New Roman" w:eastAsia="Times New Roman" w:hAnsi="Times New Roman"/>
          <w:b/>
          <w:bCs/>
          <w:sz w:val="24"/>
          <w:szCs w:val="24"/>
        </w:rPr>
        <w:t xml:space="preserve">Q22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Confidence).</w:t>
      </w:r>
      <w:r>
        <w:rPr>
          <w:rFonts w:ascii="Times New Roman" w:cs="Times New Roman" w:eastAsia="Times New Roman" w:hAnsi="Times New Roman"/>
          <w:sz w:val="24"/>
          <w:szCs w:val="24"/>
        </w:rPr>
        <w:t xml:space="preserve"> How confident are you in recognizing when an investment is too risky for your situation? </w:t>
      </w:r>
      <w:r>
        <w:rPr>
          <w:rFonts w:ascii="Times New Roman" w:cs="Times New Roman" w:eastAsia="Times New Roman" w:hAnsi="Times New Roman"/>
          <w:i/>
          <w:iCs/>
          <w:sz w:val="24"/>
          <w:szCs w:val="24"/>
        </w:rPr>
        <w:t xml:space="preserve">(A) Very confident, I understand my risk limits | (B) Somewhat confident, I can tell when it's extreme | (C) Not very confident, I often second-guess | (D) I usually rely on others to decide for me</w:t>
      </w:r>
    </w:p>
    <w:p>
      <w:pPr>
        <w:spacing w:line="360" w:after="200"/>
      </w:pPr>
      <w:r>
        <w:rPr>
          <w:rFonts w:ascii="Times New Roman" w:cs="Times New Roman" w:eastAsia="Times New Roman" w:hAnsi="Times New Roman"/>
          <w:b/>
          <w:bCs/>
          <w:sz w:val="24"/>
          <w:szCs w:val="24"/>
        </w:rPr>
        <w:t xml:space="preserve">Q23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Attitude).</w:t>
      </w:r>
      <w:r>
        <w:rPr>
          <w:rFonts w:ascii="Times New Roman" w:cs="Times New Roman" w:eastAsia="Times New Roman" w:hAnsi="Times New Roman"/>
          <w:sz w:val="24"/>
          <w:szCs w:val="24"/>
        </w:rPr>
        <w:t xml:space="preserve"> What best describes your attitude toward risk? </w:t>
      </w:r>
      <w:r>
        <w:rPr>
          <w:rFonts w:ascii="Times New Roman" w:cs="Times New Roman" w:eastAsia="Times New Roman" w:hAnsi="Times New Roman"/>
          <w:i/>
          <w:iCs/>
          <w:sz w:val="24"/>
          <w:szCs w:val="24"/>
        </w:rPr>
        <w:t xml:space="preserve">(A) I avoid risk as much as possible | (B) I'm okay with small risks for modest gains | (C) I take calculated risks for higher rewards | (D) I actively seek out high-risk, high-reward opportunities</w:t>
      </w:r>
    </w:p>
    <w:p>
      <w:pPr>
        <w:spacing w:line="360" w:after="200"/>
      </w:pPr>
      <w:r>
        <w:rPr>
          <w:rFonts w:ascii="Times New Roman" w:cs="Times New Roman" w:eastAsia="Times New Roman" w:hAnsi="Times New Roman"/>
          <w:b/>
          <w:bCs/>
          <w:sz w:val="24"/>
          <w:szCs w:val="24"/>
        </w:rPr>
        <w:t xml:space="preserve">Q24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(Reaction to Underperformance).</w:t>
      </w:r>
      <w:r>
        <w:rPr>
          <w:rFonts w:ascii="Times New Roman" w:cs="Times New Roman" w:eastAsia="Times New Roman" w:hAnsi="Times New Roman"/>
          <w:sz w:val="24"/>
          <w:szCs w:val="24"/>
        </w:rPr>
        <w:t xml:space="preserve"> If your long-term investment underperforms for a year, what would you most likely do? </w:t>
      </w:r>
      <w:r>
        <w:rPr>
          <w:rFonts w:ascii="Times New Roman" w:cs="Times New Roman" w:eastAsia="Times New Roman" w:hAnsi="Times New Roman"/>
          <w:i/>
          <w:iCs/>
          <w:sz w:val="24"/>
          <w:szCs w:val="24"/>
        </w:rPr>
        <w:t xml:space="preserve">(A) Sell and look for a better option | (B) Reduce investment but stay in | (C) Stay the course | (D) Invest more to lower the average cost</w:t>
      </w:r>
    </w:p>
    <w:p>
      <w:pPr>
        <w:spacing w:line="360" w:after="200"/>
      </w:pPr>
      <w:r>
        <w:rPr>
          <w:rFonts w:ascii="Times New Roman" w:cs="Times New Roman" w:eastAsia="Times New Roman" w:hAnsi="Times New Roman"/>
          <w:b/>
          <w:bCs/>
          <w:sz w:val="24"/>
          <w:szCs w:val="24"/>
        </w:rPr>
        <w:t xml:space="preserve">Q25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(Definition of Success).</w:t>
      </w:r>
      <w:r>
        <w:rPr>
          <w:rFonts w:ascii="Times New Roman" w:cs="Times New Roman" w:eastAsia="Times New Roman" w:hAnsi="Times New Roman"/>
          <w:sz w:val="24"/>
          <w:szCs w:val="24"/>
        </w:rPr>
        <w:t xml:space="preserve"> How do you define a "successful" investment? </w:t>
      </w:r>
      <w:r>
        <w:rPr>
          <w:rFonts w:ascii="Times New Roman" w:cs="Times New Roman" w:eastAsia="Times New Roman" w:hAnsi="Times New Roman"/>
          <w:i/>
          <w:iCs/>
          <w:sz w:val="24"/>
          <w:szCs w:val="24"/>
        </w:rPr>
        <w:t xml:space="preserve">(A) One that doesn't lose money | (B) One that beats inflation | (C) One that aligns with my financial goals | (D) One that produces the highest return, regardless of risk</w:t>
      </w:r>
    </w:p>
    <w:p>
      <w:pPr>
        <w:spacing w:line="360" w:after="200"/>
      </w:pPr>
      <w:r>
        <w:rPr>
          <w:rFonts w:ascii="Times New Roman" w:cs="Times New Roman" w:eastAsia="Times New Roman" w:hAnsi="Times New Roman"/>
          <w:b/>
          <w:bCs/>
          <w:sz w:val="24"/>
          <w:szCs w:val="24"/>
        </w:rPr>
        <w:t xml:space="preserve">Q26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(Downside Awareness).</w:t>
      </w:r>
      <w:r>
        <w:rPr>
          <w:rFonts w:ascii="Times New Roman" w:cs="Times New Roman" w:eastAsia="Times New Roman" w:hAnsi="Times New Roman"/>
          <w:sz w:val="24"/>
          <w:szCs w:val="24"/>
        </w:rPr>
        <w:t xml:space="preserve"> When making financial decisions, how often do you consider the potential downside risk? </w:t>
      </w:r>
      <w:r>
        <w:rPr>
          <w:rFonts w:ascii="Times New Roman" w:cs="Times New Roman" w:eastAsia="Times New Roman" w:hAnsi="Times New Roman"/>
          <w:i/>
          <w:iCs/>
          <w:sz w:val="24"/>
          <w:szCs w:val="24"/>
        </w:rPr>
        <w:t xml:space="preserve">(A) Never | (B) Rarely | (C) Sometimes | (D) Always</w:t>
      </w:r>
    </w:p>
    <w:p>
      <w:pPr>
        <w:spacing w:line="360" w:after="200"/>
      </w:pPr>
      <w:r>
        <w:rPr>
          <w:rFonts w:ascii="Times New Roman" w:cs="Times New Roman" w:eastAsia="Times New Roman" w:hAnsi="Times New Roman"/>
          <w:b/>
          <w:bCs/>
          <w:sz w:val="24"/>
          <w:szCs w:val="24"/>
        </w:rPr>
        <w:t xml:space="preserve">Q27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Preference in Income).</w:t>
      </w:r>
      <w:r>
        <w:rPr>
          <w:rFonts w:ascii="Times New Roman" w:cs="Times New Roman" w:eastAsia="Times New Roman" w:hAnsi="Times New Roman"/>
          <w:sz w:val="24"/>
          <w:szCs w:val="24"/>
        </w:rPr>
        <w:t xml:space="preserve"> Imagine you're offered two jobs. Job A pays more but has uncertain income and less security. Job B pays less but is stable. Which do you choose? </w:t>
      </w:r>
      <w:r>
        <w:rPr>
          <w:rFonts w:ascii="Times New Roman" w:cs="Times New Roman" w:eastAsia="Times New Roman" w:hAnsi="Times New Roman"/>
          <w:i/>
          <w:iCs/>
          <w:sz w:val="24"/>
          <w:szCs w:val="24"/>
        </w:rPr>
        <w:t xml:space="preserve">(A) Definitely Job A | (B) Probably Job A | (C) Probably Job B | (D) Definitely Job B</w:t>
      </w:r>
    </w:p>
    <w:p>
      <w:pPr>
        <w:spacing w:line="360" w:after="200"/>
      </w:pPr>
      <w:r>
        <w:rPr>
          <w:rFonts w:ascii="Times New Roman" w:cs="Times New Roman" w:eastAsia="Times New Roman" w:hAnsi="Times New Roman"/>
          <w:b/>
          <w:bCs/>
          <w:sz w:val="24"/>
          <w:szCs w:val="24"/>
        </w:rPr>
        <w:t xml:space="preserve">Q28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(Scam Skepticism).</w:t>
      </w:r>
      <w:r>
        <w:rPr>
          <w:rFonts w:ascii="Times New Roman" w:cs="Times New Roman" w:eastAsia="Times New Roman" w:hAnsi="Times New Roman"/>
          <w:sz w:val="24"/>
          <w:szCs w:val="24"/>
        </w:rPr>
        <w:t xml:space="preserve"> If an investment opportunity promises unusually high returns with little explanation of how, what do you do? </w:t>
      </w:r>
      <w:r>
        <w:rPr>
          <w:rFonts w:ascii="Times New Roman" w:cs="Times New Roman" w:eastAsia="Times New Roman" w:hAnsi="Times New Roman"/>
          <w:i/>
          <w:iCs/>
          <w:sz w:val="24"/>
          <w:szCs w:val="24"/>
        </w:rPr>
        <w:t xml:space="preserve">(A) Invest a small amount just to test it | (B) Ask for more details and do research | (C) Avoid it, it seems too good to be true | (D) Immediately take advantage before it's gone</w:t>
      </w:r>
    </w:p>
    <w:p>
      <w:pPr>
        <w:pStyle w:val="Heading2"/>
        <w:spacing w:before="360" w:after="180"/>
      </w:pPr>
      <w:r>
        <w:rPr>
          <w:rFonts w:ascii="Times New Roman" w:cs="Times New Roman" w:eastAsia="Times New Roman" w:hAnsi="Times New Roman"/>
          <w:sz w:val="24"/>
          <w:szCs w:val="24"/>
        </w:rPr>
        <w:t xml:space="preserve">B.6: Risk and Return Knowledge (Q29–Q40, Scored)</w:t>
      </w:r>
    </w:p>
    <w:p>
      <w:pPr>
        <w:spacing w:line="360" w:after="200"/>
      </w:pPr>
      <w:r>
        <w:rPr>
          <w:rFonts w:ascii="Times New Roman" w:cs="Times New Roman" w:eastAsia="Times New Roman" w:hAnsi="Times New Roman"/>
          <w:b/>
          <w:bCs/>
          <w:sz w:val="24"/>
          <w:szCs w:val="24"/>
        </w:rPr>
        <w:t xml:space="preserve">Q29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If interest rates rise, what will typically happen to bond prices? </w:t>
      </w:r>
      <w:r>
        <w:rPr>
          <w:rFonts w:ascii="Times New Roman" w:cs="Times New Roman" w:eastAsia="Times New Roman" w:hAnsi="Times New Roman"/>
          <w:i/>
          <w:iCs/>
          <w:sz w:val="24"/>
          <w:szCs w:val="24"/>
        </w:rPr>
        <w:t xml:space="preserve">(A) They will rise | (B) They will fall | (C) They will stay the same | (D) There is no relationship | (E)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Q30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An investment with a high return is likely to be high risk.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Which of the following best describes what the stock market does? </w:t>
      </w:r>
      <w:r>
        <w:rPr>
          <w:rFonts w:ascii="Times New Roman" w:cs="Times New Roman" w:eastAsia="Times New Roman" w:hAnsi="Times New Roman"/>
          <w:i/>
          <w:iCs/>
          <w:sz w:val="24"/>
          <w:szCs w:val="24"/>
        </w:rPr>
        <w:t xml:space="preserve">(A) Results in a gain in wealth for investors | (B) Creates liquidity by guaranteeing investors a profit | (C) Brings people who want to buy stocks together with those who want to sell stocks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Considering a long time period (e.g., 10–20 years), which asset normally gives the highest return? </w:t>
      </w:r>
      <w:r>
        <w:rPr>
          <w:rFonts w:ascii="Times New Roman" w:cs="Times New Roman" w:eastAsia="Times New Roman" w:hAnsi="Times New Roman"/>
          <w:i/>
          <w:iCs/>
          <w:sz w:val="24"/>
          <w:szCs w:val="24"/>
        </w:rPr>
        <w:t xml:space="preserve">(A) Savings accounts | (B) Bonds | (C) Stocks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(Basic Probability).</w:t>
      </w:r>
      <w:r>
        <w:rPr>
          <w:rFonts w:ascii="Times New Roman" w:cs="Times New Roman" w:eastAsia="Times New Roman" w:hAnsi="Times New Roman"/>
          <w:sz w:val="24"/>
          <w:szCs w:val="24"/>
        </w:rPr>
        <w:t xml:space="preserve"> In the BIG BUCKS LOTTERY, the chance of winning a $10 prize is 1%. What is your best guess about how many people would win a $10 prize if 1,000 people each buy a single ticket? </w:t>
      </w:r>
      <w:r>
        <w:rPr>
          <w:rFonts w:ascii="Times New Roman" w:cs="Times New Roman" w:eastAsia="Times New Roman" w:hAnsi="Times New Roman"/>
          <w:i/>
          <w:iCs/>
          <w:sz w:val="24"/>
          <w:szCs w:val="24"/>
        </w:rPr>
        <w:t xml:space="preserve">(A) 5 | (B) 8 | (C) 10 | (D) 12 | (E)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(Diversification Effect).</w:t>
      </w:r>
      <w:r>
        <w:rPr>
          <w:rFonts w:ascii="Times New Roman" w:cs="Times New Roman" w:eastAsia="Times New Roman" w:hAnsi="Times New Roman"/>
          <w:sz w:val="24"/>
          <w:szCs w:val="24"/>
        </w:rPr>
        <w:t xml:space="preserve"> When an investor spreads money among different assets, does the risk of losing money usually increase, decrease, or stay the same? </w:t>
      </w:r>
      <w:r>
        <w:rPr>
          <w:rFonts w:ascii="Times New Roman" w:cs="Times New Roman" w:eastAsia="Times New Roman" w:hAnsi="Times New Roman"/>
          <w:i/>
          <w:iCs/>
          <w:sz w:val="24"/>
          <w:szCs w:val="24"/>
        </w:rPr>
        <w:t xml:space="preserve">(A) Increase | (B) Decrease | (C) Stay the same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Q35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(Risk-Return Relationship).</w:t>
      </w:r>
      <w:r>
        <w:rPr>
          <w:rFonts w:ascii="Times New Roman" w:cs="Times New Roman" w:eastAsia="Times New Roman" w:hAnsi="Times New Roman"/>
          <w:sz w:val="24"/>
          <w:szCs w:val="24"/>
        </w:rPr>
        <w:t xml:space="preserve"> If someone offers you the chance to make a lot of money, it is likely that there is also a chance that you will lose a lot of money.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(Diversification Principle).</w:t>
      </w:r>
      <w:r>
        <w:rPr>
          <w:rFonts w:ascii="Times New Roman" w:cs="Times New Roman" w:eastAsia="Times New Roman" w:hAnsi="Times New Roman"/>
          <w:sz w:val="24"/>
          <w:szCs w:val="24"/>
        </w:rPr>
        <w:t xml:space="preserve"> True or false: It is less likely that you will lose all of your money if you save it in more than one place.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(Insurance).</w:t>
      </w:r>
      <w:r>
        <w:rPr>
          <w:rFonts w:ascii="Times New Roman" w:cs="Times New Roman" w:eastAsia="Times New Roman" w:hAnsi="Times New Roman"/>
          <w:sz w:val="24"/>
          <w:szCs w:val="24"/>
        </w:rPr>
        <w:t xml:space="preserve"> Which of the following insurance policies is most likely to protect you if you cause an accident that injures someone? </w:t>
      </w:r>
      <w:r>
        <w:rPr>
          <w:rFonts w:ascii="Times New Roman" w:cs="Times New Roman" w:eastAsia="Times New Roman" w:hAnsi="Times New Roman"/>
          <w:i/>
          <w:iCs/>
          <w:sz w:val="24"/>
          <w:szCs w:val="24"/>
        </w:rPr>
        <w:t xml:space="preserve">(A) Health insurance | (B) Homeowner's or renter's insurance | (C) Auto insurance liability coverage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 Risk).</w:t>
      </w:r>
      <w:r>
        <w:rPr>
          <w:rFonts w:ascii="Times New Roman" w:cs="Times New Roman" w:eastAsia="Times New Roman" w:hAnsi="Times New Roman"/>
          <w:sz w:val="24"/>
          <w:szCs w:val="24"/>
        </w:rPr>
        <w:t xml:space="preserve"> Which of the following types of investment would best protect the purchasing power of a family's savings in the event of a sudden increase in inflation? </w:t>
      </w:r>
      <w:r>
        <w:rPr>
          <w:rFonts w:ascii="Times New Roman" w:cs="Times New Roman" w:eastAsia="Times New Roman" w:hAnsi="Times New Roman"/>
          <w:i/>
          <w:iCs/>
          <w:sz w:val="24"/>
          <w:szCs w:val="24"/>
        </w:rPr>
        <w:t xml:space="preserve">(A) A 10-year bond paying a fixed rate of interest | (B) A certificate of deposit at a bank | (C) A 25-year home mortgage at a fixed rate | (D) A house financed with a fixed-rate mortgage | (E)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D</w:t>
      </w:r>
    </w:p>
    <w:p>
      <w:pPr>
        <w:spacing w:line="360" w:after="200"/>
      </w:pPr>
      <w:r>
        <w:rPr>
          <w:rFonts w:ascii="Times New Roman" w:cs="Times New Roman" w:eastAsia="Times New Roman" w:hAnsi="Times New Roman"/>
          <w:b/>
          <w:bCs/>
          <w:sz w:val="24"/>
          <w:szCs w:val="24"/>
        </w:rPr>
        <w:t xml:space="preserve">Q39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(Asset Class Risk).</w:t>
      </w:r>
      <w:r>
        <w:rPr>
          <w:rFonts w:ascii="Times New Roman" w:cs="Times New Roman" w:eastAsia="Times New Roman" w:hAnsi="Times New Roman"/>
          <w:sz w:val="24"/>
          <w:szCs w:val="24"/>
        </w:rPr>
        <w:t xml:space="preserve"> True or false: Stocks are generally riskier than bonds.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Q40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(Crisis/Systemic Risk).</w:t>
      </w:r>
      <w:r>
        <w:rPr>
          <w:rFonts w:ascii="Times New Roman" w:cs="Times New Roman" w:eastAsia="Times New Roman" w:hAnsi="Times New Roman"/>
          <w:sz w:val="24"/>
          <w:szCs w:val="24"/>
        </w:rPr>
        <w:t xml:space="preserve"> What was a key factor contributing to the 2007 to 2008 financial crisis? </w:t>
      </w:r>
      <w:r>
        <w:rPr>
          <w:rFonts w:ascii="Times New Roman" w:cs="Times New Roman" w:eastAsia="Times New Roman" w:hAnsi="Times New Roman"/>
          <w:i/>
          <w:iCs/>
          <w:sz w:val="24"/>
          <w:szCs w:val="24"/>
        </w:rPr>
        <w:t xml:space="preserve">(A) Strong regulation of mortgage lending | (B) Widespread failure to properly assess and manage financial risk | (C) High household savings rates | (D) Low levels of borrowing by households</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pStyle w:val="Heading1"/>
        <w:pageBreakBefore/>
        <w:spacing w:before="480" w:after="240"/>
      </w:pPr>
      <w:r>
        <w:rPr>
          <w:rFonts w:ascii="Times New Roman" w:cs="Times New Roman" w:eastAsia="Times New Roman" w:hAnsi="Times New Roman"/>
          <w:sz w:val="24"/>
          <w:szCs w:val="24"/>
        </w:rPr>
        <w:t xml:space="preserve">Appendix C: Financial Literacy Misconception Taxonomy (Layer 1)</w:t>
      </w:r>
    </w:p>
    <w:p>
      <w:pPr>
        <w:spacing w:line="360" w:after="200"/>
      </w:pPr>
      <w:r>
        <w:rPr>
          <w:rFonts w:ascii="Times New Roman" w:cs="Times New Roman" w:eastAsia="Times New Roman" w:hAnsi="Times New Roman"/>
          <w:sz w:val="24"/>
          <w:szCs w:val="24"/>
        </w:rPr>
        <w:t xml:space="preserve">Layer 1 contains 37 generalizable financial literacy misconception families organized into seven categories. These codes are designed to be reproducible across assessment contexts, student populations, and institutions. Layer 2 item-specific tags (derived from observed student responses) are documented in the supplementary materials.</w:t>
      </w:r>
    </w:p>
    <w:p>
      <w:pPr>
        <w:pStyle w:val="Heading2"/>
        <w:spacing w:before="360" w:after="180"/>
      </w:pPr>
      <w:r>
        <w:rPr>
          <w:rFonts w:ascii="Times New Roman" w:cs="Times New Roman" w:eastAsia="Times New Roman" w:hAnsi="Times New Roman"/>
          <w:sz w:val="24"/>
          <w:szCs w:val="24"/>
        </w:rPr>
        <w:t xml:space="preserve">Category 1: Inflation and Purchasing Power (INF)</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 inflation = falling prices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Confuses a decrease in the inflation rate with deflation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Q6 (dominant)</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 definition confusion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understand inflation as a general rise in price levels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Fixed income impact misunderstood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understand why fixed income earners are most hurt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Q7</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 protection confusion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know which assets/contracts benefit from inflation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Q38</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Empathy-driven inflation reasoning</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Selects "who is hurt most" based on personal identification, not economic logic</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Q7</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2: Interest, Compounding, and Time Value of Money (INT)</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Interest as a fee to the saver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saving money costs the saver through interest charges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 compounding awareness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Calculates simple interest only</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Loan term does not affect total interest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total interest is the same regardless of loan length</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Q2</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Shorter term = higher total cost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shorter loan terms cost more because payments are higher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Q2</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Interest rates not negotiable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consumer interest rates are fixed by authorities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Q8</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INT-06</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Bond price-interest rate relationship reversed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bond prices rise when interest rates rise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Q29</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INT-07</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Zero interest concept confusion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Cannot calculate interest on a simple borrow/repay scenario</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Q4 (small n)</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3: Risk, Return, and Diversification (RISK)</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Safety = highest returns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Equates low risk with high returns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Q32</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Exceptions disprove general rule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specific exceptions invalidate the risk-return principle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Q30, Q35</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Diversification increases risk</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spreading across assets increases complexity and risk</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Q14, Q34</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Diversification understood but misapplied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reasoning but wrong answer (selection error)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Q36</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Single stock safer than mutual fund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concentrated investment is safer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RISK-06</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Mutual fund unfamiliarity</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know what a mutual fund is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Q11 (KG)</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RISK-07</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Stock market guarantees returns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the stock market guarantees profit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RISK-08</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Stocks vs. bonds risk confusion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know stocks are generally riskier than bonds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Q39</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Long-term asset return confusion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know stocks have historically highest long-term returns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Q32</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RISK-10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Real-world counterexamples applied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Uses non-financial scenarios to disprove financial principles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Q35</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4: Insurance and Risk Management (INS)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for routine care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health insurance exists mainly for checkups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Q12</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Frequency = purpose reasoning</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Because routine care is used more often, it must be primary</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Q12</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Deductible definition wrong</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Confuses deductible with premium, copay, or max payout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Q13</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Liability coverage scope wrong</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auto liability covers own injuries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Q37</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excludes large bills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insurance does not cover major unexpected expenses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Q12</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5: Borrowing, Credit, and Personal Finance (BORROW)</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Credit report vs. score confusion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Conflates credit report content with credit scoring</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Q10</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Single credit source belief</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credit information comes from one source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Q10</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Employer credit check unknown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know employers can check credit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Q10</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Emergency fund based on income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emergency fund should scale with income, not expenses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Q5</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Emergency fund amount too low</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one month or a fixed small amount is sufficient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Q5</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BORROW-06</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Budgeting purpose misunderstood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understand budgeting as planning for bills and savings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Q9 (small n)</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6: Financial Crises and Systemic Risk (CRISIS)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CRISIS-01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2008 crisis cause reversed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low borrowing caused the crash</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Q40</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CRISIS-02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Crisis attributed to savings risk</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the crisis was about savings losing value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Q40</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CRISIS-03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management role misunderstood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Cannot connect poor risk management to systemic failure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Q40</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7: Numeracy and Quantitative Reasoning (NUM)</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NUM-01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Percentage to count conversion error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Cannot calculate X% of N correctly</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Q33 (small n)</w:t>
            </w:r>
          </w:p>
        </w:tc>
      </w:tr>
    </w:tbl>
    <w:p>
      <w:pPr>
        <w:spacing w:after="200"/>
      </w:pPr>
    </w:p>
    <w:p>
      <w:pPr>
        <w:pStyle w:val="Heading2"/>
        <w:spacing w:before="360" w:after="180"/>
      </w:pPr>
      <w:r>
        <w:rPr>
          <w:rFonts w:ascii="Times New Roman" w:cs="Times New Roman" w:eastAsia="Times New Roman" w:hAnsi="Times New Roman"/>
          <w:sz w:val="24"/>
          <w:szCs w:val="24"/>
        </w:rPr>
        <w:t xml:space="preserve">Cross-Cutting Response Types (Not Misconceptions)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Type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KG</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Knowledge Gap</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Student has no knowledge (explicit IDK, blank, unfamiliar with terms)</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Selection Error</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Student demonstrates correct understanding but selected wrong answer</w:t>
            </w:r>
          </w:p>
        </w:tc>
      </w:tr>
    </w:tbl>
    <w:p>
      <w:pPr>
        <w:spacing w:after="200"/>
      </w:pPr>
    </w:p>
    <w:p>
      <w:pPr>
        <w:pStyle w:val="Heading1"/>
        <w:pageBreakBefore/>
        <w:spacing w:before="480" w:after="240"/>
      </w:pPr>
      <w:r>
        <w:rPr>
          <w:rFonts w:ascii="Times New Roman" w:cs="Times New Roman" w:eastAsia="Times New Roman" w:hAnsi="Times New Roman"/>
          <w:sz w:val="24"/>
          <w:szCs w:val="24"/>
        </w:rPr>
        <w:t xml:space="preserve">Appendix D: AI Scorer Model Selection Protocol</w:t>
      </w:r>
    </w:p>
    <w:p>
      <w:pPr>
        <w:spacing w:line="360" w:after="200"/>
      </w:pPr>
      <w:r>
        <w:rPr>
          <w:rFonts w:ascii="Times New Roman" w:cs="Times New Roman" w:eastAsia="Times New Roman" w:hAnsi="Times New Roman"/>
          <w:sz w:val="24"/>
          <w:szCs w:val="24"/>
        </w:rPr>
        <w:t xml:space="preserve">To select the scoring model for the AI-assisted classification pipeline (Section 4.3), we conducted a multi-model concordance evaluation. Twenty identical open-ended student responses (11 diagnose, 9 confirm) were scored by 11 large language models from seven providers, accessed via the OpenRouter API. Models were evaluated on five criteria: (1) JSON schema compliance (whether diagnose items returned the correct diagnose-format output), (2) parse/API error rate, (3) classification nuance (use of partial credit, confidence variation, and balanced classification distributions), (4) throughput (wall-clock time for 20 responses), and (5) estimated cost for the full corpus.</w:t>
      </w:r>
    </w:p>
    <w:p>
      <w:pPr>
        <w:spacing w:line="360" w:after="200"/>
      </w:pPr>
      <w:r>
        <w:rPr>
          <w:rFonts w:ascii="Times New Roman" w:cs="Times New Roman" w:eastAsia="Times New Roman" w:hAnsi="Times New Roman"/>
          <w:b/>
          <w:bCs/>
          <w:sz w:val="24"/>
          <w:szCs w:val="24"/>
        </w:rPr>
        <w:t xml:space="preserve">Table D.1: Multi-Model Concordance Results (n = 20 identical responses)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040"/>
        <w:gridCol w:w="1040"/>
        <w:gridCol w:w="1040"/>
        <w:gridCol w:w="1040"/>
        <w:gridCol w:w="1040"/>
        <w:gridCol w:w="1040"/>
        <w:gridCol w:w="1040"/>
        <w:gridCol w:w="1040"/>
        <w:gridCol w:w="1040"/>
      </w:tblGrid>
      <w:tr>
        <w:trPr>
          <w:tblHeader/>
        </w:trPr>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Model</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Provider</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Schema Violations</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Errors</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Time (20)</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Uses credit=50</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Confidence Variation</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Est. Cost (953)</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Verdict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GPT-4.1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OpenAI</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 high / 1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$2.86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Selected</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DeepSeek V3.2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DeepSeek</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266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18 high / 2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$0.24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Too slow (~3.5 h)</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Grok 4.1 Fast</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xAI</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 parse failure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144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18 high / 1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$0.22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 error rate</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Qwen3-235B</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Alibaba</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84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 high / 0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$0.07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 partial credit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GPT-4o-mini</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OpenAI</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37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18 high / 2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$0.22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Overly strict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Claude Haiku 4.5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Anthropic</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56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 high / 0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$1.58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Over-detects SE</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Gemini 3 Flash</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Google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 (rate limit)</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42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18 high / 1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$0.80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Schema violation</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Claude Sonnet 4.5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Anthropic</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71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 high / 1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$4.72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Schema violation</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Gemini 2.0 Flash</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Google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34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 high / 0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$0.15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Disqualified</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Minimax M2.1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Minimax</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 of 20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83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Disqualified</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Kimi K2.5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Moonshot AI</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 of 20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173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Disqualified</w:t>
            </w:r>
          </w:p>
        </w:tc>
      </w:tr>
    </w:tbl>
    <w:p>
      <w:pPr>
        <w:spacing w:after="200"/>
      </w:pPr>
    </w:p>
    <w:p>
      <w:pPr>
        <w:spacing w:line="360" w:after="200"/>
      </w:pPr>
      <w:r>
        <w:rPr>
          <w:rFonts w:ascii="Times New Roman" w:cs="Times New Roman" w:eastAsia="Times New Roman" w:hAnsi="Times New Roman"/>
          <w:sz w:val="24"/>
          <w:szCs w:val="24"/>
        </w:rPr>
        <w:t xml:space="preserve">Schema violations occur when a diagnose item returns the confirm-format JSON (e.g., </w:t>
      </w:r>
      <w:r>
        <w:rPr>
          <w:rFonts w:ascii="Courier New" w:cs="Courier New" w:eastAsia="Courier New" w:hAnsi="Courier New"/>
          <w:sz w:val="24"/>
          <w:szCs w:val="24"/>
        </w:rPr>
        <w:t xml:space="preserve">understanding_level</w:t>
      </w:r>
      <w:r>
        <w:rPr>
          <w:rFonts w:ascii="Times New Roman" w:cs="Times New Roman" w:eastAsia="Times New Roman" w:hAnsi="Times New Roman"/>
          <w:sz w:val="24"/>
          <w:szCs w:val="24"/>
        </w:rPr>
        <w:t xml:space="preserve"> instead of </w:t>
      </w:r>
      <w:r>
        <w:rPr>
          <w:rFonts w:ascii="Courier New" w:cs="Courier New" w:eastAsia="Courier New" w:hAnsi="Courier New"/>
          <w:sz w:val="24"/>
          <w:szCs w:val="24"/>
        </w:rPr>
        <w:t xml:space="preserve">diagnosis_type</w:t>
      </w:r>
      <w:r>
        <w:rPr>
          <w:rFonts w:ascii="Times New Roman" w:cs="Times New Roman" w:eastAsia="Times New Roman" w:hAnsi="Times New Roman"/>
          <w:sz w:val="24"/>
          <w:szCs w:val="24"/>
        </w:rPr>
        <w:t xml:space="preserve">). Three models were disqualified: Minimax M2.1 and Kimi K2.5 returned empty or unparseable responses on nearly all items; Gemini 2.0 Flash produced two schema violations and lacked any partial-credit classifications.</w:t>
      </w:r>
    </w:p>
    <w:p>
      <w:pPr>
        <w:spacing w:line="360" w:after="200"/>
      </w:pPr>
      <w:r>
        <w:rPr>
          <w:rFonts w:ascii="Times New Roman" w:cs="Times New Roman" w:eastAsia="Times New Roman" w:hAnsi="Times New Roman"/>
          <w:b/>
          <w:bCs/>
          <w:sz w:val="24"/>
          <w:szCs w:val="24"/>
        </w:rPr>
        <w:t xml:space="preserve">Table D.2: Inter-Model Agreement on Disputed Classifications</w:t>
      </w:r>
    </w:p>
    <w:p>
      <w:pPr>
        <w:spacing w:line="360" w:after="200"/>
      </w:pPr>
      <w:r>
        <w:rPr>
          <w:rFonts w:ascii="Times New Roman" w:cs="Times New Roman" w:eastAsia="Times New Roman" w:hAnsi="Times New Roman"/>
          <w:sz w:val="24"/>
          <w:szCs w:val="24"/>
        </w:rPr>
        <w:t xml:space="preserve">Four responses produced substantive disagreement among the eight non-disqualified models. Table D.2 shows the classification assigned by the five models with zero schema violations and zero or one errors.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337"/>
        <w:gridCol w:w="1337"/>
        <w:gridCol w:w="1337"/>
        <w:gridCol w:w="1337"/>
        <w:gridCol w:w="1337"/>
        <w:gridCol w:w="1337"/>
        <w:gridCol w:w="1338"/>
      </w:tblGrid>
      <w:tr>
        <w:trPr>
          <w:tblHeader/>
        </w:trPr>
        <w:tc>
          <w:tcPr>
            <w:tcW w:type="dxa" w:w="1337"/>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Response</w:t>
            </w:r>
          </w:p>
        </w:tc>
        <w:tc>
          <w:tcPr>
            <w:tcW w:type="dxa" w:w="1337"/>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Student Text (abbreviated)</w:t>
            </w:r>
          </w:p>
        </w:tc>
        <w:tc>
          <w:tcPr>
            <w:tcW w:type="dxa" w:w="1337"/>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GPT-4.1</w:t>
            </w:r>
          </w:p>
        </w:tc>
        <w:tc>
          <w:tcPr>
            <w:tcW w:type="dxa" w:w="1337"/>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DeepSeek V3.2</w:t>
            </w:r>
          </w:p>
        </w:tc>
        <w:tc>
          <w:tcPr>
            <w:tcW w:type="dxa" w:w="1337"/>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Grok 4.1 Fast</w:t>
            </w:r>
          </w:p>
        </w:tc>
        <w:tc>
          <w:tcPr>
            <w:tcW w:type="dxa" w:w="1337"/>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Haiku 4.5</w:t>
            </w:r>
          </w:p>
        </w:tc>
        <w:tc>
          <w:tcPr>
            <w:tcW w:type="dxa" w:w="1338"/>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Qwen3-235B</w:t>
            </w:r>
          </w:p>
        </w:tc>
      </w:tr>
      <w:tr>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Q9 Diagnose</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"safety net... preventing interest rates"</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 (selfcorrect)</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 (selfcorrect)</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(BORROW-06)</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 (selfcorrect)</w:t>
            </w:r>
          </w:p>
        </w:tc>
        <w:tc>
          <w:tcPr>
            <w:tcW w:type="dxa" w:w="1338"/>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(BORROW-06)</w:t>
            </w:r>
          </w:p>
        </w:tc>
      </w:tr>
      <w:tr>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Q5 Diagnose</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"having a little extra cash is safe enough"</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(BORROW-05), credit=50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(BORROW-05), credit=50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(BORROW-05), credit=100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KG (idk), credit=0</w:t>
            </w:r>
          </w:p>
        </w:tc>
        <w:tc>
          <w:tcPr>
            <w:tcW w:type="dxa" w:w="1338"/>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KG (idk), credit=0</w:t>
            </w:r>
          </w:p>
        </w:tc>
      </w:tr>
      <w:tr>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Q13 Diagnose</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"deductible is $500... insurance pays rest"</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 (selfcorrect)</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(INS-03), credit=50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 (selfcorrect)</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 (INS-03)</w:t>
            </w:r>
          </w:p>
        </w:tc>
        <w:tc>
          <w:tcPr>
            <w:tcW w:type="dxa" w:w="1338"/>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(INS-03)</w:t>
            </w:r>
          </w:p>
        </w:tc>
      </w:tr>
      <w:tr>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Q37 Confirm</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"Liability coverage protects you from large payments..."</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verified, credit=100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verified, credit=100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verified, credit=100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partial, credit=50</w:t>
            </w:r>
          </w:p>
        </w:tc>
        <w:tc>
          <w:tcPr>
            <w:tcW w:type="dxa" w:w="1338"/>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verified, credit=100</w:t>
            </w:r>
          </w:p>
        </w:tc>
      </w:tr>
    </w:tbl>
    <w:p>
      <w:pPr>
        <w:spacing w:after="200"/>
      </w:pPr>
    </w:p>
    <w:p>
      <w:pPr>
        <w:spacing w:line="360" w:after="200"/>
      </w:pPr>
      <w:r>
        <w:rPr>
          <w:rFonts w:ascii="Times New Roman" w:cs="Times New Roman" w:eastAsia="Times New Roman" w:hAnsi="Times New Roman"/>
          <w:b/>
          <w:bCs/>
          <w:sz w:val="24"/>
          <w:szCs w:val="24"/>
        </w:rPr>
        <w:t xml:space="preserve">Selection Rationale.</w:t>
      </w:r>
      <w:r>
        <w:rPr>
          <w:rFonts w:ascii="Times New Roman" w:cs="Times New Roman" w:eastAsia="Times New Roman" w:hAnsi="Times New Roman"/>
          <w:sz w:val="24"/>
          <w:szCs w:val="24"/>
        </w:rPr>
        <w:t xml:space="preserve"> GPT-4.1 was selected as the production scorer based on: (a) zero schema violations across all 20 test items, (b) zero parse or API errors, (c) appropriate use of credit=50 for borderline misconceptions, (d) balanced classification distributions, and (e) reasonable throughput and cost (~33 minutes, ~$2.86 for the full corpus). On the disputed items, GPT-4.1's classifications aligned with the majority of the zero-error models in three of four cases, supporting its position as a concordant central scorer.</w:t>
      </w:r>
    </w:p>
    <w:p>
      <w:pPr>
        <w:pStyle w:val="Heading1"/>
        <w:pageBreakBefore/>
        <w:spacing w:before="480" w:after="240"/>
      </w:pPr>
      <w:r>
        <w:rPr>
          <w:rFonts w:ascii="Times New Roman" w:cs="Times New Roman" w:eastAsia="Times New Roman" w:hAnsi="Times New Roman"/>
          <w:sz w:val="24"/>
          <w:szCs w:val="24"/>
        </w:rPr>
        <w:t xml:space="preserve">Appendix E: Supplementary Materials</w:t>
      </w:r>
    </w:p>
    <w:p>
      <w:pPr>
        <w:pStyle w:val="ListParagraph"/>
        <w:numPr>
          <w:ilvl w:val="0"/>
          <w:numId w:val="3"/>
        </w:numPr>
        <w:spacing w:line="360" w:after="100"/>
      </w:pPr>
      <w:r>
        <w:rPr>
          <w:rFonts w:ascii="Times New Roman" w:cs="Times New Roman" w:eastAsia="Times New Roman" w:hAnsi="Times New Roman"/>
          <w:b/>
          <w:bCs/>
          <w:sz w:val="24"/>
          <w:szCs w:val="24"/>
        </w:rPr>
        <w:t xml:space="preserve">Introductory orientation video.</w:t>
      </w:r>
      <w:r>
        <w:rPr>
          <w:rFonts w:ascii="Times New Roman" w:cs="Times New Roman" w:eastAsia="Times New Roman" w:hAnsi="Times New Roman"/>
          <w:sz w:val="24"/>
          <w:szCs w:val="24"/>
        </w:rPr>
        <w:t xml:space="preserve"> Before beginning the assessment, each student views a short orientation video explaining the purpose, structure, and non-graded nature of the assessment. The video is available at: </w:t>
      </w:r>
      <w:r>
        <w:rPr>
          <w:rFonts w:ascii="Times New Roman" w:cs="Times New Roman" w:eastAsia="Times New Roman" w:hAnsi="Times New Roman"/>
          <w:color w:val="0563C1"/>
          <w:sz w:val="24"/>
          <w:szCs w:val="24"/>
          <w:u w:val="single"/>
        </w:rPr>
        <w:t xml:space="preserve">https://financial-literacy.qualiaai.fr/intro-video.mp4</w:t>
      </w:r>
    </w:p>
    <w:p>
      <w:pPr>
        <w:pStyle w:val="ListParagraph"/>
        <w:numPr>
          <w:ilvl w:val="0"/>
          <w:numId w:val="3"/>
        </w:numPr>
        <w:spacing w:line="360" w:after="100"/>
      </w:pPr>
      <w:r>
        <w:rPr>
          <w:rFonts w:ascii="Times New Roman" w:cs="Times New Roman" w:eastAsia="Times New Roman" w:hAnsi="Times New Roman"/>
          <w:b/>
          <w:bCs/>
          <w:sz w:val="24"/>
          <w:szCs w:val="24"/>
        </w:rPr>
        <w:t xml:space="preserve">Source code repository.</w:t>
      </w:r>
      <w:r>
        <w:rPr>
          <w:rFonts w:ascii="Times New Roman" w:cs="Times New Roman" w:eastAsia="Times New Roman" w:hAnsi="Times New Roman"/>
          <w:sz w:val="24"/>
          <w:szCs w:val="24"/>
        </w:rPr>
        <w:t xml:space="preserve"> The complete platform source code, data export scripts, and reproducible verification script (</w:t>
      </w:r>
      <w:r>
        <w:rPr>
          <w:rFonts w:ascii="Courier New" w:cs="Courier New" w:eastAsia="Courier New" w:hAnsi="Courier New"/>
          <w:sz w:val="24"/>
          <w:szCs w:val="24"/>
        </w:rPr>
        <w:t xml:space="preserve">verify_paper_tables.py</w:t>
      </w:r>
      <w:r>
        <w:rPr>
          <w:rFonts w:ascii="Times New Roman" w:cs="Times New Roman" w:eastAsia="Times New Roman" w:hAnsi="Times New Roman"/>
          <w:sz w:val="24"/>
          <w:szCs w:val="24"/>
        </w:rPr>
        <w:t xml:space="preserve">) are publicly available in the project repository (Bolivard, 2026).</w:t>
      </w:r>
    </w:p>
    <w:p>
      <w:pPr>
        <w:pStyle w:val="ListParagraph"/>
        <w:numPr>
          <w:ilvl w:val="0"/>
          <w:numId w:val="3"/>
        </w:numPr>
        <w:spacing w:line="360" w:after="100"/>
      </w:pPr>
      <w:r>
        <w:rPr>
          <w:rFonts w:ascii="Times New Roman" w:cs="Times New Roman" w:eastAsia="Times New Roman" w:hAnsi="Times New Roman"/>
          <w:b/>
          <w:bCs/>
          <w:sz w:val="24"/>
          <w:szCs w:val="24"/>
        </w:rPr>
        <w:t xml:space="preserve">De-identified data exports.</w:t>
      </w:r>
      <w:r>
        <w:rPr>
          <w:rFonts w:ascii="Times New Roman" w:cs="Times New Roman" w:eastAsia="Times New Roman" w:hAnsi="Times New Roman"/>
          <w:sz w:val="24"/>
          <w:szCs w:val="24"/>
        </w:rPr>
        <w:t xml:space="preserve"> Consented response data (</w:t>
      </w:r>
      <w:r>
        <w:rPr>
          <w:rFonts w:ascii="Courier New" w:cs="Courier New" w:eastAsia="Courier New" w:hAnsi="Courier New"/>
          <w:sz w:val="24"/>
          <w:szCs w:val="24"/>
        </w:rPr>
        <w:t xml:space="preserve">consented_responses_354.csv</w:t>
      </w:r>
      <w:r>
        <w:rPr>
          <w:rFonts w:ascii="Times New Roman" w:cs="Times New Roman" w:eastAsia="Times New Roman" w:hAnsi="Times New Roman"/>
          <w:sz w:val="24"/>
          <w:szCs w:val="24"/>
        </w:rPr>
        <w:t xml:space="preserve">), diagnose classification results (</w:t>
      </w:r>
      <w:r>
        <w:rPr>
          <w:rFonts w:ascii="Courier New" w:cs="Courier New" w:eastAsia="Courier New" w:hAnsi="Courier New"/>
          <w:sz w:val="24"/>
          <w:szCs w:val="24"/>
        </w:rPr>
        <w:t xml:space="preserve">diagnose_by_item.csv</w:t>
      </w:r>
      <w:r>
        <w:rPr>
          <w:rFonts w:ascii="Times New Roman" w:cs="Times New Roman" w:eastAsia="Times New Roman" w:hAnsi="Times New Roman"/>
          <w:sz w:val="24"/>
          <w:szCs w:val="24"/>
        </w:rPr>
        <w:t xml:space="preserve">), confirm classification results (</w:t>
      </w:r>
      <w:r>
        <w:rPr>
          <w:rFonts w:ascii="Courier New" w:cs="Courier New" w:eastAsia="Courier New" w:hAnsi="Courier New"/>
          <w:sz w:val="24"/>
          <w:szCs w:val="24"/>
        </w:rPr>
        <w:t xml:space="preserve">confirm_by_item.csv</w:t>
      </w:r>
      <w:r>
        <w:rPr>
          <w:rFonts w:ascii="Times New Roman" w:cs="Times New Roman" w:eastAsia="Times New Roman" w:hAnsi="Times New Roman"/>
          <w:sz w:val="24"/>
          <w:szCs w:val="24"/>
        </w:rPr>
        <w:t xml:space="preserve">), and the SDM-10 item bank (</w:t>
      </w:r>
      <w:r>
        <w:rPr>
          <w:rFonts w:ascii="Courier New" w:cs="Courier New" w:eastAsia="Courier New" w:hAnsi="Courier New"/>
          <w:sz w:val="24"/>
          <w:szCs w:val="24"/>
        </w:rPr>
        <w:t xml:space="preserve">sdm10_item_bank.xlsx</w:t>
      </w:r>
      <w:r>
        <w:rPr>
          <w:rFonts w:ascii="Times New Roman" w:cs="Times New Roman" w:eastAsia="Times New Roman" w:hAnsi="Times New Roman"/>
          <w:sz w:val="24"/>
          <w:szCs w:val="24"/>
        </w:rPr>
        <w:t xml:space="preserve">) are available for download at: </w:t>
      </w:r>
      <w:r>
        <w:rPr>
          <w:rFonts w:ascii="Times New Roman" w:cs="Times New Roman" w:eastAsia="Times New Roman" w:hAnsi="Times New Roman"/>
          <w:color w:val="0563C1"/>
          <w:sz w:val="24"/>
          <w:szCs w:val="24"/>
          <w:u w:val="single"/>
        </w:rPr>
        <w:t xml:space="preserve">https://financial-literacy.qualiaai.fr/admin/documents</w:t>
      </w:r>
    </w:p>
    <w:sectPr>
      <w:headerReference w:type="default" r:id="rId6"/>
      <w:footerReference w:type="default" r:id="rId7"/>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Pre-Course Financial Literacy Assessment — Spring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000000"/>
      <w:sz w:val="32"/>
      <w:szCs w:val="32"/>
    </w:rPr>
  </w:style>
  <w:style w:type="paragraph" w:styleId="Heading2">
    <w:name w:val="Heading 2"/>
    <w:basedOn w:val="Normal"/>
    <w:next w:val="Normal"/>
    <w:qFormat/>
    <w:pPr>
      <w:spacing w:before="360" w:after="180"/>
      <w:outlineLvl w:val="1"/>
    </w:pPr>
    <w:rPr>
      <w:rFonts w:ascii="Arial" w:cs="Arial" w:eastAsia="Arial" w:hAnsi="Arial"/>
      <w:b/>
      <w:bCs/>
      <w:color w:val="000000"/>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fb3ef5bb6345b74d5a49530286d89685d865057b.undefined"/><Relationship Id="rId9" Type="http://schemas.openxmlformats.org/officeDocument/2006/relationships/image" Target="media/eb6fe25ffa323170dc4ce9b7bd716b916ee9a8db.undefined"/><Relationship Id="rId10" Type="http://schemas.openxmlformats.org/officeDocument/2006/relationships/image" Target="media/a2ded5315995609fcf1cc70a7f7a979402eaf036.undefined"/><Relationship Id="rId11" Type="http://schemas.openxmlformats.org/officeDocument/2006/relationships/image" Target="media/1dd102a4ef1d5ee1253ce89081466c70eb774a29.undefined"/><Relationship Id="rId12" Type="http://schemas.openxmlformats.org/officeDocument/2006/relationships/image" Target="media/6b924f66c73cf875d83a03e08e0bb344059457b2.undefined"/><Relationship Id="rId13" Type="http://schemas.openxmlformats.org/officeDocument/2006/relationships/image" Target="media/e20a754195d8797c443e631068bf6cc458b9e9b8.undefined"/><Relationship Id="rId14" Type="http://schemas.openxmlformats.org/officeDocument/2006/relationships/image" Target="media/ad2f2b8ca0c97fa3c78aa94b3459085c92207e53.undefined"/><Relationship Id="rId15" Type="http://schemas.openxmlformats.org/officeDocument/2006/relationships/image" Target="media/0a2b849edc804f65e3c6bff571fb8bd51b09c574.undefined"/><Relationship Id="rId1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2026-02-11T06:20:58.884Z</dcterms:created>
  <dcterms:modified xsi:type="dcterms:W3CDTF">2026-02-11T06:20:58.887Z</dcterms:modified>
</cp:coreProperties>
</file>

<file path=docProps/custom.xml><?xml version="1.0" encoding="utf-8"?>
<Properties xmlns="http://schemas.openxmlformats.org/officeDocument/2006/custom-properties" xmlns:vt="http://schemas.openxmlformats.org/officeDocument/2006/docPropsVTypes"/>
</file>