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Guillaume Bolivard</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Abstract</w:t>
      </w:r>
    </w:p>
    <w:p>
      <w:pPr>
        <w:spacing w:line="360" w:after="200"/>
      </w:pPr>
      <w:r>
        <w:rPr>
          <w:rFonts w:ascii="Times New Roman" w:cs="Times New Roman" w:eastAsia="Times New Roman" w:hAnsi="Times New Roman"/>
          <w:sz w:val="24"/>
          <w:szCs w:val="24"/>
        </w:rPr>
        <w:t xml:space="preserve">This paper describes the design, implementation, and initial deployment of a 40-item pre-course financial risk literacy assessment for QUIN 102 at Loyola University Chicago. The instrument spans three knowledge domains -- Borrowing and Credit, Risk Management, and Investment and Risk -- using 26 scored and 14 unscored anchor items. A Supplemental Diagnostic Module (SDM-10) adaptively selects up to 10 open-ended follow-up items based on each student's anchor performance; an AI scoring pipeline classifies responses into misconception, knowledge gap, and selection error categories. During the Spring 2026 pilot, 354 research-consented students completed the assessment through a FERPA-compliant web platform built on Next.js and PostgreSQL. The mean anchor score was 67.0% (SD = 17.9%), with notable variation across domains. Among 493 scored diagnostic responses, 53.9% reflected misconceptions, 31.9% selection errors, and 14.2% knowledge gaps. We discuss implications for targeted instruction, outline limitations of the current single-cohort design, and preview a planned validation study that will add pre-post measurement, factor analysis, and heterogeneity modeling.</w:t>
      </w: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Diagnostic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Since the early 2000s, a growing body of research has examined how well people understand basic financial concepts and how that understanding shapes their economic decisions. Lusardi and Mitchell (2014) anchored much of this work by defining financial literacy around three core ideas -- interest compounding, inflation, and risk diversification -- and showing that individuals who grasp these concepts save more, invest more effectively, and accumulate greater wealth over time.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Although the construct is widely acknowledged,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OECD/INFE toolkit (OECD, 2022)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In their methodological review, Hastings, Madrian, and Skimmyhorn (2013) examined how researchers actually measure financial literacy and concluded that the "Big Five" questions -- interest rates, inflation, diversification, compound interest, and bond pricing -- remain the field's most trusted indicators, despite persistent difficulties in drawing causal links between what people know and how they behave financially.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Within the college population,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knowledge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preference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adaptive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We built the question bank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Starting from an initial pool of approximately 80 candidates, we refined the bank down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We score knowledge items (Q1--Q14, Q29--Q40) as correct/incorrect (binary) and compute both overall and domain-level percent-correct scores across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Each anchor item also carries a confidence rating, which we use for secondary analyses (calibration and diagnostic interpretation) but which does not affect the primary score.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We designed the instrument to be internally consistent and transferable. Although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(six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two items per scoring domain). Phase 2 fills remaining slots in descending Need order. Phase 3 provides fallback if fewer than 10 subcategories have Need &gt; 0, using mastery-probing items from the strongest subcategories. Open-ended items are capped at three per student to limit response burden. The complete algorithm specification is presented in Appendix A.</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306 (86.4%)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open-ended responses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781</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Responses scored by AI</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778</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493</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285</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model</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error rate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Diagnostic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(Fixed Income)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older_workers_worst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(Lowering)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down_payment_only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one_month_sufficient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Health Insurance Purpose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fixed_bond_best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KG-unfamiliar</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Returns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Function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Relationship</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some_bonds_risky_too</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Financial Crisis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100 (full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 (partial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(no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34/42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16/39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we conducted a manual analysis of response patterns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 rate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employer_use_confusion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Near-exact match.</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We administer the assessment through a dedicated web platform -- the Financial Literacy Toolkit -- developed for this study. We built the platform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On receipt, the platform immediately transforms each student ID into a one-way cryptographic hash (SHA-256 with a per-course pepper) and discards the raw identifier; all subsequent data storage and analysis use only the hashed key. We store no raw student ID numbers, names, email addresses, or other personally identifiable information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mean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SD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Median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Below we report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five and nine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Enrolled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Abandoned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(research)</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Declined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NULL consent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Withdrawn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Prefer not to say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English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278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Spanish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languages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Risk and Return Knowledge was the weakest domain, driven primarily by low performance on Q38 (Inflation Protection) and Q6 (Inflation Lowering). However, this domain also has the highest selection error count (56), suggesting some of this weakness is artifactual.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risk</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Developing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Proficient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1"/>
        <w:pageBreakBefore/>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the prevalence of misconceptions across the full class.</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The 81% selection error rate on Q36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That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None of this information is available from the anchor score alone, and the ability to surface it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rather than cohort-wide rates.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spacing w:line="360" w:after="200"/>
      </w:pPr>
      <w:r>
        <w:rPr>
          <w:rFonts w:ascii="Times New Roman" w:cs="Times New Roman" w:eastAsia="Times New Roman" w:hAnsi="Times New Roman"/>
          <w:b/>
          <w:bCs/>
          <w:sz w:val="24"/>
          <w:szCs w:val="24"/>
        </w:rPr>
        <w:t xml:space="preserve">Future modality: oral diagnostics for misconception depth (proposed).</w:t>
      </w:r>
      <w:r>
        <w:rPr>
          <w:rFonts w:ascii="Times New Roman" w:cs="Times New Roman" w:eastAsia="Times New Roman" w:hAnsi="Times New Roman"/>
          <w:sz w:val="24"/>
          <w:szCs w:val="24"/>
        </w:rPr>
        <w:t xml:space="preserve"> A promising extension of the SDM-10 framework is an oral diagnostic modality implemented as a structured, AI-mediated interview calibrated by each student's highest-Need SDM findings. Written open-ended prompts can yield thin responses that limit diagnostic signal, while a short conversation can adaptively probe reasoning, distinguish misreading from conceptual misunderstanding, and classify misconceptions by depth -- for example, shallow misconceptions that collapse after one counterexample versus deep structural misunderstandings that persist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Operationally, the oral diagnostic should be designed as a constrained clinical-interview script with branching logic rather than open-ended chat: a brief warm-up, then two to three targeted probes per participant based on their top misconceptions, using new scenarios rather than repeating original items, followed by structured follow-ups designed to test self-correction and persistence. Because oral assessment introduces additional considerations -- including speaking anxiety, language and accent effects, transcription error, and privacy risks associated with voice data -- this modality is proposed only as a small IRB-reviewed volunteer pilot (for example, ~20--30 students) evaluated via within-subject comparison against written SDM classifications to quantify incremental diagnostic value before any scaling.</w:t>
      </w:r>
    </w:p>
    <w:p>
      <w:pPr>
        <w:spacing w:line="360" w:after="200"/>
      </w:pPr>
      <w:r>
        <w:rPr>
          <w:rFonts w:ascii="Times New Roman" w:cs="Times New Roman" w:eastAsia="Times New Roman" w:hAnsi="Times New Roman"/>
          <w:sz w:val="24"/>
          <w:szCs w:val="24"/>
        </w:rPr>
        <w:t xml:space="preserve">This oral modality is future work and would be implemented and analyzed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Readers should keep the following limitations in mind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Because we report instrument design and pilot diagnostic outputs from a single pre-course assessment, no causal claims about instructional effectiveness can be drawn from Paper 1. Establishing causality requires paired pre-post data, which we plan to report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 single LLM (GPT-4.1) classified all open-ended responses. We selected this model through an 11-model concordance protocol (Appendix D), and it achieved zero schema violations and zero parse errors across the 778 scored consented responses; nevertheless, automated classification may diverge from human judgment on borderline cases. The model assigned "high" confidence to 96.8% of its own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Although the pre-course assessment collected demographic and financial background data, we defer all subgroup analyses (e.g., by gender, race/ethnicity, first-generation status) to Paper 2. We plan to submit an IRB application for human-subjects research; until approval is obtained, no subgroup comparisons or inferential claims appear in this report.</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No student actively opted out (see Section 5.3). We exclude the NULL cohort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We reviewed and retained these submissions, but they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We identified and filtered the mismatched responses using an anchor_score and confidence cross-check. The bug was subsequently fixed, and the misconception taxonomy is unaffected because we verified that all analyzed responses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no student actively chose to decline (as noted in Section 5.3),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We will compute learning gains as the difference between post-course and pre-course scores for each student, both overall and by domain. Paired t-tests (or nonparametric equivalents) will assess the statistical significance of mean gains, and we will report standardized effect sizes (within-student Cohen's 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We will model heterogeneity in learning gains as a function of baseline covariates, including demographics, financial background, work status, financial stress, self-rated knowledge, prior product experience, and preference-item responses (Q15--Q28). Separate domain-specific models will reveal whether the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We will run Exploratory Factor Analysis to assess dimensionality within and across domains, use Cronbach's alpha to evaluate internal consistency, and examine item-level statistics to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 who takes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 size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basis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balance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fallback</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source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Grading</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Primary outcomes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1: Domain minimums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Ensure coverage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2: Need-based filling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Maximize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3: Mastery fallback</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Avoid empty slots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deficit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priority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spread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order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Seeded random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Characteristics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B1--B5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B6--B10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Debt status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B11--B13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 Q6, Q7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Saving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Earning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Borrowing/Credit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Diversification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 Q14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 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Allocation Preference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Loss Aversion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Perception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Social Influence and Herding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Retirement Risk Planning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Emotional Response to Loss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Decision Process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Confidence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Attitude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Reaction to Underperformance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Definition of Success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Downside Awareness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Preference in Income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Scam Skepticism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Q30, Q31, Q32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 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Crisis/Systemic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Q6 (dominant)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compounding awareness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 highest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Q30, Q35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Q14, Q34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Mutual fund unfamiliarity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 (KG)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Frequency = purpose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credit source belief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crisis cause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NUM-01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 V3.2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Too slow (~3.5 h)</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Grok 4.1 Fast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xAI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parse failure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 error rate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Qwen3-235B</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Alibaba</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partial credit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GPT-4o-mini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Overly strict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Haiku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Over-detects SE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3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(rate limit)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$0.80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Sonnet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$4.72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2.0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 M2.1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Kimi K2.5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Moonshot 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(INS-03)</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 Confirm</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credit=50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b3ef5bb6345b74d5a49530286d89685d865057b.undefined"/><Relationship Id="rId9" Type="http://schemas.openxmlformats.org/officeDocument/2006/relationships/image" Target="media/eb6fe25ffa323170dc4ce9b7bd716b916ee9a8db.undefined"/><Relationship Id="rId10" Type="http://schemas.openxmlformats.org/officeDocument/2006/relationships/image" Target="media/a2ded5315995609fcf1cc70a7f7a979402eaf036.undefined"/><Relationship Id="rId11" Type="http://schemas.openxmlformats.org/officeDocument/2006/relationships/image" Target="media/1dd102a4ef1d5ee1253ce89081466c70eb774a29.undefined"/><Relationship Id="rId12" Type="http://schemas.openxmlformats.org/officeDocument/2006/relationships/image" Target="media/6b924f66c73cf875d83a03e08e0bb344059457b2.undefined"/><Relationship Id="rId13" Type="http://schemas.openxmlformats.org/officeDocument/2006/relationships/image" Target="media/e20a754195d8797c443e631068bf6cc458b9e9b8.undefined"/><Relationship Id="rId14" Type="http://schemas.openxmlformats.org/officeDocument/2006/relationships/image" Target="media/ad2f2b8ca0c97fa3c78aa94b3459085c92207e53.undefined"/><Relationship Id="rId15" Type="http://schemas.openxmlformats.org/officeDocument/2006/relationships/image" Target="media/0a2b849edc804f65e3c6bff571fb8bd51b09c574.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2026-02-12T01:01:23.766Z</dcterms:created>
  <dcterms:modified xsi:type="dcterms:W3CDTF">2026-02-12T01:01:23.767Z</dcterms:modified>
</cp:coreProperties>
</file>

<file path=docProps/custom.xml><?xml version="1.0" encoding="utf-8"?>
<Properties xmlns="http://schemas.openxmlformats.org/officeDocument/2006/custom-properties" xmlns:vt="http://schemas.openxmlformats.org/officeDocument/2006/docPropsVTypes"/>
</file>