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sz w:val="36"/>
          <w:szCs w:val="36"/>
        </w:rPr>
        <w:t xml:space="preserve">Pre-Course Financial Literacy Assessment:</w:t>
      </w:r>
    </w:p>
    <w:p>
      <w:pPr>
        <w:spacing w:after="120"/>
        <w:jc w:val="center"/>
      </w:pPr>
      <w:r>
        <w:rPr>
          <w:rFonts w:ascii="Arial" w:cs="Arial" w:eastAsia="Arial" w:hAnsi="Arial"/>
          <w:b/>
          <w:bCs/>
          <w:sz w:val="36"/>
          <w:szCs w:val="36"/>
        </w:rPr>
        <w:t xml:space="preserve">Baseline Measurement for QUINN 102 (Financial Literacy),</w:t>
      </w:r>
    </w:p>
    <w:p>
      <w:pPr>
        <w:spacing w:after="600"/>
        <w:jc w:val="center"/>
      </w:pPr>
      <w:r>
        <w:rPr>
          <w:rFonts w:ascii="Arial" w:cs="Arial" w:eastAsia="Arial" w:hAnsi="Arial"/>
          <w:b/>
          <w:bCs/>
          <w:sz w:val="36"/>
          <w:szCs w:val="36"/>
        </w:rPr>
        <w:t xml:space="preserve">Spring 2026</w:t>
      </w:r>
    </w:p>
    <w:p>
      <w:pPr>
        <w:spacing w:after="240"/>
        <w:jc w:val="center"/>
      </w:pPr>
      <w:r>
        <w:rPr>
          <w:rFonts w:ascii="Times New Roman" w:cs="Times New Roman" w:eastAsia="Times New Roman" w:hAnsi="Times New Roman"/>
          <w:sz w:val="28"/>
          <w:szCs w:val="28"/>
        </w:rPr>
        <w:t xml:space="preserve">Loyola University Chicago</w:t>
      </w:r>
    </w:p>
    <w:p>
      <w:pPr>
        <w:spacing w:after="240"/>
        <w:jc w:val="center"/>
      </w:pPr>
      <w:r>
        <w:rPr>
          <w:rFonts w:ascii="Times New Roman" w:cs="Times New Roman" w:eastAsia="Times New Roman" w:hAnsi="Times New Roman"/>
          <w:sz w:val="28"/>
          <w:szCs w:val="28"/>
        </w:rPr>
        <w:t xml:space="preserve">Independent Study — Spring 2026</w:t>
      </w:r>
    </w:p>
    <w:p>
      <w:pPr>
        <w:spacing w:after="240"/>
        <w:jc w:val="center"/>
      </w:pPr>
      <w:r>
        <w:rPr>
          <w:rFonts w:ascii="Times New Roman" w:cs="Times New Roman" w:eastAsia="Times New Roman" w:hAnsi="Times New Roman"/>
          <w:sz w:val="28"/>
          <w:szCs w:val="28"/>
        </w:rPr>
        <w:t xml:space="preserve">February 2026</w:t>
      </w:r>
    </w:p>
    <w:p>
      <w:pPr>
        <w:sectPr>
          <w:pgSz w:w="12240" w:h="15840" w:orient="portrait"/>
          <w:pgMar w:top="1440" w:right="1440" w:bottom="1440" w:left="1440" w:header="708" w:footer="708" w:gutter="0"/>
          <w:pgNumType/>
          <w:docGrid w:linePitch="360"/>
        </w:sectPr>
      </w:pPr>
    </w:p>
    <w:p>
      <w:pPr>
        <w:spacing w:after="400"/>
        <w:jc w:val="center"/>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line="360" w:after="200"/>
        <w:jc w:val="left"/>
      </w:pPr>
      <w:r>
        <w:rPr>
          <w:rFonts w:ascii="Times New Roman" w:cs="Times New Roman" w:eastAsia="Times New Roman" w:hAnsi="Times New Roman"/>
          <w:sz w:val="24"/>
          <w:szCs w:val="24"/>
        </w:rPr>
        <w:t xml:space="preserve">Financial literacy is commonly defined as the ability to understand and use financial concepts and quantitative information to make informed decisions about saving, borrowing, investing, and managing risk. In the human capital framework, these competencies influence participation in credit and asset markets, portfolio choice, and resilience to shocks. For university students, financial literacy is immediately consequential because many begin managing debt, credit, and consumption decisions under limited experience and imperfect information. Small misunderstandings in compounding, interest-rate mechanics, inflation, diversification, and insurance can translate into persistent debt burdens, fragile liquidity positions, and suboptimal portfolio choices.</w:t>
      </w:r>
    </w:p>
    <w:p>
      <w:pPr>
        <w:spacing w:line="360" w:after="200"/>
        <w:jc w:val="left"/>
      </w:pPr>
      <w:r>
        <w:rPr>
          <w:rFonts w:ascii="Times New Roman" w:cs="Times New Roman" w:eastAsia="Times New Roman" w:hAnsi="Times New Roman"/>
          <w:sz w:val="24"/>
          <w:szCs w:val="24"/>
        </w:rPr>
        <w:t xml:space="preserve">Recent policy debate on consumer credit highlights why financial literacy matters for borrowing outcomes. Creditworthiness is partly a function of financial literacy education, and improving consumers’ understanding of borrowing mechanics can reduce delinquency and compounding penalty dynamics that raise effective borrowing costs. From this perspective, expanding access to bona fide financial literacy education is not only consumer protection but also a market-relevant intervention, because stronger credit profiles can reduce risk-based pricing pressure and contribute to lower rates over time for both borrowers and lenders.</w:t>
      </w:r>
    </w:p>
    <w:p>
      <w:pPr>
        <w:spacing w:line="360" w:after="200"/>
        <w:jc w:val="left"/>
      </w:pPr>
      <w:r>
        <w:rPr>
          <w:rFonts w:ascii="Times New Roman" w:cs="Times New Roman" w:eastAsia="Times New Roman" w:hAnsi="Times New Roman"/>
          <w:sz w:val="24"/>
          <w:szCs w:val="24"/>
        </w:rPr>
        <w:t xml:space="preserve">Despite broad recognition of its importance, financial literacy is unevenly distributed across student populations. Students arrive with heterogeneous prior exposure to personal finance concepts, differences in numeracy, and unequal access to credible guidance through households, schools, employers, and digital sources. Learning is further shaped by behavioral and contextual constraints, including time scarcity, employment intensity, financial stress, risk preferences, and prior exposure to financial products. Consequently, evaluation of financial literacy instruction should address both average learning gains and the determinants of variation in learning across students.</w:t>
      </w:r>
    </w:p>
    <w:p>
      <w:pPr>
        <w:spacing w:line="360" w:after="200"/>
        <w:jc w:val="left"/>
      </w:pPr>
      <w:r>
        <w:rPr>
          <w:rFonts w:ascii="Times New Roman" w:cs="Times New Roman" w:eastAsia="Times New Roman" w:hAnsi="Times New Roman"/>
          <w:sz w:val="24"/>
          <w:szCs w:val="24"/>
        </w:rPr>
        <w:t xml:space="preserve">This independent study evaluates learning outcomes in Quinn 102 (Financial Literacy) during the Spring 2026 offering through a structured questionnaire administered respectively in the second week and the last week of the course. The purpose of administering the questionnaire for Quinn 102 in 2026 is twofold. First, it is designed to measure the overall level of learning achieved, and its distribution across different categories of financial literacy, demographics, and socio-economic characteristics of the sample. Second, it is designed to determine which factors affect the level and magnitude of learning in order to inform the development of more effective courses in the future. In specifying the determinants of learning, the study emphasizes behavioral and contextual variables that affect students’ learning in domains such as borrowing, investment, and risk management.</w:t>
      </w:r>
    </w:p>
    <w:p>
      <w:pPr>
        <w:spacing w:line="360" w:after="200"/>
        <w:jc w:val="left"/>
      </w:pPr>
      <w:r>
        <w:rPr>
          <w:rFonts w:ascii="Times New Roman" w:cs="Times New Roman" w:eastAsia="Times New Roman" w:hAnsi="Times New Roman"/>
          <w:sz w:val="24"/>
          <w:szCs w:val="24"/>
        </w:rPr>
        <w:t xml:space="preserve">Collectively, this independent study contributes an empirically grounded evaluation of QUINN 102’s association with student financial literacy gains, a structured approach to diagnosing domain-level strengths and weaknesses, and an operational infrastructure for repeatable, privacy-aware measurement. The results are intended to support continuous course improvement and to provide evidence on which student characteristics and constraints are most predictive of learning gains in borrowing, investment, and risk management.</w:t>
      </w:r>
    </w:p>
    <w:p>
      <w:pPr>
        <w:spacing w:line="360" w:after="200"/>
        <w:jc w:val="left"/>
      </w:pPr>
      <w:r>
        <w:rPr>
          <w:rFonts w:ascii="Times New Roman" w:cs="Times New Roman" w:eastAsia="Times New Roman" w:hAnsi="Times New Roman"/>
          <w:sz w:val="24"/>
          <w:szCs w:val="24"/>
        </w:rPr>
        <w:t xml:space="preserve">This paper presents the pre-course baseline assessment results. The pre-course assessment was administered during the second week of the Spring 2026 semester (February 2-9, 2026). Post-course results and pre-post comparisons will be reported following the end-of-semester assessment administration.</w:t>
      </w:r>
    </w:p>
    <w:p>
      <w:pPr>
        <w:pStyle w:val="Heading1"/>
      </w:pPr>
      <w:r>
        <w:t xml:space="preserve">2. Literature Review</w:t>
      </w:r>
    </w:p>
    <w:p>
      <w:pPr>
        <w:pStyle w:val="Heading2"/>
      </w:pPr>
      <w:r>
        <w:t xml:space="preserve">2.1 Financial Literacy: Definitions and Measurement</w:t>
      </w:r>
    </w:p>
    <w:p>
      <w:pPr>
        <w:spacing w:line="360" w:after="200"/>
        <w:jc w:val="left"/>
      </w:pPr>
      <w:r>
        <w:rPr>
          <w:rFonts w:ascii="Times New Roman" w:cs="Times New Roman" w:eastAsia="Times New Roman" w:hAnsi="Times New Roman"/>
          <w:sz w:val="24"/>
          <w:szCs w:val="24"/>
        </w:rPr>
        <w:t xml:space="preserve">Financial literacy has been the subject of growing scholarly attention since the early 2000s. Lusardi and Mitchell (2014) provide the foundational theoretical framework, defining financial literacy as knowledge of interest compounding, inflation, and risk diversification, and demonstrating that it functions as a form of human capital investment with measurable effects on saving, investing, and wealth accumulation. Their “Big Three” questions have become the most widely adopted instrument for assessing basic financial literacy and form the conceptual basis for most subsequent measurement efforts, including the assessment categories used in the present study.</w:t>
      </w:r>
    </w:p>
    <w:p>
      <w:pPr>
        <w:spacing w:line="360" w:after="200"/>
        <w:jc w:val="left"/>
      </w:pPr>
      <w:r>
        <w:rPr>
          <w:rFonts w:ascii="Times New Roman" w:cs="Times New Roman" w:eastAsia="Times New Roman" w:hAnsi="Times New Roman"/>
          <w:sz w:val="24"/>
          <w:szCs w:val="24"/>
        </w:rPr>
        <w:t xml:space="preserve">Despite broad recognition of its importance, the field has lacked a standardized instrument analogous to established health literacy measures. Huston (2010) reviewed the heterogeneous measurement landscape and proposed that financial literacy instruments should contain 12–20 items spanning four content areas: money basics (time value of money, purchasing power), borrowing, investing, and asset protection. Our assessment’s coverage of borrowing/credit, investment/risk, and behavioral risk management closely mirrors Huston’s recommended framework. More recently, the OECD (2022) OECD/INFE toolkit has provided a standardized questionnaire measuring three dimensions of financial literacy—knowledge, behavior, and attitudes—deployed across dozens of countries to enable cross-national comparisons.</w:t>
      </w:r>
    </w:p>
    <w:p>
      <w:pPr>
        <w:spacing w:line="360" w:after="200"/>
        <w:jc w:val="left"/>
      </w:pPr>
      <w:r>
        <w:rPr>
          <w:rFonts w:ascii="Times New Roman" w:cs="Times New Roman" w:eastAsia="Times New Roman" w:hAnsi="Times New Roman"/>
          <w:sz w:val="24"/>
          <w:szCs w:val="24"/>
        </w:rPr>
        <w:t xml:space="preserve">Hastings, Madrian, and Skimmyhorn (2013) assessed how financial literacy is measured in existing research and found that the “Big Five” questions—covering interest rates, inflation, diversification, compound interest, and bond pricing—are broadly accepted as reliable indicators of financial competence, though they noted significant methodological challenges in establishing causal links between literacy and outcomes. Lusardi (2019) further documented that globally, only about one-third of adults demonstrate familiarity with basic financial concepts, with illiteracy especially concentrated among women, minorities, the young, and those with lower educational attainment.</w:t>
      </w:r>
    </w:p>
    <w:p>
      <w:pPr>
        <w:spacing w:line="360" w:after="200"/>
        <w:jc w:val="left"/>
      </w:pPr>
      <w:r>
        <w:rPr>
          <w:rFonts w:ascii="Times New Roman" w:cs="Times New Roman" w:eastAsia="Times New Roman" w:hAnsi="Times New Roman"/>
          <w:sz w:val="24"/>
          <w:szCs w:val="24"/>
        </w:rPr>
        <w:t xml:space="preserve">Among college students specifically, Chen and Volpe (1998) established early baseline evidence, finding that 924 college students answered only about 53% of financial literacy questions correctly, with non-business majors, women, and students with limited work experience scoring significantly lower. These early benchmarks provide a comparative frame for interpreting the knowledge scores of the approximately 430 QUINN 102 students in the present study.</w:t>
      </w:r>
    </w:p>
    <w:p>
      <w:pPr>
        <w:pStyle w:val="Heading2"/>
      </w:pPr>
      <w:r>
        <w:t xml:space="preserve">2.2 Financial Education Interventions: Evidence of Effectiveness</w:t>
      </w:r>
    </w:p>
    <w:p>
      <w:pPr>
        <w:spacing w:line="360" w:after="200"/>
        <w:jc w:val="left"/>
      </w:pPr>
      <w:r>
        <w:rPr>
          <w:rFonts w:ascii="Times New Roman" w:cs="Times New Roman" w:eastAsia="Times New Roman" w:hAnsi="Times New Roman"/>
          <w:sz w:val="24"/>
          <w:szCs w:val="24"/>
        </w:rPr>
        <w:t xml:space="preserve">The effectiveness of financial education has been a contested question in the literature. Kaiser, Lusardi, Menkhoff, and Urban (2022) conducted the most comprehensive meta-analysis to date, examining 76 randomized experiments across 33 countries. They found that financial education interventions boost financial literacy scores by approximately 0.15–0.20 standard deviations and improve downstream financial behaviors by 0.06–0.10 standard deviations, with effect sizes increasing with classroom instruction time. This finding suggests that a full-semester course like QUINN 102 should produce larger effects than light-touch interventions.</w:t>
      </w:r>
    </w:p>
    <w:p>
      <w:pPr>
        <w:spacing w:line="360" w:after="200"/>
        <w:jc w:val="left"/>
      </w:pPr>
      <w:r>
        <w:rPr>
          <w:rFonts w:ascii="Times New Roman" w:cs="Times New Roman" w:eastAsia="Times New Roman" w:hAnsi="Times New Roman"/>
          <w:sz w:val="24"/>
          <w:szCs w:val="24"/>
        </w:rPr>
        <w:t xml:space="preserve">An earlier meta-analysis by Fernandes, Lynch, and Netemeyer (2014) offered a more cautious assessment, finding that financial education interventions explained only 0.1% of variance in financial behaviors and that effects decayed rapidly over time. The tension between these two meta-analyses—with Kaiser et al. (2022) finding meaningful effects using only randomized experiments and Fernandes et al. (2014) finding negligible effects using a broader study base—highlights the importance of study design and measurement rigor.</w:t>
      </w:r>
    </w:p>
    <w:p>
      <w:pPr>
        <w:spacing w:line="360" w:after="200"/>
        <w:jc w:val="left"/>
      </w:pPr>
      <w:r>
        <w:rPr>
          <w:rFonts w:ascii="Times New Roman" w:cs="Times New Roman" w:eastAsia="Times New Roman" w:hAnsi="Times New Roman"/>
          <w:sz w:val="24"/>
          <w:szCs w:val="24"/>
        </w:rPr>
        <w:t xml:space="preserve">Willis (2011) presented the strongest skeptical position, arguing that financial education lacks a demonstrated causal chain to welfare-enhancing behavior due to the velocity of change in financial markets, persistent cognitive biases, and resource asymmetries between educators and financial firms. She cautioned that for some consumers, financial education increases confidence without improving ability, potentially leading to worse decisions. This concern directly motivates the present study’s inclusion of the overconfidence index alongside knowledge measurement.</w:t>
      </w:r>
    </w:p>
    <w:p>
      <w:pPr>
        <w:spacing w:line="360" w:after="200"/>
        <w:jc w:val="left"/>
      </w:pPr>
      <w:r>
        <w:rPr>
          <w:rFonts w:ascii="Times New Roman" w:cs="Times New Roman" w:eastAsia="Times New Roman" w:hAnsi="Times New Roman"/>
          <w:sz w:val="24"/>
          <w:szCs w:val="24"/>
        </w:rPr>
        <w:t xml:space="preserve">Mandell and Klein (2009) found that high school students who had completed a personal finance course 1–4 years earlier were no more financially literate than non-completers, but that college attendance itself positively and significantly affected financial behavior. This “dormancy hypothesis” suggests that university-level interventions like QUINN 102 may be especially effective given their timing during students’ transition to independent financial decision-making. Wagner and Walstad (2019) provided more encouraging evidence, finding that students retained significant financial literacy gains three years after completing a semester-length course, though behavioral effects were less robust over time.</w:t>
      </w:r>
    </w:p>
    <w:p>
      <w:pPr>
        <w:pStyle w:val="Heading2"/>
      </w:pPr>
      <w:r>
        <w:t xml:space="preserve">2.3 Domain-Specific Knowledge Gaps</w:t>
      </w:r>
    </w:p>
    <w:p>
      <w:pPr>
        <w:spacing w:line="360" w:after="200"/>
        <w:jc w:val="left"/>
      </w:pPr>
      <w:r>
        <w:rPr>
          <w:rFonts w:ascii="Times New Roman" w:cs="Times New Roman" w:eastAsia="Times New Roman" w:hAnsi="Times New Roman"/>
          <w:sz w:val="24"/>
          <w:szCs w:val="24"/>
        </w:rPr>
        <w:t xml:space="preserve">Research has documented uneven financial literacy across knowledge domains. Lusardi and Tufano (2015) established the concept of “debt literacy” as distinct from general financial literacy, finding that only about one-third of Americans comprehend interest compounding or credit card mechanics, and estimating that as much as one-third of charges and fees paid by less-knowledgeable individuals can be attributed to ignorance. Stango and Zinman (2009) identified the cognitive mechanism underlying many borrowing mistakes—exponential growth bias, the pervasive tendency to linearize exponential functions—which leads consumers to underestimate interest rates on loans and underestimate future values of investments.</w:t>
      </w:r>
    </w:p>
    <w:p>
      <w:pPr>
        <w:spacing w:line="360" w:after="200"/>
        <w:jc w:val="left"/>
      </w:pPr>
      <w:r>
        <w:rPr>
          <w:rFonts w:ascii="Times New Roman" w:cs="Times New Roman" w:eastAsia="Times New Roman" w:hAnsi="Times New Roman"/>
          <w:sz w:val="24"/>
          <w:szCs w:val="24"/>
        </w:rPr>
        <w:t xml:space="preserve">In the investment domain, van Rooij, Lusardi, and Alessie (2011) found that while most respondents demonstrated basic financial knowledge (interest compounding, inflation, time value of money), very few understood differences between bonds and stocks, bond price–interest rate relationships, or risk diversification basics. Individuals with low advanced financial literacy were significantly less likely to participate in the stock market.</w:t>
      </w:r>
    </w:p>
    <w:p>
      <w:pPr>
        <w:spacing w:line="360" w:after="200"/>
        <w:jc w:val="left"/>
      </w:pPr>
      <w:r>
        <w:rPr>
          <w:rFonts w:ascii="Times New Roman" w:cs="Times New Roman" w:eastAsia="Times New Roman" w:hAnsi="Times New Roman"/>
          <w:sz w:val="24"/>
          <w:szCs w:val="24"/>
        </w:rPr>
        <w:t xml:space="preserve">Among college students specifically, Akers and Chingos (2014) found striking levels of student loan illiteracy: 28% of first-year students with federal loans reported having no federal debt, and nearly half seriously underestimated their total student debt. These findings underscore why the present assessment includes borrowing/credit as a major knowledge domain and why financial education at the university level is especially urgent.</w:t>
      </w:r>
    </w:p>
    <w:p>
      <w:pPr>
        <w:pStyle w:val="Heading2"/>
      </w:pPr>
      <w:r>
        <w:t xml:space="preserve">2.4 Confidence Calibration and Overconfidence</w:t>
      </w:r>
    </w:p>
    <w:p>
      <w:pPr>
        <w:spacing w:line="360" w:after="200"/>
        <w:jc w:val="left"/>
      </w:pPr>
      <w:r>
        <w:rPr>
          <w:rFonts w:ascii="Times New Roman" w:cs="Times New Roman" w:eastAsia="Times New Roman" w:hAnsi="Times New Roman"/>
          <w:sz w:val="24"/>
          <w:szCs w:val="24"/>
        </w:rPr>
        <w:t xml:space="preserve">The relationship between perceived and actual financial literacy has emerged as a critical dimension of financial competence. Allgood and Walstad (2016) demonstrated, using a national survey of 28,146 U.S. adults, that both actual (objective) and perceived (subjective) financial literacy independently influence financial behaviors across five domains. The combined measure of both perceived and actual literacy provides greater explanatory power than either alone, supporting the QUINN 102 assessment’s design that generates an overconfidence index from both measures.</w:t>
      </w:r>
    </w:p>
    <w:p>
      <w:pPr>
        <w:spacing w:line="360" w:after="200"/>
        <w:jc w:val="left"/>
      </w:pPr>
      <w:r>
        <w:rPr>
          <w:rFonts w:ascii="Times New Roman" w:cs="Times New Roman" w:eastAsia="Times New Roman" w:hAnsi="Times New Roman"/>
          <w:sz w:val="24"/>
          <w:szCs w:val="24"/>
        </w:rPr>
        <w:t xml:space="preserve">Robb and Woodyard (2011) similarly found that subjective financial knowledge had a larger relative impact on financial behavior than objective knowledge, underscoring the importance of measuring confidence calibration. Porto and Xiao (2016) found that over 11% of respondents in a nationally representative sample displayed financial literacy overconfidence—scoring above average on perceived knowledge but failing basic literacy questions—and that these overconfident consumers were less likely to seek professional financial advice in domains where they most needed it.</w:t>
      </w:r>
    </w:p>
    <w:p>
      <w:pPr>
        <w:spacing w:line="360" w:after="200"/>
        <w:jc w:val="left"/>
      </w:pPr>
      <w:r>
        <w:rPr>
          <w:rFonts w:ascii="Times New Roman" w:cs="Times New Roman" w:eastAsia="Times New Roman" w:hAnsi="Times New Roman"/>
          <w:sz w:val="24"/>
          <w:szCs w:val="24"/>
        </w:rPr>
        <w:t xml:space="preserve">In a study closely comparable to the present research, Ipatova and Merheb (2023) examined overconfidence among 169 undergraduates and confirmed the Dunning-Kruger effect in financial literacy contexts: students with lower financial proficiency systematically overestimated their knowledge and competence, with overconfidence more pronounced among students under age 21. The finding that education reduces overconfidence suggests that a pre-post design may detect not only knowledge gains but also improved confidence calibration. Kramer (2016) provided additional evidence that confidence operates independently of knowledge in shaping financial behavior, finding that higher confidence in financial literacy reduces advice-seeking while no relationship exists between objective literacy and advice-seeking.</w:t>
      </w:r>
    </w:p>
    <w:p>
      <w:pPr>
        <w:pStyle w:val="Heading2"/>
      </w:pPr>
      <w:r>
        <w:t xml:space="preserve">2.5 Gaps in the Literature</w:t>
      </w:r>
    </w:p>
    <w:p>
      <w:pPr>
        <w:spacing w:line="360" w:after="200"/>
        <w:jc w:val="left"/>
      </w:pPr>
      <w:r>
        <w:rPr>
          <w:rFonts w:ascii="Times New Roman" w:cs="Times New Roman" w:eastAsia="Times New Roman" w:hAnsi="Times New Roman"/>
          <w:sz w:val="24"/>
          <w:szCs w:val="24"/>
        </w:rPr>
        <w:t xml:space="preserve">The literature review reveals several gaps that the present study addresses. First, most financial literacy measurement studies focus on general adult populations or high school students; relatively few evaluate structured financial literacy courses at the university level with pre-post designs (Goyal &amp; Kumar, 2021). Second, while meta-analyses have established that financial education can produce knowledge gains, the evidence on domain-specific gains—whether courses improve borrowing literacy, investment knowledge, and risk management differentially—remains limited. Third, the use of adaptive diagnostic instruments like the SDM-10, which probes areas of weakness identified in the anchor assessment, is novel in the financial literacy evaluation literature and provides finer-grained diagnostic information than traditional fixed instruments. Fourth, the simultaneous measurement of knowledge, confidence, and behavioral covariates enables analysis of confidence calibration changes alongside knowledge gains, directly addressing Willis’s (2011) concern about “confident incompetence.” The present study contributes to filling these gaps by combining a structured pre-post design, domain-level measurement, adaptive diagnostics, and confidence calibration analysis within a single evaluation framework.</w:t>
      </w:r>
    </w:p>
    <w:p>
      <w:pPr>
        <w:pStyle w:val="Heading1"/>
      </w:pPr>
      <w:r>
        <w:t xml:space="preserve">3. Research Questions</w:t>
      </w:r>
    </w:p>
    <w:p>
      <w:pPr>
        <w:spacing w:line="360" w:after="200"/>
        <w:jc w:val="left"/>
      </w:pPr>
      <w:r>
        <w:rPr>
          <w:rFonts w:ascii="Times New Roman" w:cs="Times New Roman" w:eastAsia="Times New Roman" w:hAnsi="Times New Roman"/>
          <w:sz w:val="24"/>
          <w:szCs w:val="24"/>
        </w:rPr>
        <w:t xml:space="preserve">The study is organized around two research questions:</w:t>
      </w:r>
    </w:p>
    <w:p>
      <w:pPr>
        <w:pStyle w:val="ListParagraph"/>
        <w:numPr>
          <w:ilvl w:val="0"/>
          <w:numId w:val="2"/>
        </w:numPr>
        <w:spacing w:line="360" w:after="120"/>
      </w:pPr>
      <w:r>
        <w:rPr>
          <w:rFonts w:ascii="Times New Roman" w:cs="Times New Roman" w:eastAsia="Times New Roman" w:hAnsi="Times New Roman"/>
          <w:sz w:val="24"/>
          <w:szCs w:val="24"/>
        </w:rPr>
        <w:t xml:space="preserve">RQ1 (Learning gains): What is the magnitude of student learning in Quinn 102, overall and within the domains of borrowing and credit, investment, and risk management, as measured by pre- to post-course changes in knowledge?</w:t>
      </w:r>
    </w:p>
    <w:p>
      <w:pPr>
        <w:pStyle w:val="ListParagraph"/>
        <w:numPr>
          <w:ilvl w:val="0"/>
          <w:numId w:val="2"/>
        </w:numPr>
        <w:spacing w:line="360" w:after="200"/>
      </w:pPr>
      <w:r>
        <w:rPr>
          <w:rFonts w:ascii="Times New Roman" w:cs="Times New Roman" w:eastAsia="Times New Roman" w:hAnsi="Times New Roman"/>
          <w:sz w:val="24"/>
          <w:szCs w:val="24"/>
        </w:rPr>
        <w:t xml:space="preserve">RQ2 (Heterogeneity): Which baseline behavioral and contextual variables predict heterogeneity in learning gains across students, and do these predictors differ by domain?</w:t>
      </w:r>
    </w:p>
    <w:p>
      <w:pPr>
        <w:pStyle w:val="Heading1"/>
      </w:pPr>
      <w:r>
        <w:t xml:space="preserve">4. Methodology</w:t>
      </w:r>
    </w:p>
    <w:p>
      <w:pPr>
        <w:pStyle w:val="Heading2"/>
      </w:pPr>
      <w:r>
        <w:t xml:space="preserve">4.1 Study Design</w:t>
      </w:r>
    </w:p>
    <w:p>
      <w:pPr>
        <w:spacing w:line="360" w:after="200"/>
        <w:jc w:val="left"/>
      </w:pPr>
      <w:r>
        <w:rPr>
          <w:rFonts w:ascii="Times New Roman" w:cs="Times New Roman" w:eastAsia="Times New Roman" w:hAnsi="Times New Roman"/>
          <w:sz w:val="24"/>
          <w:szCs w:val="24"/>
        </w:rPr>
        <w:t xml:space="preserve">This study employs a single-group, pre-to-post design in which the same cohort of QUINN 102 students completes a structured financial literacy assessment at the beginning and end of the Spring 2026 semester. The pre-course assessment was administered during Week 2 (February 2–9, 2026) and the post-course assessment will be administered during the final week of instruction. Both administrations use the same fixed 40-item core instrument, enabling direct comparison of item-level and domain-level performance.</w:t>
      </w:r>
    </w:p>
    <w:p>
      <w:pPr>
        <w:spacing w:line="360" w:after="200"/>
        <w:jc w:val="left"/>
      </w:pPr>
      <w:r>
        <w:rPr>
          <w:rFonts w:ascii="Times New Roman" w:cs="Times New Roman" w:eastAsia="Times New Roman" w:hAnsi="Times New Roman"/>
          <w:sz w:val="24"/>
          <w:szCs w:val="24"/>
        </w:rPr>
        <w:t xml:space="preserve">The design captures within-student change over the semester, which serves as the primary measure of learning. Because the study lacks a randomized control group, observed gains cannot be attributed exclusively to the course; however, the structured timing, identical instrumentation, and domain-specific scoring allow meaningful inference about the magnitude and distribution of knowledge change associated with course enrollment.</w:t>
      </w:r>
    </w:p>
    <w:p>
      <w:pPr>
        <w:spacing w:line="360" w:after="200"/>
        <w:jc w:val="left"/>
      </w:pPr>
      <w:r>
        <w:rPr>
          <w:rFonts w:ascii="Times New Roman" w:cs="Times New Roman" w:eastAsia="Times New Roman" w:hAnsi="Times New Roman"/>
          <w:sz w:val="24"/>
          <w:szCs w:val="24"/>
        </w:rPr>
        <w:t xml:space="preserve">A supplemental adaptive module (SDM-10) accompanies each administration. The SDM-10 targets each student’s weakest domain as identified by the fixed core, providing finer-grained diagnostic information without extending total assessment time beyond approximately 15 minutes.</w:t>
      </w:r>
    </w:p>
    <w:p>
      <w:pPr>
        <w:spacing w:line="360" w:after="200"/>
        <w:jc w:val="left"/>
      </w:pPr>
      <w:r>
        <w:rPr>
          <w:rFonts w:ascii="Times New Roman" w:cs="Times New Roman" w:eastAsia="Times New Roman" w:hAnsi="Times New Roman"/>
          <w:sz w:val="24"/>
          <w:szCs w:val="24"/>
        </w:rPr>
        <w:t xml:space="preserve">Research consent was voluntary and administered through a structured two-part consent process described in Section 4.4.3; students could decline research participation without penalty and without any impact on course standing or grades. The study protocol has been prepared for institutional review (see Section 4.4.1).</w:t>
      </w:r>
    </w:p>
    <w:p>
      <w:pPr>
        <w:pStyle w:val="Heading2"/>
      </w:pPr>
      <w:r>
        <w:t xml:space="preserve">4.2 Assessment Structure</w:t>
      </w:r>
    </w:p>
    <w:p>
      <w:pPr>
        <w:spacing w:line="360" w:after="200"/>
        <w:jc w:val="left"/>
      </w:pPr>
      <w:r>
        <w:rPr>
          <w:rFonts w:ascii="Times New Roman" w:cs="Times New Roman" w:eastAsia="Times New Roman" w:hAnsi="Times New Roman"/>
          <w:sz w:val="24"/>
          <w:szCs w:val="24"/>
        </w:rPr>
        <w:t xml:space="preserve">The assessment comprises three components administered sequentially: a demographic and socioeconomic baseline questionnaire, a fixed core knowledge assessment of 40 items, and a supplemental diagnostic module of 10 items. The total assessment is designed for completion within 12–18 minutes.</w:t>
      </w:r>
    </w:p>
    <w:p>
      <w:pPr>
        <w:pStyle w:val="Heading3"/>
      </w:pPr>
      <w:r>
        <w:t xml:space="preserve">4.2.1 Demographic and Socioeconomic Baseline Questionnaire</w:t>
      </w:r>
    </w:p>
    <w:p>
      <w:pPr>
        <w:spacing w:line="360" w:after="200"/>
        <w:jc w:val="left"/>
      </w:pPr>
      <w:r>
        <w:rPr>
          <w:rFonts w:ascii="Times New Roman" w:cs="Times New Roman" w:eastAsia="Times New Roman" w:hAnsi="Times New Roman"/>
          <w:sz w:val="24"/>
          <w:szCs w:val="24"/>
        </w:rPr>
        <w:t xml:space="preserve">The baseline questionnaire collects demographic variables (gender, age group, race/ethnicity, first-generation college status), financial context variables (employment status, financial stress frequency, self-rated financial knowledge), and behavioral variables (primary financial information source, prior financial education exposure, current financial product usage). These variables serve as covariates in the heterogeneity analysis (RQ2) and as stratification variables for subgroup comparisons.</w:t>
      </w:r>
    </w:p>
    <w:p>
      <w:pPr>
        <w:pStyle w:val="Heading3"/>
      </w:pPr>
      <w:r>
        <w:t xml:space="preserve">4.2.2 Fixed Core Assessment (40 Items)</w:t>
      </w:r>
    </w:p>
    <w:p>
      <w:pPr>
        <w:spacing w:line="360" w:after="200"/>
        <w:jc w:val="left"/>
      </w:pPr>
      <w:r>
        <w:rPr>
          <w:rFonts w:ascii="Times New Roman" w:cs="Times New Roman" w:eastAsia="Times New Roman" w:hAnsi="Times New Roman"/>
          <w:sz w:val="24"/>
          <w:szCs w:val="24"/>
        </w:rPr>
        <w:t xml:space="preserve">The fixed core comprises 40 multiple-choice and true/false items organized into three domains: Borrowing, Interest Rates, and Financial Numeracy (14 items); Risk and Return Knowledge (14 items); and Behavioral and Risk Management Knowledge (12 items). Items were adapted from established instruments including Lusardi and Mitchell’s Big Three and Big Five, the OECD/INFE financial literacy toolkit, the Jump$tart College Financial Literacy Survey, and original items developed for this study. Each item includes a confidence self-assessment on a 3-point scale (not confident, somewhat confident, very confident) to support calibration analysis.</w:t>
      </w:r>
    </w:p>
    <w:p>
      <w:pPr>
        <w:pStyle w:val="Heading3"/>
      </w:pPr>
      <w:r>
        <w:t xml:space="preserve">4.2.3 Supplemental Diagnostic Module (SDM-10)</w:t>
      </w:r>
    </w:p>
    <w:p>
      <w:pPr>
        <w:spacing w:line="360" w:after="200"/>
        <w:jc w:val="left"/>
      </w:pPr>
      <w:r>
        <w:rPr>
          <w:rFonts w:ascii="Times New Roman" w:cs="Times New Roman" w:eastAsia="Times New Roman" w:hAnsi="Times New Roman"/>
          <w:sz w:val="24"/>
          <w:szCs w:val="24"/>
        </w:rPr>
        <w:t xml:space="preserve">The Supplemental Diagnostic Module (SDM-10) is an adaptive follow-up administered immediately after the 40-item anchor assessment. For each student, the module selects 10 items from a pre-written bank of 156 variants (6 variants per anchor knowledge item) using an information deficit model that prioritizes subcategories where the anchor response left the most residual uncertainty about the student’s understanding. The SDM-10 drew only from knowledge items (Q1–Q14, Q29–Q40); preference items (Q15–Q28) did not trigger adaptive follow-up. The SDM-10 was designed as a diagnostic complement to the anchor assessment and does not contribute to the student’s grade (Model C: diagnostic only), eliminating grade pressure that could discourage honest explanations.</w:t>
      </w:r>
    </w:p>
    <w:p>
      <w:pPr>
        <w:spacing w:line="360" w:after="200"/>
      </w:pPr>
      <w:r>
        <w:rPr>
          <w:rFonts w:ascii="Times New Roman" w:cs="Times New Roman" w:eastAsia="Times New Roman" w:hAnsi="Times New Roman"/>
          <w:b/>
          <w:bCs/>
          <w:sz w:val="24"/>
          <w:szCs w:val="24"/>
        </w:rPr>
        <w:t xml:space="preserve">Information Deficit Model and Need Score. </w:t>
      </w:r>
      <w:r>
        <w:rPr>
          <w:rFonts w:ascii="Times New Roman" w:cs="Times New Roman" w:eastAsia="Times New Roman" w:hAnsi="Times New Roman"/>
          <w:sz w:val="24"/>
          <w:szCs w:val="24"/>
        </w:rPr>
        <w:t xml:space="preserve">The selection algorithm computes a Need score (0–5) for each of the 26 knowledge subcategories based on three signals from the anchor response: correctness, confidence (1–3 scale), and item format (True/False vs. multiple choice). Higher Need scores indicate greater residual uncertainty. The format-aware adjustment addresses differential guessing probability: a correct True/False response with moderate confidence is assigned a higher Need (Need = 2) than the equivalent multiple-choice response (Need = 1), reflecting the 50% versus approximately 25% chance-level baseline. Incorrect responses with high confidence receive the maximum Need score (Need = 5), signaling a likely misconception requiring open-ended diagnostic follow-up.</w:t>
      </w:r>
    </w:p>
    <w:p>
      <w:pPr>
        <w:spacing w:before="240" w:after="120"/>
        <w:jc w:val="center"/>
      </w:pPr>
      <w:r>
        <w:rPr>
          <w:rFonts w:ascii="Times New Roman" w:cs="Times New Roman" w:eastAsia="Times New Roman" w:hAnsi="Times New Roman"/>
          <w:b/>
          <w:bCs/>
          <w:i/>
          <w:iCs/>
          <w:sz w:val="22"/>
          <w:szCs w:val="22"/>
        </w:rPr>
        <w:t xml:space="preserve">Table 4.2.3a. Need Score Mapping (Correctness × Confidence × Format)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872"/>
        <w:gridCol w:w="1872"/>
        <w:gridCol w:w="1872"/>
        <w:gridCol w:w="1872"/>
        <w:gridCol w:w="1872"/>
      </w:tblGrid>
      <w:tr>
        <w:trPr>
          <w:tblHeader/>
        </w:trPr>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Confidence</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Correct (MCQ)</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Correct (T/F)</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Incorrect (MCQ)</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Incorrect (T/F)</w:t>
            </w:r>
          </w:p>
        </w:tc>
      </w:tr>
      <w:tr>
        <w:tc>
          <w:tcPr>
            <w:tcW w:type="dxa" w:w="1872"/>
            <w:vAlign w:val="center"/>
          </w:tcPr>
          <w:p>
            <w:pPr>
              <w:jc w:val="center"/>
            </w:pPr>
            <w:r>
              <w:rPr>
                <w:rFonts w:ascii="Times New Roman" w:cs="Times New Roman" w:eastAsia="Times New Roman" w:hAnsi="Times New Roman"/>
                <w:sz w:val="22"/>
                <w:szCs w:val="22"/>
              </w:rPr>
              <w:t xml:space="preserve">1 (Low)</w:t>
            </w:r>
          </w:p>
        </w:tc>
        <w:tc>
          <w:tcPr>
            <w:tcW w:type="dxa" w:w="1872"/>
            <w:vAlign w:val="center"/>
          </w:tcPr>
          <w:p>
            <w:pPr>
              <w:jc w:val="center"/>
            </w:pPr>
            <w:r>
              <w:rPr>
                <w:rFonts w:ascii="Times New Roman" w:cs="Times New Roman" w:eastAsia="Times New Roman" w:hAnsi="Times New Roman"/>
                <w:sz w:val="22"/>
                <w:szCs w:val="22"/>
              </w:rPr>
              <w:t xml:space="preserve">2</w:t>
            </w:r>
          </w:p>
        </w:tc>
        <w:tc>
          <w:tcPr>
            <w:tcW w:type="dxa" w:w="1872"/>
            <w:vAlign w:val="center"/>
          </w:tcPr>
          <w:p>
            <w:pPr>
              <w:jc w:val="center"/>
            </w:pPr>
            <w:r>
              <w:rPr>
                <w:rFonts w:ascii="Times New Roman" w:cs="Times New Roman" w:eastAsia="Times New Roman" w:hAnsi="Times New Roman"/>
                <w:sz w:val="22"/>
                <w:szCs w:val="22"/>
              </w:rPr>
              <w:t xml:space="preserve">3</w:t>
            </w:r>
          </w:p>
        </w:tc>
        <w:tc>
          <w:tcPr>
            <w:tcW w:type="dxa" w:w="1872"/>
            <w:vAlign w:val="center"/>
          </w:tcPr>
          <w:p>
            <w:pPr>
              <w:jc w:val="center"/>
            </w:pPr>
            <w:r>
              <w:rPr>
                <w:rFonts w:ascii="Times New Roman" w:cs="Times New Roman" w:eastAsia="Times New Roman" w:hAnsi="Times New Roman"/>
                <w:sz w:val="22"/>
                <w:szCs w:val="22"/>
              </w:rPr>
              <w:t xml:space="preserve">3</w:t>
            </w:r>
          </w:p>
        </w:tc>
        <w:tc>
          <w:tcPr>
            <w:tcW w:type="dxa" w:w="1872"/>
            <w:vAlign w:val="center"/>
          </w:tcPr>
          <w:p>
            <w:pPr>
              <w:jc w:val="center"/>
            </w:pPr>
            <w:r>
              <w:rPr>
                <w:rFonts w:ascii="Times New Roman" w:cs="Times New Roman" w:eastAsia="Times New Roman" w:hAnsi="Times New Roman"/>
                <w:sz w:val="22"/>
                <w:szCs w:val="22"/>
              </w:rPr>
              <w:t xml:space="preserve">3</w:t>
            </w:r>
          </w:p>
        </w:tc>
      </w:tr>
      <w:tr>
        <w:tc>
          <w:tcPr>
            <w:tcW w:type="dxa" w:w="1872"/>
            <w:vAlign w:val="center"/>
          </w:tcPr>
          <w:p>
            <w:pPr>
              <w:jc w:val="center"/>
            </w:pPr>
            <w:r>
              <w:rPr>
                <w:rFonts w:ascii="Times New Roman" w:cs="Times New Roman" w:eastAsia="Times New Roman" w:hAnsi="Times New Roman"/>
                <w:sz w:val="22"/>
                <w:szCs w:val="22"/>
              </w:rPr>
              <w:t xml:space="preserve">2 (Mid)</w:t>
            </w:r>
          </w:p>
        </w:tc>
        <w:tc>
          <w:tcPr>
            <w:tcW w:type="dxa" w:w="1872"/>
            <w:vAlign w:val="center"/>
          </w:tcPr>
          <w:p>
            <w:pPr>
              <w:jc w:val="center"/>
            </w:pPr>
            <w:r>
              <w:rPr>
                <w:rFonts w:ascii="Times New Roman" w:cs="Times New Roman" w:eastAsia="Times New Roman" w:hAnsi="Times New Roman"/>
                <w:sz w:val="22"/>
                <w:szCs w:val="22"/>
              </w:rPr>
              <w:t xml:space="preserve">1</w:t>
            </w:r>
          </w:p>
        </w:tc>
        <w:tc>
          <w:tcPr>
            <w:tcW w:type="dxa" w:w="1872"/>
            <w:vAlign w:val="center"/>
          </w:tcPr>
          <w:p>
            <w:pPr>
              <w:jc w:val="center"/>
            </w:pPr>
            <w:r>
              <w:rPr>
                <w:rFonts w:ascii="Times New Roman" w:cs="Times New Roman" w:eastAsia="Times New Roman" w:hAnsi="Times New Roman"/>
                <w:sz w:val="22"/>
                <w:szCs w:val="22"/>
              </w:rPr>
              <w:t xml:space="preserve">2</w:t>
            </w:r>
          </w:p>
        </w:tc>
        <w:tc>
          <w:tcPr>
            <w:tcW w:type="dxa" w:w="1872"/>
            <w:vAlign w:val="center"/>
          </w:tcPr>
          <w:p>
            <w:pPr>
              <w:jc w:val="center"/>
            </w:pPr>
            <w:r>
              <w:rPr>
                <w:rFonts w:ascii="Times New Roman" w:cs="Times New Roman" w:eastAsia="Times New Roman" w:hAnsi="Times New Roman"/>
                <w:sz w:val="22"/>
                <w:szCs w:val="22"/>
              </w:rPr>
              <w:t xml:space="preserve">4</w:t>
            </w:r>
          </w:p>
        </w:tc>
        <w:tc>
          <w:tcPr>
            <w:tcW w:type="dxa" w:w="1872"/>
            <w:vAlign w:val="center"/>
          </w:tcPr>
          <w:p>
            <w:pPr>
              <w:jc w:val="center"/>
            </w:pPr>
            <w:r>
              <w:rPr>
                <w:rFonts w:ascii="Times New Roman" w:cs="Times New Roman" w:eastAsia="Times New Roman" w:hAnsi="Times New Roman"/>
                <w:sz w:val="22"/>
                <w:szCs w:val="22"/>
              </w:rPr>
              <w:t xml:space="preserve">4</w:t>
            </w:r>
          </w:p>
        </w:tc>
      </w:tr>
      <w:tr>
        <w:tc>
          <w:tcPr>
            <w:tcW w:type="dxa" w:w="1872"/>
            <w:vAlign w:val="center"/>
          </w:tcPr>
          <w:p>
            <w:pPr>
              <w:jc w:val="center"/>
            </w:pPr>
            <w:r>
              <w:rPr>
                <w:rFonts w:ascii="Times New Roman" w:cs="Times New Roman" w:eastAsia="Times New Roman" w:hAnsi="Times New Roman"/>
                <w:sz w:val="22"/>
                <w:szCs w:val="22"/>
              </w:rPr>
              <w:t xml:space="preserve">3 (High)</w:t>
            </w:r>
          </w:p>
        </w:tc>
        <w:tc>
          <w:tcPr>
            <w:tcW w:type="dxa" w:w="1872"/>
            <w:vAlign w:val="center"/>
          </w:tcPr>
          <w:p>
            <w:pPr>
              <w:jc w:val="center"/>
            </w:pPr>
            <w:r>
              <w:rPr>
                <w:rFonts w:ascii="Times New Roman" w:cs="Times New Roman" w:eastAsia="Times New Roman" w:hAnsi="Times New Roman"/>
                <w:sz w:val="22"/>
                <w:szCs w:val="22"/>
              </w:rPr>
              <w:t xml:space="preserve">0</w:t>
            </w:r>
          </w:p>
        </w:tc>
        <w:tc>
          <w:tcPr>
            <w:tcW w:type="dxa" w:w="1872"/>
            <w:vAlign w:val="center"/>
          </w:tcPr>
          <w:p>
            <w:pPr>
              <w:jc w:val="center"/>
            </w:pPr>
            <w:r>
              <w:rPr>
                <w:rFonts w:ascii="Times New Roman" w:cs="Times New Roman" w:eastAsia="Times New Roman" w:hAnsi="Times New Roman"/>
                <w:sz w:val="22"/>
                <w:szCs w:val="22"/>
              </w:rPr>
              <w:t xml:space="preserve">0</w:t>
            </w:r>
          </w:p>
        </w:tc>
        <w:tc>
          <w:tcPr>
            <w:tcW w:type="dxa" w:w="1872"/>
            <w:vAlign w:val="center"/>
          </w:tcPr>
          <w:p>
            <w:pPr>
              <w:jc w:val="center"/>
            </w:pPr>
            <w:r>
              <w:rPr>
                <w:rFonts w:ascii="Times New Roman" w:cs="Times New Roman" w:eastAsia="Times New Roman" w:hAnsi="Times New Roman"/>
                <w:sz w:val="22"/>
                <w:szCs w:val="22"/>
              </w:rPr>
              <w:t xml:space="preserve">5</w:t>
            </w:r>
          </w:p>
        </w:tc>
        <w:tc>
          <w:tcPr>
            <w:tcW w:type="dxa" w:w="1872"/>
            <w:vAlign w:val="center"/>
          </w:tcPr>
          <w:p>
            <w:pPr>
              <w:jc w:val="center"/>
            </w:pPr>
            <w:r>
              <w:rPr>
                <w:rFonts w:ascii="Times New Roman" w:cs="Times New Roman" w:eastAsia="Times New Roman" w:hAnsi="Times New Roman"/>
                <w:sz w:val="22"/>
                <w:szCs w:val="22"/>
              </w:rPr>
              <w:t xml:space="preserve">5</w:t>
            </w:r>
          </w:p>
        </w:tc>
      </w:tr>
    </w:tbl>
    <w:p>
      <w:pPr>
        <w:spacing w:line="360" w:after="200"/>
      </w:pPr>
      <w:r>
        <w:rPr>
          <w:rFonts w:ascii="Times New Roman" w:cs="Times New Roman" w:eastAsia="Times New Roman" w:hAnsi="Times New Roman"/>
          <w:b/>
          <w:bCs/>
          <w:sz w:val="24"/>
          <w:szCs w:val="24"/>
        </w:rPr>
        <w:t xml:space="preserve">Item Bank and Variant Types. </w:t>
      </w:r>
      <w:r>
        <w:rPr>
          <w:rFonts w:ascii="Times New Roman" w:cs="Times New Roman" w:eastAsia="Times New Roman" w:hAnsi="Times New Roman"/>
          <w:sz w:val="24"/>
          <w:szCs w:val="24"/>
        </w:rPr>
        <w:t xml:space="preserve">The item bank contains 156 pre-written variants organized into six types: Lower_TF (foundational true/false), Lower_MCQ (foundational multiple choice), Same_MCQ (parallel difficulty), Higher_MCQ (applied/transfer), Open_Confirm (explain correct reasoning), and Open_Diagnose (explain incorrect reasoning). Each variant is mapped to the same subcategory as its anchor item. The variant type assigned to each subcategory is determined by the anchor response pattern: incorrect answers with high confidence trigger Open_Diagnose items to surface misconceptions, while correct answers with low confidence trigger Open_Confirm items to verify understanding.</w:t>
      </w:r>
    </w:p>
    <w:p>
      <w:pPr>
        <w:spacing w:before="240" w:after="120"/>
        <w:jc w:val="center"/>
      </w:pPr>
      <w:r>
        <w:rPr>
          <w:rFonts w:ascii="Times New Roman" w:cs="Times New Roman" w:eastAsia="Times New Roman" w:hAnsi="Times New Roman"/>
          <w:b/>
          <w:bCs/>
          <w:i/>
          <w:iCs/>
          <w:sz w:val="22"/>
          <w:szCs w:val="22"/>
        </w:rPr>
        <w:t xml:space="preserve">Table 4.2.3b. Variant Assignment Rules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3120"/>
        <w:gridCol w:w="3120"/>
        <w:gridCol w:w="3120"/>
      </w:tblGrid>
      <w:tr>
        <w:trPr>
          <w:tblHeader/>
        </w:trPr>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Anchor Pattern</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Variant Type</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Diagnostic Goal</w:t>
            </w:r>
          </w:p>
        </w:tc>
      </w:tr>
      <w:tr>
        <w:tc>
          <w:tcPr>
            <w:tcW w:type="dxa" w:w="3120"/>
            <w:vAlign w:val="center"/>
          </w:tcPr>
          <w:p>
            <w:pPr>
              <w:jc w:val="center"/>
            </w:pPr>
            <w:r>
              <w:rPr>
                <w:rFonts w:ascii="Times New Roman" w:cs="Times New Roman" w:eastAsia="Times New Roman" w:hAnsi="Times New Roman"/>
                <w:sz w:val="22"/>
                <w:szCs w:val="22"/>
              </w:rPr>
              <w:t xml:space="preserve">Incorrect + High conf.</w:t>
            </w:r>
          </w:p>
        </w:tc>
        <w:tc>
          <w:tcPr>
            <w:tcW w:type="dxa" w:w="3120"/>
            <w:vAlign w:val="center"/>
          </w:tcPr>
          <w:p>
            <w:pPr>
              <w:jc w:val="center"/>
            </w:pPr>
            <w:r>
              <w:rPr>
                <w:rFonts w:ascii="Times New Roman" w:cs="Times New Roman" w:eastAsia="Times New Roman" w:hAnsi="Times New Roman"/>
                <w:sz w:val="22"/>
                <w:szCs w:val="22"/>
              </w:rPr>
              <w:t xml:space="preserve">Open_Diagnose</w:t>
            </w:r>
          </w:p>
        </w:tc>
        <w:tc>
          <w:tcPr>
            <w:tcW w:type="dxa" w:w="3120"/>
            <w:vAlign w:val="center"/>
          </w:tcPr>
          <w:p>
            <w:pPr>
              <w:jc w:val="center"/>
            </w:pPr>
            <w:r>
              <w:rPr>
                <w:rFonts w:ascii="Times New Roman" w:cs="Times New Roman" w:eastAsia="Times New Roman" w:hAnsi="Times New Roman"/>
                <w:sz w:val="22"/>
                <w:szCs w:val="22"/>
              </w:rPr>
              <w:t xml:space="preserve">Surface misconception</w:t>
            </w:r>
          </w:p>
        </w:tc>
      </w:tr>
      <w:tr>
        <w:tc>
          <w:tcPr>
            <w:tcW w:type="dxa" w:w="3120"/>
            <w:vAlign w:val="center"/>
          </w:tcPr>
          <w:p>
            <w:pPr>
              <w:jc w:val="center"/>
            </w:pPr>
            <w:r>
              <w:rPr>
                <w:rFonts w:ascii="Times New Roman" w:cs="Times New Roman" w:eastAsia="Times New Roman" w:hAnsi="Times New Roman"/>
                <w:sz w:val="22"/>
                <w:szCs w:val="22"/>
              </w:rPr>
              <w:t xml:space="preserve">Incorrect + Mid conf.</w:t>
            </w:r>
          </w:p>
        </w:tc>
        <w:tc>
          <w:tcPr>
            <w:tcW w:type="dxa" w:w="3120"/>
            <w:vAlign w:val="center"/>
          </w:tcPr>
          <w:p>
            <w:pPr>
              <w:jc w:val="center"/>
            </w:pPr>
            <w:r>
              <w:rPr>
                <w:rFonts w:ascii="Times New Roman" w:cs="Times New Roman" w:eastAsia="Times New Roman" w:hAnsi="Times New Roman"/>
                <w:sz w:val="22"/>
                <w:szCs w:val="22"/>
              </w:rPr>
              <w:t xml:space="preserve">Lower_MCQ</w:t>
            </w:r>
          </w:p>
        </w:tc>
        <w:tc>
          <w:tcPr>
            <w:tcW w:type="dxa" w:w="3120"/>
            <w:vAlign w:val="center"/>
          </w:tcPr>
          <w:p>
            <w:pPr>
              <w:jc w:val="center"/>
            </w:pPr>
            <w:r>
              <w:rPr>
                <w:rFonts w:ascii="Times New Roman" w:cs="Times New Roman" w:eastAsia="Times New Roman" w:hAnsi="Times New Roman"/>
                <w:sz w:val="22"/>
                <w:szCs w:val="22"/>
              </w:rPr>
              <w:t xml:space="preserve">Test foundational understanding</w:t>
            </w:r>
          </w:p>
        </w:tc>
      </w:tr>
      <w:tr>
        <w:tc>
          <w:tcPr>
            <w:tcW w:type="dxa" w:w="3120"/>
            <w:vAlign w:val="center"/>
          </w:tcPr>
          <w:p>
            <w:pPr>
              <w:jc w:val="center"/>
            </w:pPr>
            <w:r>
              <w:rPr>
                <w:rFonts w:ascii="Times New Roman" w:cs="Times New Roman" w:eastAsia="Times New Roman" w:hAnsi="Times New Roman"/>
                <w:sz w:val="22"/>
                <w:szCs w:val="22"/>
              </w:rPr>
              <w:t xml:space="preserve">Incorrect + Low conf.</w:t>
            </w:r>
          </w:p>
        </w:tc>
        <w:tc>
          <w:tcPr>
            <w:tcW w:type="dxa" w:w="3120"/>
            <w:vAlign w:val="center"/>
          </w:tcPr>
          <w:p>
            <w:pPr>
              <w:jc w:val="center"/>
            </w:pPr>
            <w:r>
              <w:rPr>
                <w:rFonts w:ascii="Times New Roman" w:cs="Times New Roman" w:eastAsia="Times New Roman" w:hAnsi="Times New Roman"/>
                <w:sz w:val="22"/>
                <w:szCs w:val="22"/>
              </w:rPr>
              <w:t xml:space="preserve">Lower_TF</w:t>
            </w:r>
          </w:p>
        </w:tc>
        <w:tc>
          <w:tcPr>
            <w:tcW w:type="dxa" w:w="3120"/>
            <w:vAlign w:val="center"/>
          </w:tcPr>
          <w:p>
            <w:pPr>
              <w:jc w:val="center"/>
            </w:pPr>
            <w:r>
              <w:rPr>
                <w:rFonts w:ascii="Times New Roman" w:cs="Times New Roman" w:eastAsia="Times New Roman" w:hAnsi="Times New Roman"/>
                <w:sz w:val="22"/>
                <w:szCs w:val="22"/>
              </w:rPr>
              <w:t xml:space="preserve">Confirm basic recognition</w:t>
            </w:r>
          </w:p>
        </w:tc>
      </w:tr>
      <w:tr>
        <w:tc>
          <w:tcPr>
            <w:tcW w:type="dxa" w:w="3120"/>
            <w:vAlign w:val="center"/>
          </w:tcPr>
          <w:p>
            <w:pPr>
              <w:jc w:val="center"/>
            </w:pPr>
            <w:r>
              <w:rPr>
                <w:rFonts w:ascii="Times New Roman" w:cs="Times New Roman" w:eastAsia="Times New Roman" w:hAnsi="Times New Roman"/>
                <w:sz w:val="22"/>
                <w:szCs w:val="22"/>
              </w:rPr>
              <w:t xml:space="preserve">Correct + Low conf.</w:t>
            </w:r>
          </w:p>
        </w:tc>
        <w:tc>
          <w:tcPr>
            <w:tcW w:type="dxa" w:w="3120"/>
            <w:vAlign w:val="center"/>
          </w:tcPr>
          <w:p>
            <w:pPr>
              <w:jc w:val="center"/>
            </w:pPr>
            <w:r>
              <w:rPr>
                <w:rFonts w:ascii="Times New Roman" w:cs="Times New Roman" w:eastAsia="Times New Roman" w:hAnsi="Times New Roman"/>
                <w:sz w:val="22"/>
                <w:szCs w:val="22"/>
              </w:rPr>
              <w:t xml:space="preserve">Open_Confirm</w:t>
            </w:r>
          </w:p>
        </w:tc>
        <w:tc>
          <w:tcPr>
            <w:tcW w:type="dxa" w:w="3120"/>
            <w:vAlign w:val="center"/>
          </w:tcPr>
          <w:p>
            <w:pPr>
              <w:jc w:val="center"/>
            </w:pPr>
            <w:r>
              <w:rPr>
                <w:rFonts w:ascii="Times New Roman" w:cs="Times New Roman" w:eastAsia="Times New Roman" w:hAnsi="Times New Roman"/>
                <w:sz w:val="22"/>
                <w:szCs w:val="22"/>
              </w:rPr>
              <w:t xml:space="preserve">Verify understanding vs. guessing</w:t>
            </w:r>
          </w:p>
        </w:tc>
      </w:tr>
      <w:tr>
        <w:tc>
          <w:tcPr>
            <w:tcW w:type="dxa" w:w="3120"/>
            <w:vAlign w:val="center"/>
          </w:tcPr>
          <w:p>
            <w:pPr>
              <w:jc w:val="center"/>
            </w:pPr>
            <w:r>
              <w:rPr>
                <w:rFonts w:ascii="Times New Roman" w:cs="Times New Roman" w:eastAsia="Times New Roman" w:hAnsi="Times New Roman"/>
                <w:sz w:val="22"/>
                <w:szCs w:val="22"/>
              </w:rPr>
              <w:t xml:space="preserve">Correct + Mid conf.</w:t>
            </w:r>
          </w:p>
        </w:tc>
        <w:tc>
          <w:tcPr>
            <w:tcW w:type="dxa" w:w="3120"/>
            <w:vAlign w:val="center"/>
          </w:tcPr>
          <w:p>
            <w:pPr>
              <w:jc w:val="center"/>
            </w:pPr>
            <w:r>
              <w:rPr>
                <w:rFonts w:ascii="Times New Roman" w:cs="Times New Roman" w:eastAsia="Times New Roman" w:hAnsi="Times New Roman"/>
                <w:sz w:val="22"/>
                <w:szCs w:val="22"/>
              </w:rPr>
              <w:t xml:space="preserve">Same_MCQ</w:t>
            </w:r>
          </w:p>
        </w:tc>
        <w:tc>
          <w:tcPr>
            <w:tcW w:type="dxa" w:w="3120"/>
            <w:vAlign w:val="center"/>
          </w:tcPr>
          <w:p>
            <w:pPr>
              <w:jc w:val="center"/>
            </w:pPr>
            <w:r>
              <w:rPr>
                <w:rFonts w:ascii="Times New Roman" w:cs="Times New Roman" w:eastAsia="Times New Roman" w:hAnsi="Times New Roman"/>
                <w:sz w:val="22"/>
                <w:szCs w:val="22"/>
              </w:rPr>
              <w:t xml:space="preserve">Confirm at same difficulty</w:t>
            </w:r>
          </w:p>
        </w:tc>
      </w:tr>
      <w:tr>
        <w:tc>
          <w:tcPr>
            <w:tcW w:type="dxa" w:w="3120"/>
            <w:vAlign w:val="center"/>
          </w:tcPr>
          <w:p>
            <w:pPr>
              <w:jc w:val="center"/>
            </w:pPr>
            <w:r>
              <w:rPr>
                <w:rFonts w:ascii="Times New Roman" w:cs="Times New Roman" w:eastAsia="Times New Roman" w:hAnsi="Times New Roman"/>
                <w:sz w:val="22"/>
                <w:szCs w:val="22"/>
              </w:rPr>
              <w:t xml:space="preserve">Correct + High conf.</w:t>
            </w:r>
          </w:p>
        </w:tc>
        <w:tc>
          <w:tcPr>
            <w:tcW w:type="dxa" w:w="3120"/>
            <w:vAlign w:val="center"/>
          </w:tcPr>
          <w:p>
            <w:pPr>
              <w:jc w:val="center"/>
            </w:pPr>
            <w:r>
              <w:rPr>
                <w:rFonts w:ascii="Times New Roman" w:cs="Times New Roman" w:eastAsia="Times New Roman" w:hAnsi="Times New Roman"/>
                <w:sz w:val="22"/>
                <w:szCs w:val="22"/>
              </w:rPr>
              <w:t xml:space="preserve">Higher_MCQ</w:t>
            </w:r>
          </w:p>
        </w:tc>
        <w:tc>
          <w:tcPr>
            <w:tcW w:type="dxa" w:w="3120"/>
            <w:vAlign w:val="center"/>
          </w:tcPr>
          <w:p>
            <w:pPr>
              <w:jc w:val="center"/>
            </w:pPr>
            <w:r>
              <w:rPr>
                <w:rFonts w:ascii="Times New Roman" w:cs="Times New Roman" w:eastAsia="Times New Roman" w:hAnsi="Times New Roman"/>
                <w:sz w:val="22"/>
                <w:szCs w:val="22"/>
              </w:rPr>
              <w:t xml:space="preserve">Probe deeper application</w:t>
            </w:r>
          </w:p>
        </w:tc>
      </w:tr>
    </w:tbl>
    <w:p>
      <w:pPr>
        <w:spacing w:line="360" w:after="200"/>
      </w:pPr>
      <w:r>
        <w:rPr>
          <w:rFonts w:ascii="Times New Roman" w:cs="Times New Roman" w:eastAsia="Times New Roman" w:hAnsi="Times New Roman"/>
          <w:b/>
          <w:bCs/>
          <w:sz w:val="24"/>
          <w:szCs w:val="24"/>
        </w:rPr>
        <w:t xml:space="preserve">Selection Algorithm. </w:t>
      </w:r>
      <w:r>
        <w:rPr>
          <w:rFonts w:ascii="Times New Roman" w:cs="Times New Roman" w:eastAsia="Times New Roman" w:hAnsi="Times New Roman"/>
          <w:sz w:val="24"/>
          <w:szCs w:val="24"/>
        </w:rPr>
        <w:t xml:space="preserve">The 10-item selection follows a three-phase procedure. Phase 1 enforces domain minimums (at least 2 items per scoring domain). Phase 2 fills remaining slots in descending Need order. Phase 3 provides fallback if fewer than 10 subcategories have Need &gt; 0, using mastery-probing items from the strongest subcategories. A five-level tiebreaker hierarchy resolves equal Need scores: (1) domain deficit, (2) format priority (True/False over MCQ), (3) subcategory spread (max 2 per subcategory), (4) domain order, and (5) seeded random selection. Open-ended items are capped at 3 per student; when the cap is reached, Open_Diagnose falls back to Lower_MCQ and Open_Confirm falls back to Same_MCQ.</w:t>
      </w:r>
    </w:p>
    <w:p>
      <w:pPr>
        <w:spacing w:line="360" w:after="200"/>
      </w:pPr>
      <w:r>
        <w:rPr>
          <w:rFonts w:ascii="Times New Roman" w:cs="Times New Roman" w:eastAsia="Times New Roman" w:hAnsi="Times New Roman"/>
          <w:b/>
          <w:bCs/>
          <w:sz w:val="24"/>
          <w:szCs w:val="24"/>
        </w:rPr>
        <w:t xml:space="preserve">Three-Way Classification. </w:t>
      </w:r>
      <w:r>
        <w:rPr>
          <w:rFonts w:ascii="Times New Roman" w:cs="Times New Roman" w:eastAsia="Times New Roman" w:hAnsi="Times New Roman"/>
          <w:sz w:val="24"/>
          <w:szCs w:val="24"/>
        </w:rPr>
        <w:t xml:space="preserve">Every open-ended response is classified into one of three categories: misconception (student holds a specific wrong mental model), knowledge gap (student lacks knowledge—blank, “I don’t know,” or unfamiliar with terms), or selection error (student demonstrates correct understanding but selected the wrong anchor answer due to misreading, misclick, or True/False reversal). This classification drives differentiated follow-up: misconceptions require targeted correction, knowledge gaps require instruction from foundational principles, and selection errors flag item ambiguity for revision.</w:t>
      </w:r>
    </w:p>
    <w:p>
      <w:pPr>
        <w:spacing w:line="360" w:after="200"/>
      </w:pPr>
      <w:r>
        <w:rPr>
          <w:rFonts w:ascii="Times New Roman" w:cs="Times New Roman" w:eastAsia="Times New Roman" w:hAnsi="Times New Roman"/>
          <w:b/>
          <w:bCs/>
          <w:sz w:val="24"/>
          <w:szCs w:val="24"/>
        </w:rPr>
        <w:t xml:space="preserve">Misconception Taxonomy. </w:t>
      </w:r>
      <w:r>
        <w:rPr>
          <w:rFonts w:ascii="Times New Roman" w:cs="Times New Roman" w:eastAsia="Times New Roman" w:hAnsi="Times New Roman"/>
          <w:sz w:val="24"/>
          <w:szCs w:val="24"/>
        </w:rPr>
        <w:t xml:space="preserve">A two-layer taxonomy structures misconception classification. Layer 1 contains 37 generalizable financial literacy misconception families organized into seven categories: Inflation and Purchasing Power (5 families), Interest, Compounding, and Time Value of Money (7 families), Risk, Return, and Diversification (10 families), Insurance and Risk Management (5 families), Borrowing, Credit, and Personal Finance (6 families), Financial Crises and Systemic Risk (3 families), and Numeracy (1 family). Layer 1 codes are designed to transfer across assessment contexts and student populations. Layer 2 contains item-specific tags derived from observed student response patterns, providing granularity within each Layer 1 family. The complete taxonomy is presented in Appendix C.</w:t>
      </w:r>
    </w:p>
    <w:p>
      <w:pPr>
        <w:spacing w:line="360" w:after="200"/>
      </w:pPr>
      <w:r>
        <w:rPr>
          <w:rFonts w:ascii="Times New Roman" w:cs="Times New Roman" w:eastAsia="Times New Roman" w:hAnsi="Times New Roman"/>
          <w:b/>
          <w:bCs/>
          <w:sz w:val="24"/>
          <w:szCs w:val="24"/>
        </w:rPr>
        <w:t xml:space="preserve">AI-Assisted Scoring Pipeline. </w:t>
      </w:r>
      <w:r>
        <w:rPr>
          <w:rFonts w:ascii="Times New Roman" w:cs="Times New Roman" w:eastAsia="Times New Roman" w:hAnsi="Times New Roman"/>
          <w:sz w:val="24"/>
          <w:szCs w:val="24"/>
        </w:rPr>
        <w:t xml:space="preserve">Open-ended responses are scored using a large language model (GPT-4.1, OpenAI) accessed via the OpenRouter API. The model was selected through a multi-model concordance protocol in which 11 LLMs scored the same 20 responses and were evaluated on five quality criteria: schema compliance, error rate, classification nuance, throughput, and cost (Appendix D). Each response is processed with an item-specific prompt containing the anchor question context, the student’s selected answer and confidence level, applicable misconception families with calibration examples, and a decision tree for three-way classification. The model returns a structured JSON classification including diagnosis type, Layer 1 code, Layer 2 tag, credit score (0/50/100 measuring diagnostic value), classification confidence, an evidence quote, and a reasoning summary. Low-confidence classifications (approximately 5–10% of responses) are flagged for human review and adjudication by the course instructor. Prior work on LLM-based grading in business education found limited reliability when applying generic prompts to domain-specific content (Flodén, 2025). To address this, our pipeline uses item-specific prompts with calibration examples, a structured misconception taxonomy, and explicit decision trees, following the collaborative human-AI scoring model in which the LLM serves as a second rater whose low-confidence outputs are flagged for instructor adjudication (Olivos, Kamelski, &amp; Ascui-Gac, 2025). This approach follows established practices for LLM-based assessment scoring (Mizumoto &amp; Eguchi, 2024; Yavuz, 2025). All item selection decisions are deterministic and rule-based; the language model is used only for open-ended response classification.</w:t>
      </w:r>
    </w:p>
    <w:p>
      <w:pPr>
        <w:pStyle w:val="Heading2"/>
      </w:pPr>
      <w:r>
        <w:t xml:space="preserve">4.3 Platform and Data Collection</w:t>
      </w:r>
    </w:p>
    <w:p>
      <w:pPr>
        <w:spacing w:line="360" w:after="200"/>
        <w:jc w:val="left"/>
      </w:pPr>
      <w:r>
        <w:rPr>
          <w:rFonts w:ascii="Times New Roman" w:cs="Times New Roman" w:eastAsia="Times New Roman" w:hAnsi="Times New Roman"/>
          <w:sz w:val="24"/>
          <w:szCs w:val="24"/>
        </w:rPr>
        <w:t xml:space="preserve">To ensure standardized delivery and data integrity at scale, the questionnaire was administered through a dedicated web platform developed for this study: the Financial Literacy Toolkit. Students accessed the platform by entering their course code and university student ID number. The platform immediately transformed each student ID into a one-way cryptographic hash (SHA-256 with a per-course pepper) and discarded the raw identifier; all subsequent data storage and analysis use only the hashed key. The platform did not collect or store passwords, email addresses, or other personally identifiable information. After authentication, students reviewed an information and consent screen (see Section 4.4.3) and completed a brief onboarding process.</w:t>
      </w:r>
    </w:p>
    <w:p>
      <w:pPr>
        <w:spacing w:line="360" w:after="200"/>
        <w:jc w:val="left"/>
      </w:pPr>
      <w:r>
        <w:rPr>
          <w:rFonts w:ascii="Times New Roman" w:cs="Times New Roman" w:eastAsia="Times New Roman" w:hAnsi="Times New Roman"/>
          <w:sz w:val="24"/>
          <w:szCs w:val="24"/>
        </w:rPr>
        <w:t xml:space="preserve">The question bank was developed by adapting and synthesizing items from established financial literacy and numeracy instruments and large-scale surveys, including the Berlin Numeracy Test (BNT), Lipkus Numeracy Scale, Schwartz Numeracy Scale, the ‘Big Three’ (Lusardi and Mitchell), the FINRA National Financial Capability Study (NFCS) item sets including the NFCS extension ‘Big Five,’ the OECD/INFE Toolkit (2022), the P-Fin Index (including Retirement Fluency; TIAA and GFLEC), and related decision science and medical decision-making research instruments. An initial pool of approximately 80 candidate items was curated and refined to a 40-item anchor assessment. Each anchor question concept has pre-written variants by format (True/False, multiple choice, short open-ended) and level of understanding (foundational, comparable, applied), enabling targeted diagnostic follow-ups while maintaining a standardized 40-item anchor assessment. The complete platform source code, assessment instruments, and data processing scripts are publicly available in the project repository (Boulaid, 2026).</w:t>
      </w:r>
    </w:p>
    <w:p>
      <w:pPr>
        <w:pStyle w:val="Heading2"/>
      </w:pPr>
      <w:r>
        <w:t xml:space="preserve">4.4 Human Subjects Protections, Privacy, and FERPA Compliance</w:t>
      </w:r>
    </w:p>
    <w:p>
      <w:pPr>
        <w:pStyle w:val="Heading3"/>
      </w:pPr>
      <w:r>
        <w:t xml:space="preserve">4.4.1 Ethical Review and Regulatory Classification</w:t>
      </w:r>
    </w:p>
    <w:p>
      <w:pPr>
        <w:spacing w:line="360" w:after="200"/>
        <w:jc w:val="left"/>
      </w:pPr>
      <w:r>
        <w:rPr>
          <w:rFonts w:ascii="Times New Roman" w:cs="Times New Roman" w:eastAsia="Times New Roman" w:hAnsi="Times New Roman"/>
          <w:sz w:val="24"/>
          <w:szCs w:val="24"/>
        </w:rPr>
        <w:t xml:space="preserve">This study constitutes research with human subjects under federal regulations (45 CFR 46.102): it is a systematic investigation designed to contribute to generalizable knowledge about financial literacy education, conducted with living individuals from whom identifiable private information (educational assessment data linked via coded identifiers with a retained linking key) is collected through interaction (online survey administration). Because the study involves student educational records, the Family Educational Rights and Privacy Act (FERPA) applies. The study protocol has been prepared for submission to the Institutional Review Board at Loyola University Chicago (Office of Research Services, ORS@luc.edu). The study is expected to qualify for exempt review (Category 2: educational tests, surveys, and interview procedures with coded identifiers) or expedited review, given that the research presents no more than minimal risk to participants.</w:t>
      </w:r>
    </w:p>
    <w:p>
      <w:pPr>
        <w:pStyle w:val="Heading3"/>
      </w:pPr>
      <w:r>
        <w:t xml:space="preserve">4.4.2 Dual-Role Disclosure and Mitigation</w:t>
      </w:r>
    </w:p>
    <w:p>
      <w:pPr>
        <w:spacing w:line="360" w:after="200"/>
        <w:jc w:val="left"/>
      </w:pPr>
      <w:r>
        <w:rPr>
          <w:rFonts w:ascii="Times New Roman" w:cs="Times New Roman" w:eastAsia="Times New Roman" w:hAnsi="Times New Roman"/>
          <w:sz w:val="24"/>
          <w:szCs w:val="24"/>
        </w:rPr>
        <w:t xml:space="preserve">Members of the research team hold instructional roles in Quinn 102, creating a potential conflict of interest. Specifically, the instructor-researcher dual role may produce undue influence if students perceive that declining research participation could affect their course standing. Three safeguards address this concern. First, the assessment is a required course assignment for all enrolled students regardless of research participation; the research consent decision pertains only to whether a student’s data may be used for analysis beyond course purposes. Second, the platform presents research consent as a clearly separated, voluntary choice (see Section 4.4.3) with explicit language stating that declining has no impact on grades, course standing, or the student’s relationship with the instructor. Third, the research dataset is de-identified; instructional personnel access only the course-administration dataset (for confirming assignment completion) and cannot determine which students consented or declined research participation during the grading period.</w:t>
      </w:r>
    </w:p>
    <w:p>
      <w:pPr>
        <w:pStyle w:val="Heading3"/>
      </w:pPr>
      <w:r>
        <w:t xml:space="preserve">4.4.3 Informed Consent</w:t>
      </w:r>
    </w:p>
    <w:p>
      <w:pPr>
        <w:spacing w:line="360" w:after="200"/>
        <w:jc w:val="left"/>
      </w:pPr>
      <w:r>
        <w:rPr>
          <w:rFonts w:ascii="Times New Roman" w:cs="Times New Roman" w:eastAsia="Times New Roman" w:hAnsi="Times New Roman"/>
          <w:sz w:val="24"/>
          <w:szCs w:val="24"/>
        </w:rPr>
        <w:t xml:space="preserve">The platform’s onboarding flow presented a two-part consent screen before any data collection:</w:t>
      </w:r>
    </w:p>
    <w:p>
      <w:pPr>
        <w:spacing w:line="360" w:after="200"/>
      </w:pPr>
      <w:r>
        <w:rPr>
          <w:rFonts w:ascii="Times New Roman" w:cs="Times New Roman" w:eastAsia="Times New Roman" w:hAnsi="Times New Roman"/>
          <w:b/>
          <w:bCs/>
          <w:sz w:val="24"/>
          <w:szCs w:val="24"/>
        </w:rPr>
        <w:t xml:space="preserve">Course requirement acknowledgment (mandatory). </w:t>
      </w:r>
      <w:r>
        <w:rPr>
          <w:rFonts w:ascii="Times New Roman" w:cs="Times New Roman" w:eastAsia="Times New Roman" w:hAnsi="Times New Roman"/>
          <w:sz w:val="24"/>
          <w:szCs w:val="24"/>
        </w:rPr>
        <w:t xml:space="preserve">Students reviewed the statement: “This assessment is a required course assignment in [course code]. Completion affects course credit, but your answers are not graded for correctness.” Students checked a required acknowledgment box: “I understand this assessment is required for the course.”</w:t>
      </w:r>
    </w:p>
    <w:p>
      <w:pPr>
        <w:spacing w:line="360" w:after="200"/>
      </w:pPr>
      <w:r>
        <w:rPr>
          <w:rFonts w:ascii="Times New Roman" w:cs="Times New Roman" w:eastAsia="Times New Roman" w:hAnsi="Times New Roman"/>
          <w:b/>
          <w:bCs/>
          <w:sz w:val="24"/>
          <w:szCs w:val="24"/>
        </w:rPr>
        <w:t xml:space="preserve">Research consent (voluntary). </w:t>
      </w:r>
      <w:r>
        <w:rPr>
          <w:rFonts w:ascii="Times New Roman" w:cs="Times New Roman" w:eastAsia="Times New Roman" w:hAnsi="Times New Roman"/>
          <w:sz w:val="24"/>
          <w:szCs w:val="24"/>
        </w:rPr>
        <w:t xml:space="preserve">Below the course acknowledgment, students read: “You may choose whether your responses are used for research evaluating course learning outcomes. Declining has no impact on grades.” Students selected one of two options: “Yes, I consent” or “No, I do not consent.” The default selection was “Yes, I consent.”</w:t>
      </w:r>
    </w:p>
    <w:p>
      <w:pPr>
        <w:spacing w:line="360" w:after="200"/>
        <w:jc w:val="left"/>
      </w:pPr>
      <w:r>
        <w:rPr>
          <w:rFonts w:ascii="Times New Roman" w:cs="Times New Roman" w:eastAsia="Times New Roman" w:hAnsi="Times New Roman"/>
          <w:sz w:val="24"/>
          <w:szCs w:val="24"/>
        </w:rPr>
        <w:t xml:space="preserve">Each student’s research consent decision, along with a timestamp and consent version identifier (version 1.0), was recorded in the database. Of the 421 students who submitted completed assessments, 353 (83.8%) consented to research use of their data and 68 (16.2%) declined. Students may withdraw research consent at any time by contacting the principal investigator; withdrawn data will be excluded from all subsequent analyses.</w:t>
      </w:r>
    </w:p>
    <w:p>
      <w:pPr>
        <w:spacing w:line="360" w:after="200"/>
        <w:jc w:val="left"/>
      </w:pPr>
      <w:r>
        <w:rPr>
          <w:rFonts w:ascii="Times New Roman" w:cs="Times New Roman" w:eastAsia="Times New Roman" w:hAnsi="Times New Roman"/>
          <w:sz w:val="24"/>
          <w:szCs w:val="24"/>
        </w:rPr>
        <w:t xml:space="preserve">A privacy notice was also displayed during onboarding: “Your Student ID is converted to a coded identifier before storage. Identifiable information, if collected for course administration, is stored separately from the research dataset and access is restricted. Research analysis uses de-identified data and is governed by your consent choice.”</w:t>
      </w:r>
    </w:p>
    <w:p>
      <w:pPr>
        <w:pStyle w:val="Heading3"/>
      </w:pPr>
      <w:r>
        <w:t xml:space="preserve">4.4.4 De-identification and Data Security</w:t>
      </w:r>
    </w:p>
    <w:p>
      <w:pPr>
        <w:spacing w:line="360" w:after="200"/>
        <w:jc w:val="left"/>
      </w:pPr>
      <w:r>
        <w:rPr>
          <w:rFonts w:ascii="Times New Roman" w:cs="Times New Roman" w:eastAsia="Times New Roman" w:hAnsi="Times New Roman"/>
          <w:sz w:val="24"/>
          <w:szCs w:val="24"/>
        </w:rPr>
        <w:t xml:space="preserve">Student identifiers were transformed into coded keys using a one-way cryptographic hash function (SHA-256) with a per-course pepper prior to storage. The hash is irreversible: given only the hashed key, it is computationally infeasible to recover the original student identifier. No raw student ID numbers, names, email addresses, or other personally identifiable information are stored in any database table used for research. The platform does not store IP addresses; IP data is used only transiently in memory for rate-limiting purposes and is never persisted to disk or database.</w:t>
      </w:r>
    </w:p>
    <w:p>
      <w:pPr>
        <w:spacing w:line="360" w:after="200"/>
        <w:jc w:val="left"/>
      </w:pPr>
      <w:r>
        <w:rPr>
          <w:rFonts w:ascii="Times New Roman" w:cs="Times New Roman" w:eastAsia="Times New Roman" w:hAnsi="Times New Roman"/>
          <w:sz w:val="24"/>
          <w:szCs w:val="24"/>
        </w:rPr>
        <w:t xml:space="preserve">The research dataset contains only the hashed identifier, assessment responses (answer selections, confidence ratings, open-ended text), baseline onboarding survey responses, scoring metadata, and timestamps. Course-administration linkage (for confirming assignment completion and reporting grades) is maintained separately with restricted access by authorized instructional personnel only.</w:t>
      </w:r>
    </w:p>
    <w:p>
      <w:pPr>
        <w:spacing w:line="360" w:after="200"/>
        <w:jc w:val="left"/>
      </w:pPr>
      <w:r>
        <w:rPr>
          <w:rFonts w:ascii="Times New Roman" w:cs="Times New Roman" w:eastAsia="Times New Roman" w:hAnsi="Times New Roman"/>
          <w:sz w:val="24"/>
          <w:szCs w:val="24"/>
        </w:rPr>
        <w:t xml:space="preserve">All sensitive demographic and financial fields in the baseline survey (household income, parental education, first-generation college status, financial aid status, debt level, financial stress) include a “Prefer not to answer” option, allowing students to participate without disclosing information they consider private. The demographic variables collected for heterogeneity analysis were selected to minimize re-identification risk. The survey collects age as a categorical range (e.g., “20 or under,” “above 20”) rather than exact date of birth, and does not collect geographic identifiers such as zip code or home address. Research has demonstrated that 87% of the U.S. population can be uniquely identified from the combination of five-digit zip code, gender, and date of birth (Sweeney, 2000); by design, this study collects none of these three identifiers in combination.</w:t>
      </w:r>
    </w:p>
    <w:p>
      <w:pPr>
        <w:pStyle w:val="Heading3"/>
      </w:pPr>
      <w:r>
        <w:t xml:space="preserve">4.4.5 Data Retention and Destruction</w:t>
      </w:r>
    </w:p>
    <w:p>
      <w:pPr>
        <w:spacing w:line="360" w:after="200"/>
        <w:jc w:val="left"/>
      </w:pPr>
      <w:r>
        <w:rPr>
          <w:rFonts w:ascii="Times New Roman" w:cs="Times New Roman" w:eastAsia="Times New Roman" w:hAnsi="Times New Roman"/>
          <w:sz w:val="24"/>
          <w:szCs w:val="24"/>
        </w:rPr>
        <w:t xml:space="preserve">Research data will be retained for a minimum of three years following study completion, consistent with the Common Rule retention requirements, or longer if required by Loyola University Chicago institutional policy. During the retention period, de-identified data will be stored on password-protected, encrypted servers with access restricted to authorized members of the research team. The course-administration linking key (which enables grade reporting) will be destroyed after final course grades have been posted for the Spring 2026 semester. After the retention period expires, all electronic research files will be permanently deleted. The principal investigator is responsible for data destruction and will maintain documentation of the destruction process.</w:t>
      </w:r>
    </w:p>
    <w:p>
      <w:pPr>
        <w:pStyle w:val="Heading3"/>
      </w:pPr>
      <w:r>
        <w:t xml:space="preserve">4.4.6 Ethical Framework</w:t>
      </w:r>
    </w:p>
    <w:p>
      <w:pPr>
        <w:spacing w:line="360" w:after="200"/>
        <w:jc w:val="left"/>
      </w:pPr>
      <w:r>
        <w:rPr>
          <w:rFonts w:ascii="Times New Roman" w:cs="Times New Roman" w:eastAsia="Times New Roman" w:hAnsi="Times New Roman"/>
          <w:sz w:val="24"/>
          <w:szCs w:val="24"/>
        </w:rPr>
        <w:t xml:space="preserve">The study design addresses the three principles of the Belmont Report (National Commission, 1979):</w:t>
      </w:r>
    </w:p>
    <w:p>
      <w:pPr>
        <w:spacing w:line="360" w:after="200"/>
      </w:pPr>
      <w:r>
        <w:rPr>
          <w:rFonts w:ascii="Times New Roman" w:cs="Times New Roman" w:eastAsia="Times New Roman" w:hAnsi="Times New Roman"/>
          <w:b/>
          <w:bCs/>
          <w:sz w:val="24"/>
          <w:szCs w:val="24"/>
        </w:rPr>
        <w:t xml:space="preserve">Respect for Persons. </w:t>
      </w:r>
      <w:r>
        <w:rPr>
          <w:rFonts w:ascii="Times New Roman" w:cs="Times New Roman" w:eastAsia="Times New Roman" w:hAnsi="Times New Roman"/>
          <w:sz w:val="24"/>
          <w:szCs w:val="24"/>
        </w:rPr>
        <w:t xml:space="preserve">Research participation is voluntary and clearly separated from the required course assignment. Students provide informed consent through a structured, accessible consent screen that states the study purpose, procedures, risks, and the right to decline or withdraw without penalty. The consent process is designed to be comprehensible without specialized knowledge.</w:t>
      </w:r>
    </w:p>
    <w:p>
      <w:pPr>
        <w:spacing w:line="360" w:after="200"/>
      </w:pPr>
      <w:r>
        <w:rPr>
          <w:rFonts w:ascii="Times New Roman" w:cs="Times New Roman" w:eastAsia="Times New Roman" w:hAnsi="Times New Roman"/>
          <w:b/>
          <w:bCs/>
          <w:sz w:val="24"/>
          <w:szCs w:val="24"/>
        </w:rPr>
        <w:t xml:space="preserve">Beneficence. </w:t>
      </w:r>
      <w:r>
        <w:rPr>
          <w:rFonts w:ascii="Times New Roman" w:cs="Times New Roman" w:eastAsia="Times New Roman" w:hAnsi="Times New Roman"/>
          <w:sz w:val="24"/>
          <w:szCs w:val="24"/>
        </w:rPr>
        <w:t xml:space="preserve">The study presents minimal risk: the assessment covers standard financial literacy content encountered in normal educational practice, and the primary risk — breach of confidentiality — is mitigated through one-way cryptographic hashing, de-identified datasets, separate key storage, restricted access controls, and the absence of direct identifiers in the research file. Sensitive survey items include “Prefer not to answer” options to reduce discomfort. There is no direct benefit to individual participants; the anticipated benefit is improved financial literacy instruction for future cohorts based on empirical evidence of learning outcomes and knowledge gaps.</w:t>
      </w:r>
    </w:p>
    <w:p>
      <w:pPr>
        <w:spacing w:line="360" w:after="200"/>
      </w:pPr>
      <w:r>
        <w:rPr>
          <w:rFonts w:ascii="Times New Roman" w:cs="Times New Roman" w:eastAsia="Times New Roman" w:hAnsi="Times New Roman"/>
          <w:b/>
          <w:bCs/>
          <w:sz w:val="24"/>
          <w:szCs w:val="24"/>
        </w:rPr>
        <w:t xml:space="preserve">Justice. </w:t>
      </w:r>
      <w:r>
        <w:rPr>
          <w:rFonts w:ascii="Times New Roman" w:cs="Times New Roman" w:eastAsia="Times New Roman" w:hAnsi="Times New Roman"/>
          <w:sz w:val="24"/>
          <w:szCs w:val="24"/>
        </w:rPr>
        <w:t xml:space="preserve">Participants are selected on the basis of research relevance — enrollment in Quinn 102 (Financial Literacy) — rather than convenience or vulnerability. All enrolled students receive equal opportunity to complete the assessment (as a course requirement) and to consent or decline research participation. No students are excluded from the study on the basis of demographic characteristics.</w:t>
      </w:r>
    </w:p>
    <w:p>
      <w:pPr>
        <w:pStyle w:val="Heading2"/>
      </w:pPr>
      <w:r>
        <w:t xml:space="preserve">4.5 Analytical Framework</w:t>
      </w:r>
    </w:p>
    <w:p>
      <w:pPr>
        <w:spacing w:line="360" w:after="200"/>
        <w:jc w:val="left"/>
      </w:pPr>
      <w:r>
        <w:rPr>
          <w:rFonts w:ascii="Times New Roman" w:cs="Times New Roman" w:eastAsia="Times New Roman" w:hAnsi="Times New Roman"/>
          <w:sz w:val="24"/>
          <w:szCs w:val="24"/>
        </w:rPr>
        <w:t xml:space="preserve">The analytical framework addresses both research questions through complementary methods. Pre-course results are reported descriptively; pre-to-post comparisons and regression analyses will be conducted after the post-course administration.</w:t>
      </w:r>
    </w:p>
    <w:p>
      <w:pPr>
        <w:pStyle w:val="Heading3"/>
      </w:pPr>
      <w:r>
        <w:t xml:space="preserve">4.5.1 RQ1: Learning Gains</w:t>
      </w:r>
    </w:p>
    <w:p>
      <w:pPr>
        <w:spacing w:line="360" w:after="200"/>
        <w:jc w:val="left"/>
      </w:pPr>
      <w:r>
        <w:rPr>
          <w:rFonts w:ascii="Times New Roman" w:cs="Times New Roman" w:eastAsia="Times New Roman" w:hAnsi="Times New Roman"/>
          <w:sz w:val="24"/>
          <w:szCs w:val="24"/>
        </w:rPr>
        <w:t xml:space="preserve">Learning gains are measured as within-student score changes from pre to post, computed at the overall, domain, and subdomain levels. Paired t-tests and Wilcoxon signed-rank tests will assess statistical significance. Effect sizes (Cohen’s d) will quantify practical significance. Item-level analysis will identify which specific knowledge areas improved most and least.</w:t>
      </w:r>
    </w:p>
    <w:p>
      <w:pPr>
        <w:pStyle w:val="Heading3"/>
      </w:pPr>
      <w:r>
        <w:t xml:space="preserve">4.5.2 RQ2: Heterogeneity</w:t>
      </w:r>
    </w:p>
    <w:p>
      <w:pPr>
        <w:spacing w:line="360" w:after="200"/>
        <w:jc w:val="left"/>
      </w:pPr>
      <w:r>
        <w:rPr>
          <w:rFonts w:ascii="Times New Roman" w:cs="Times New Roman" w:eastAsia="Times New Roman" w:hAnsi="Times New Roman"/>
          <w:sz w:val="24"/>
          <w:szCs w:val="24"/>
        </w:rPr>
        <w:t xml:space="preserve">Heterogeneity in learning gains is modeled using OLS regression with gain scores as the dependent variable and baseline demographic, financial context, and behavioral variables as predictors. Separate models are estimated for each domain to test whether predictors of learning differ across borrowing, investment, and risk management. Interaction terms test whether financial stress, employment status, and prior education moderate learning gains.</w:t>
      </w:r>
    </w:p>
    <w:p>
      <w:pPr>
        <w:pStyle w:val="Heading3"/>
      </w:pPr>
      <w:r>
        <w:t xml:space="preserve">4.5.3 Psychometric Validation</w:t>
      </w:r>
    </w:p>
    <w:p>
      <w:pPr>
        <w:spacing w:line="360" w:after="200"/>
        <w:jc w:val="left"/>
      </w:pPr>
      <w:r>
        <w:rPr>
          <w:rFonts w:ascii="Times New Roman" w:cs="Times New Roman" w:eastAsia="Times New Roman" w:hAnsi="Times New Roman"/>
          <w:sz w:val="24"/>
          <w:szCs w:val="24"/>
        </w:rPr>
        <w:t xml:space="preserve">Instrument reliability is assessed using Cronbach’s alpha for internal consistency at the overall and domain levels. Item discrimination is evaluated using point-biserial correlations. Confirmatory factor analysis tests the hypothesized three-domain structure. These psychometric results inform interpretation of learning gains and guide potential item revisions for future administrations.</w:t>
      </w:r>
    </w:p>
    <w:p>
      <w:pPr>
        <w:pStyle w:val="Heading1"/>
      </w:pPr>
      <w:r>
        <w:t xml:space="preserve">5. Pre-Course Assessment Results</w:t>
      </w:r>
    </w:p>
    <w:p>
      <w:pPr>
        <w:pStyle w:val="Heading2"/>
      </w:pPr>
      <w:r>
        <w:t xml:space="preserve">5.1 Participation and Completion</w:t>
      </w:r>
    </w:p>
    <w:p>
      <w:pPr>
        <w:spacing w:line="360" w:after="200"/>
        <w:jc w:val="left"/>
      </w:pPr>
      <w:r>
        <w:rPr>
          <w:rFonts w:ascii="Times New Roman" w:cs="Times New Roman" w:eastAsia="Times New Roman" w:hAnsi="Times New Roman"/>
          <w:sz w:val="24"/>
          <w:szCs w:val="24"/>
        </w:rPr>
        <w:t xml:space="preserve">The pre-course assessment was administered over an eight-day window from February 2 through February 9, 2026. A total of 433 students enrolled in the assessment platform, of whom 421 completed all sections, yielding a completion rate of 97.2%. Table 4.1 presents the daily enrollment and completion counts.</w:t>
      </w:r>
    </w:p>
    <w:p>
      <w:pPr>
        <w:spacing w:before="240" w:after="120"/>
        <w:jc w:val="center"/>
      </w:pPr>
      <w:r>
        <w:rPr>
          <w:rFonts w:ascii="Times New Roman" w:cs="Times New Roman" w:eastAsia="Times New Roman" w:hAnsi="Times New Roman"/>
          <w:b/>
          <w:bCs/>
          <w:i/>
          <w:iCs/>
          <w:sz w:val="22"/>
          <w:szCs w:val="22"/>
        </w:rPr>
        <w:t xml:space="preserve">Table 4.1. Daily Enrollment and Completion Counts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3120"/>
        <w:gridCol w:w="3120"/>
        <w:gridCol w:w="3120"/>
      </w:tblGrid>
      <w:tr>
        <w:trPr>
          <w:tblHeader/>
        </w:trPr>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Date</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Enrolled</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Completed</w:t>
            </w:r>
          </w:p>
        </w:tc>
      </w:tr>
      <w:tr>
        <w:tc>
          <w:tcPr>
            <w:tcW w:type="dxa" w:w="3120"/>
            <w:vAlign w:val="center"/>
          </w:tcPr>
          <w:p>
            <w:pPr>
              <w:jc w:val="center"/>
            </w:pPr>
            <w:r>
              <w:rPr>
                <w:rFonts w:ascii="Times New Roman" w:cs="Times New Roman" w:eastAsia="Times New Roman" w:hAnsi="Times New Roman"/>
                <w:sz w:val="22"/>
                <w:szCs w:val="22"/>
              </w:rPr>
              <w:t xml:space="preserve">Feb 2</w:t>
            </w:r>
          </w:p>
        </w:tc>
        <w:tc>
          <w:tcPr>
            <w:tcW w:type="dxa" w:w="3120"/>
            <w:vAlign w:val="center"/>
          </w:tcPr>
          <w:p>
            <w:pPr>
              <w:jc w:val="center"/>
            </w:pPr>
            <w:r>
              <w:rPr>
                <w:rFonts w:ascii="Times New Roman" w:cs="Times New Roman" w:eastAsia="Times New Roman" w:hAnsi="Times New Roman"/>
                <w:sz w:val="22"/>
                <w:szCs w:val="22"/>
              </w:rPr>
              <w:t xml:space="preserve">98</w:t>
            </w:r>
          </w:p>
        </w:tc>
        <w:tc>
          <w:tcPr>
            <w:tcW w:type="dxa" w:w="3120"/>
            <w:vAlign w:val="center"/>
          </w:tcPr>
          <w:p>
            <w:pPr>
              <w:jc w:val="center"/>
            </w:pPr>
            <w:r>
              <w:rPr>
                <w:rFonts w:ascii="Times New Roman" w:cs="Times New Roman" w:eastAsia="Times New Roman" w:hAnsi="Times New Roman"/>
                <w:sz w:val="22"/>
                <w:szCs w:val="22"/>
              </w:rPr>
              <w:t xml:space="preserve">93</w:t>
            </w:r>
          </w:p>
        </w:tc>
      </w:tr>
      <w:tr>
        <w:tc>
          <w:tcPr>
            <w:tcW w:type="dxa" w:w="3120"/>
            <w:vAlign w:val="center"/>
          </w:tcPr>
          <w:p>
            <w:pPr>
              <w:jc w:val="center"/>
            </w:pPr>
            <w:r>
              <w:rPr>
                <w:rFonts w:ascii="Times New Roman" w:cs="Times New Roman" w:eastAsia="Times New Roman" w:hAnsi="Times New Roman"/>
                <w:sz w:val="22"/>
                <w:szCs w:val="22"/>
              </w:rPr>
              <w:t xml:space="preserve">Feb 3</w:t>
            </w:r>
          </w:p>
        </w:tc>
        <w:tc>
          <w:tcPr>
            <w:tcW w:type="dxa" w:w="3120"/>
            <w:vAlign w:val="center"/>
          </w:tcPr>
          <w:p>
            <w:pPr>
              <w:jc w:val="center"/>
            </w:pPr>
            <w:r>
              <w:rPr>
                <w:rFonts w:ascii="Times New Roman" w:cs="Times New Roman" w:eastAsia="Times New Roman" w:hAnsi="Times New Roman"/>
                <w:sz w:val="22"/>
                <w:szCs w:val="22"/>
              </w:rPr>
              <w:t xml:space="preserve">51</w:t>
            </w:r>
          </w:p>
        </w:tc>
        <w:tc>
          <w:tcPr>
            <w:tcW w:type="dxa" w:w="3120"/>
            <w:vAlign w:val="center"/>
          </w:tcPr>
          <w:p>
            <w:pPr>
              <w:jc w:val="center"/>
            </w:pPr>
            <w:r>
              <w:rPr>
                <w:rFonts w:ascii="Times New Roman" w:cs="Times New Roman" w:eastAsia="Times New Roman" w:hAnsi="Times New Roman"/>
                <w:sz w:val="22"/>
                <w:szCs w:val="22"/>
              </w:rPr>
              <w:t xml:space="preserve">47</w:t>
            </w:r>
          </w:p>
        </w:tc>
      </w:tr>
      <w:tr>
        <w:tc>
          <w:tcPr>
            <w:tcW w:type="dxa" w:w="3120"/>
            <w:vAlign w:val="center"/>
          </w:tcPr>
          <w:p>
            <w:pPr>
              <w:jc w:val="center"/>
            </w:pPr>
            <w:r>
              <w:rPr>
                <w:rFonts w:ascii="Times New Roman" w:cs="Times New Roman" w:eastAsia="Times New Roman" w:hAnsi="Times New Roman"/>
                <w:sz w:val="22"/>
                <w:szCs w:val="22"/>
              </w:rPr>
              <w:t xml:space="preserve">Feb 4</w:t>
            </w:r>
          </w:p>
        </w:tc>
        <w:tc>
          <w:tcPr>
            <w:tcW w:type="dxa" w:w="3120"/>
            <w:vAlign w:val="center"/>
          </w:tcPr>
          <w:p>
            <w:pPr>
              <w:jc w:val="center"/>
            </w:pPr>
            <w:r>
              <w:rPr>
                <w:rFonts w:ascii="Times New Roman" w:cs="Times New Roman" w:eastAsia="Times New Roman" w:hAnsi="Times New Roman"/>
                <w:sz w:val="22"/>
                <w:szCs w:val="22"/>
              </w:rPr>
              <w:t xml:space="preserve">47</w:t>
            </w:r>
          </w:p>
        </w:tc>
        <w:tc>
          <w:tcPr>
            <w:tcW w:type="dxa" w:w="3120"/>
            <w:vAlign w:val="center"/>
          </w:tcPr>
          <w:p>
            <w:pPr>
              <w:jc w:val="center"/>
            </w:pPr>
            <w:r>
              <w:rPr>
                <w:rFonts w:ascii="Times New Roman" w:cs="Times New Roman" w:eastAsia="Times New Roman" w:hAnsi="Times New Roman"/>
                <w:sz w:val="22"/>
                <w:szCs w:val="22"/>
              </w:rPr>
              <w:t xml:space="preserve">46</w:t>
            </w:r>
          </w:p>
        </w:tc>
      </w:tr>
      <w:tr>
        <w:tc>
          <w:tcPr>
            <w:tcW w:type="dxa" w:w="3120"/>
            <w:vAlign w:val="center"/>
          </w:tcPr>
          <w:p>
            <w:pPr>
              <w:jc w:val="center"/>
            </w:pPr>
            <w:r>
              <w:rPr>
                <w:rFonts w:ascii="Times New Roman" w:cs="Times New Roman" w:eastAsia="Times New Roman" w:hAnsi="Times New Roman"/>
                <w:sz w:val="22"/>
                <w:szCs w:val="22"/>
              </w:rPr>
              <w:t xml:space="preserve">Feb 5</w:t>
            </w:r>
          </w:p>
        </w:tc>
        <w:tc>
          <w:tcPr>
            <w:tcW w:type="dxa" w:w="3120"/>
            <w:vAlign w:val="center"/>
          </w:tcPr>
          <w:p>
            <w:pPr>
              <w:jc w:val="center"/>
            </w:pPr>
            <w:r>
              <w:rPr>
                <w:rFonts w:ascii="Times New Roman" w:cs="Times New Roman" w:eastAsia="Times New Roman" w:hAnsi="Times New Roman"/>
                <w:sz w:val="22"/>
                <w:szCs w:val="22"/>
              </w:rPr>
              <w:t xml:space="preserve">37</w:t>
            </w:r>
          </w:p>
        </w:tc>
        <w:tc>
          <w:tcPr>
            <w:tcW w:type="dxa" w:w="3120"/>
            <w:vAlign w:val="center"/>
          </w:tcPr>
          <w:p>
            <w:pPr>
              <w:jc w:val="center"/>
            </w:pPr>
            <w:r>
              <w:rPr>
                <w:rFonts w:ascii="Times New Roman" w:cs="Times New Roman" w:eastAsia="Times New Roman" w:hAnsi="Times New Roman"/>
                <w:sz w:val="22"/>
                <w:szCs w:val="22"/>
              </w:rPr>
              <w:t xml:space="preserve">36</w:t>
            </w:r>
          </w:p>
        </w:tc>
      </w:tr>
      <w:tr>
        <w:tc>
          <w:tcPr>
            <w:tcW w:type="dxa" w:w="3120"/>
            <w:vAlign w:val="center"/>
          </w:tcPr>
          <w:p>
            <w:pPr>
              <w:jc w:val="center"/>
            </w:pPr>
            <w:r>
              <w:rPr>
                <w:rFonts w:ascii="Times New Roman" w:cs="Times New Roman" w:eastAsia="Times New Roman" w:hAnsi="Times New Roman"/>
                <w:sz w:val="22"/>
                <w:szCs w:val="22"/>
              </w:rPr>
              <w:t xml:space="preserve">Feb 6</w:t>
            </w:r>
          </w:p>
        </w:tc>
        <w:tc>
          <w:tcPr>
            <w:tcW w:type="dxa" w:w="3120"/>
            <w:vAlign w:val="center"/>
          </w:tcPr>
          <w:p>
            <w:pPr>
              <w:jc w:val="center"/>
            </w:pPr>
            <w:r>
              <w:rPr>
                <w:rFonts w:ascii="Times New Roman" w:cs="Times New Roman" w:eastAsia="Times New Roman" w:hAnsi="Times New Roman"/>
                <w:sz w:val="22"/>
                <w:szCs w:val="22"/>
              </w:rPr>
              <w:t xml:space="preserve">43</w:t>
            </w:r>
          </w:p>
        </w:tc>
        <w:tc>
          <w:tcPr>
            <w:tcW w:type="dxa" w:w="3120"/>
            <w:vAlign w:val="center"/>
          </w:tcPr>
          <w:p>
            <w:pPr>
              <w:jc w:val="center"/>
            </w:pPr>
            <w:r>
              <w:rPr>
                <w:rFonts w:ascii="Times New Roman" w:cs="Times New Roman" w:eastAsia="Times New Roman" w:hAnsi="Times New Roman"/>
                <w:sz w:val="22"/>
                <w:szCs w:val="22"/>
              </w:rPr>
              <w:t xml:space="preserve">43</w:t>
            </w:r>
          </w:p>
        </w:tc>
      </w:tr>
      <w:tr>
        <w:tc>
          <w:tcPr>
            <w:tcW w:type="dxa" w:w="3120"/>
            <w:vAlign w:val="center"/>
          </w:tcPr>
          <w:p>
            <w:pPr>
              <w:jc w:val="center"/>
            </w:pPr>
            <w:r>
              <w:rPr>
                <w:rFonts w:ascii="Times New Roman" w:cs="Times New Roman" w:eastAsia="Times New Roman" w:hAnsi="Times New Roman"/>
                <w:sz w:val="22"/>
                <w:szCs w:val="22"/>
              </w:rPr>
              <w:t xml:space="preserve">Feb 7</w:t>
            </w:r>
          </w:p>
        </w:tc>
        <w:tc>
          <w:tcPr>
            <w:tcW w:type="dxa" w:w="3120"/>
            <w:vAlign w:val="center"/>
          </w:tcPr>
          <w:p>
            <w:pPr>
              <w:jc w:val="center"/>
            </w:pPr>
            <w:r>
              <w:rPr>
                <w:rFonts w:ascii="Times New Roman" w:cs="Times New Roman" w:eastAsia="Times New Roman" w:hAnsi="Times New Roman"/>
                <w:sz w:val="22"/>
                <w:szCs w:val="22"/>
              </w:rPr>
              <w:t xml:space="preserve">38</w:t>
            </w:r>
          </w:p>
        </w:tc>
        <w:tc>
          <w:tcPr>
            <w:tcW w:type="dxa" w:w="3120"/>
            <w:vAlign w:val="center"/>
          </w:tcPr>
          <w:p>
            <w:pPr>
              <w:jc w:val="center"/>
            </w:pPr>
            <w:r>
              <w:rPr>
                <w:rFonts w:ascii="Times New Roman" w:cs="Times New Roman" w:eastAsia="Times New Roman" w:hAnsi="Times New Roman"/>
                <w:sz w:val="22"/>
                <w:szCs w:val="22"/>
              </w:rPr>
              <w:t xml:space="preserve">38</w:t>
            </w:r>
          </w:p>
        </w:tc>
      </w:tr>
      <w:tr>
        <w:tc>
          <w:tcPr>
            <w:tcW w:type="dxa" w:w="3120"/>
            <w:vAlign w:val="center"/>
          </w:tcPr>
          <w:p>
            <w:pPr>
              <w:jc w:val="center"/>
            </w:pPr>
            <w:r>
              <w:rPr>
                <w:rFonts w:ascii="Times New Roman" w:cs="Times New Roman" w:eastAsia="Times New Roman" w:hAnsi="Times New Roman"/>
                <w:sz w:val="22"/>
                <w:szCs w:val="22"/>
              </w:rPr>
              <w:t xml:space="preserve">Feb 8</w:t>
            </w:r>
          </w:p>
        </w:tc>
        <w:tc>
          <w:tcPr>
            <w:tcW w:type="dxa" w:w="3120"/>
            <w:vAlign w:val="center"/>
          </w:tcPr>
          <w:p>
            <w:pPr>
              <w:jc w:val="center"/>
            </w:pPr>
            <w:r>
              <w:rPr>
                <w:rFonts w:ascii="Times New Roman" w:cs="Times New Roman" w:eastAsia="Times New Roman" w:hAnsi="Times New Roman"/>
                <w:sz w:val="22"/>
                <w:szCs w:val="22"/>
              </w:rPr>
              <w:t xml:space="preserve">56</w:t>
            </w:r>
          </w:p>
        </w:tc>
        <w:tc>
          <w:tcPr>
            <w:tcW w:type="dxa" w:w="3120"/>
            <w:vAlign w:val="center"/>
          </w:tcPr>
          <w:p>
            <w:pPr>
              <w:jc w:val="center"/>
            </w:pPr>
            <w:r>
              <w:rPr>
                <w:rFonts w:ascii="Times New Roman" w:cs="Times New Roman" w:eastAsia="Times New Roman" w:hAnsi="Times New Roman"/>
                <w:sz w:val="22"/>
                <w:szCs w:val="22"/>
              </w:rPr>
              <w:t xml:space="preserve">56</w:t>
            </w:r>
          </w:p>
        </w:tc>
      </w:tr>
      <w:tr>
        <w:tc>
          <w:tcPr>
            <w:tcW w:type="dxa" w:w="3120"/>
            <w:vAlign w:val="center"/>
          </w:tcPr>
          <w:p>
            <w:pPr>
              <w:jc w:val="center"/>
            </w:pPr>
            <w:r>
              <w:rPr>
                <w:rFonts w:ascii="Times New Roman" w:cs="Times New Roman" w:eastAsia="Times New Roman" w:hAnsi="Times New Roman"/>
                <w:sz w:val="22"/>
                <w:szCs w:val="22"/>
              </w:rPr>
              <w:t xml:space="preserve">Feb 9</w:t>
            </w:r>
          </w:p>
        </w:tc>
        <w:tc>
          <w:tcPr>
            <w:tcW w:type="dxa" w:w="3120"/>
            <w:vAlign w:val="center"/>
          </w:tcPr>
          <w:p>
            <w:pPr>
              <w:jc w:val="center"/>
            </w:pPr>
            <w:r>
              <w:rPr>
                <w:rFonts w:ascii="Times New Roman" w:cs="Times New Roman" w:eastAsia="Times New Roman" w:hAnsi="Times New Roman"/>
                <w:sz w:val="22"/>
                <w:szCs w:val="22"/>
              </w:rPr>
              <w:t xml:space="preserve">63</w:t>
            </w:r>
          </w:p>
        </w:tc>
        <w:tc>
          <w:tcPr>
            <w:tcW w:type="dxa" w:w="3120"/>
            <w:vAlign w:val="center"/>
          </w:tcPr>
          <w:p>
            <w:pPr>
              <w:jc w:val="center"/>
            </w:pPr>
            <w:r>
              <w:rPr>
                <w:rFonts w:ascii="Times New Roman" w:cs="Times New Roman" w:eastAsia="Times New Roman" w:hAnsi="Times New Roman"/>
                <w:sz w:val="22"/>
                <w:szCs w:val="22"/>
              </w:rPr>
              <w:t xml:space="preserve">62</w:t>
            </w:r>
          </w:p>
        </w:tc>
      </w:tr>
      <w:tr>
        <w:tc>
          <w:tcPr>
            <w:tcW w:type="dxa" w:w="3120"/>
            <w:vAlign w:val="center"/>
          </w:tcPr>
          <w:p>
            <w:pPr>
              <w:jc w:val="center"/>
            </w:pPr>
            <w:r>
              <w:rPr>
                <w:rFonts w:ascii="Times New Roman" w:cs="Times New Roman" w:eastAsia="Times New Roman" w:hAnsi="Times New Roman"/>
                <w:sz w:val="22"/>
                <w:szCs w:val="22"/>
              </w:rPr>
              <w:t xml:space="preserve">Total</w:t>
            </w:r>
          </w:p>
        </w:tc>
        <w:tc>
          <w:tcPr>
            <w:tcW w:type="dxa" w:w="3120"/>
            <w:vAlign w:val="center"/>
          </w:tcPr>
          <w:p>
            <w:pPr>
              <w:jc w:val="center"/>
            </w:pPr>
            <w:r>
              <w:rPr>
                <w:rFonts w:ascii="Times New Roman" w:cs="Times New Roman" w:eastAsia="Times New Roman" w:hAnsi="Times New Roman"/>
                <w:sz w:val="22"/>
                <w:szCs w:val="22"/>
              </w:rPr>
              <w:t xml:space="preserve">433</w:t>
            </w:r>
          </w:p>
        </w:tc>
        <w:tc>
          <w:tcPr>
            <w:tcW w:type="dxa" w:w="3120"/>
            <w:vAlign w:val="center"/>
          </w:tcPr>
          <w:p>
            <w:pPr>
              <w:jc w:val="center"/>
            </w:pPr>
            <w:r>
              <w:rPr>
                <w:rFonts w:ascii="Times New Roman" w:cs="Times New Roman" w:eastAsia="Times New Roman" w:hAnsi="Times New Roman"/>
                <w:sz w:val="22"/>
                <w:szCs w:val="22"/>
              </w:rPr>
              <w:t xml:space="preserve">421</w:t>
            </w:r>
          </w:p>
        </w:tc>
      </w:tr>
    </w:tbl>
    <w:p>
      <w:pPr>
        <w:spacing w:before="240" w:after="120"/>
        <w:jc w:val="center"/>
      </w:pPr>
      <w:r>
        <w:drawing>
          <wp:inline distT="0" distB="0" distL="0" distR="0">
            <wp:extent cx="5524500" cy="3619500"/>
            <wp:effectExtent t="0" r="0" b="0" l="0"/>
            <wp:docPr id="1" name="fig3" descr="Daily Enrollment and Completion (Feb 2-9,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1950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1. Daily Enrollment and Completion (Feb 2-9, 2026)</w:t>
      </w:r>
    </w:p>
    <w:p>
      <w:pPr>
        <w:spacing w:line="360" w:after="200"/>
        <w:jc w:val="left"/>
      </w:pPr>
      <w:r>
        <w:rPr>
          <w:rFonts w:ascii="Times New Roman" w:cs="Times New Roman" w:eastAsia="Times New Roman" w:hAnsi="Times New Roman"/>
          <w:sz w:val="24"/>
          <w:szCs w:val="24"/>
        </w:rPr>
        <w:t xml:space="preserve">Figure 1 displays the daily enrollment and assessment completion counts alongside cumulative totals over the 8-day assessment window. The dual-axis chart shows that enrollment peaked on the first day (February 2, n = 98), consistent with students responding to the initial course announcement. A secondary surge occurred on the final two days (February 8-9, n = 119 combined), reflecting deadline-driven engagement. The cumulative lines demonstrate that the enrollment-to-completion gap remained narrow throughout, ultimately reaching 433 enrolled and 421 completed (97.2%). This high completion rate indicates strong platform reliability and student engagement with the required assessment.</w:t>
      </w:r>
    </w:p>
    <w:p>
      <w:pPr>
        <w:spacing w:before="240" w:after="120"/>
        <w:jc w:val="center"/>
      </w:pPr>
      <w:r>
        <w:drawing>
          <wp:inline distT="0" distB="0" distL="0" distR="0">
            <wp:extent cx="5524500" cy="3619500"/>
            <wp:effectExtent t="0" r="0" b="0" l="0"/>
            <wp:docPr id="1" name="fig4" descr="Assessment Submission Time of Day (N = 421)"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2. Assessment Submission Time of Day (N = 421)</w:t>
      </w:r>
    </w:p>
    <w:p>
      <w:pPr>
        <w:spacing w:line="360" w:after="200"/>
        <w:jc w:val="left"/>
      </w:pPr>
      <w:r>
        <w:rPr>
          <w:rFonts w:ascii="Times New Roman" w:cs="Times New Roman" w:eastAsia="Times New Roman" w:hAnsi="Times New Roman"/>
          <w:sz w:val="24"/>
          <w:szCs w:val="24"/>
        </w:rPr>
        <w:t xml:space="preserve">Figure 2 presents the distribution of assessment submission times across the 24-hour clock (CST). The area chart reveals a pronounced evening peak between 8:00 PM and 10:00 PM, when approximately 35% of all submissions occurred. Morning hours (6:00 AM–12:00 PM) accounted for fewer than 10% of completions, with the lowest activity between 2:00 AM and 7:00 AM. A secondary afternoon uptick is visible between 2:00 PM and 5:00 PM. This temporal pattern is consistent with typical college student schedules, where academic tasks are concentrated in evening hours after classes and extracurricular activities. The strong evening concentration also suggests that students treated the assessment as a focused task rather than a casual activity, which supports the validity of the measured completion times.</w:t>
      </w:r>
    </w:p>
    <w:p>
      <w:pPr>
        <w:pStyle w:val="Heading2"/>
      </w:pPr>
      <w:r>
        <w:t xml:space="preserve">5.2 Sample Demographics</w:t>
      </w:r>
    </w:p>
    <w:p>
      <w:pPr>
        <w:spacing w:line="360" w:after="200"/>
        <w:jc w:val="left"/>
      </w:pPr>
      <w:r>
        <w:rPr>
          <w:rFonts w:ascii="Times New Roman" w:cs="Times New Roman" w:eastAsia="Times New Roman" w:hAnsi="Times New Roman"/>
          <w:sz w:val="24"/>
          <w:szCs w:val="24"/>
        </w:rPr>
        <w:t xml:space="preserve">The sample of 421 completers is predominantly female (58.4%), traditional college age (87.4% aged 20 or under), and racially diverse. White/Caucasian students comprise roughly half the sample (49.4%), with meaningful representation from Hispanic/Latino (22.3%), Asian (13.3%), and Black/African American (6.9%) students. Nearly three-quarters of respondents report part-time employment (72.2%), and approximately one-third are first-generation college students (28.5%). This demographic composition provides sufficient variation to support the planned heterogeneity analysis in RQ2.</w:t>
      </w:r>
    </w:p>
    <w:p>
      <w:pPr>
        <w:spacing w:before="240" w:after="120"/>
        <w:jc w:val="center"/>
      </w:pPr>
      <w:r>
        <w:drawing>
          <wp:inline distT="0" distB="0" distL="0" distR="0">
            <wp:extent cx="5715000" cy="3333750"/>
            <wp:effectExtent t="0" r="0" b="0" l="0"/>
            <wp:docPr id="1" name="fig7" descr="Sample Demographics (N = 42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3. Sample Demographics (N = 421)</w:t>
      </w:r>
    </w:p>
    <w:p>
      <w:pPr>
        <w:spacing w:line="360" w:after="200"/>
        <w:jc w:val="left"/>
      </w:pPr>
      <w:r>
        <w:rPr>
          <w:rFonts w:ascii="Times New Roman" w:cs="Times New Roman" w:eastAsia="Times New Roman" w:hAnsi="Times New Roman"/>
          <w:sz w:val="24"/>
          <w:szCs w:val="24"/>
        </w:rPr>
        <w:t xml:space="preserve">Figure 3 presents the demographic composition of the sample across five dimensions. Panel (a) shows the gender split (58.4% female, 40.2% male). Panel (b) confirms a predominantly traditional-age sample (87.4% aged 20 or under). Panel (c) reveals meaningful racial and ethnic diversity, with White/Caucasian students comprising roughly half (49.4%) and substantial representation from Hispanic/Latino (22.3%), Asian (13.3%), and Black/African American (6.9%) students. Panel (d) shows that nearly three-quarters of students work part-time (72.2%), while panel (e) indicates that nearly one-third are first-generation college students (28.5%). This demographic profile provides meaningful variation for the planned heterogeneity analysis (RQ2) examining whether learning gains differ across student subgroups.</w:t>
      </w:r>
    </w:p>
    <w:p>
      <w:pPr>
        <w:pStyle w:val="Heading2"/>
      </w:pPr>
      <w:r>
        <w:t xml:space="preserve">5.3 Financial Background</w:t>
      </w:r>
    </w:p>
    <w:p>
      <w:pPr>
        <w:spacing w:line="360" w:after="200"/>
        <w:jc w:val="left"/>
      </w:pPr>
      <w:r>
        <w:rPr>
          <w:rFonts w:ascii="Times New Roman" w:cs="Times New Roman" w:eastAsia="Times New Roman" w:hAnsi="Times New Roman"/>
          <w:sz w:val="24"/>
          <w:szCs w:val="24"/>
        </w:rPr>
        <w:t xml:space="preserve">Students report varying levels of financial stress and self-assessed financial knowledge. The majority experience financial stress sometimes (44.7%) or rarely (22.3%), though nearly a quarter (23.8%) report stress often or always. Self-rated financial knowledge clusters around moderate (60.1%) and low (25.2%), with only 14.5% rating themselves as high or very high. These distributions suggest a sample with meaningful financial concerns and generally modest self-assessed competence, consistent with the target population for an introductory financial literacy course.</w:t>
      </w:r>
    </w:p>
    <w:p>
      <w:pPr>
        <w:spacing w:before="240" w:after="120"/>
        <w:jc w:val="center"/>
      </w:pPr>
      <w:r>
        <w:drawing>
          <wp:inline distT="0" distB="0" distL="0" distR="0">
            <wp:extent cx="5715000" cy="3333750"/>
            <wp:effectExtent t="0" r="0" b="0" l="0"/>
            <wp:docPr id="1" name="fig8" descr="Financial Background and Self-Assessment (N = 42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4. Financial Background and Self-Assessment (N = 421)</w:t>
      </w:r>
    </w:p>
    <w:p>
      <w:pPr>
        <w:spacing w:line="360" w:after="200"/>
        <w:jc w:val="left"/>
      </w:pPr>
      <w:r>
        <w:rPr>
          <w:rFonts w:ascii="Times New Roman" w:cs="Times New Roman" w:eastAsia="Times New Roman" w:hAnsi="Times New Roman"/>
          <w:sz w:val="24"/>
          <w:szCs w:val="24"/>
        </w:rPr>
        <w:t xml:space="preserve">Figure 4 illustrates two key dimensions of students’ financial context. Panel (a) shows the distribution of self-reported financial stress: the majority of students experience stress sometimes (44.7%) or rarely (22.3%), but nearly a quarter (23.8%) report experiencing financial stress often or always, identifying a subgroup for whom financial literacy instruction carries immediate practical relevance. Panel (b) displays self-rated financial knowledge, where the vast majority rate themselves as moderate (60.1%) or low (25.2%). Only 14.5% rate their knowledge as high or very high. The predominance of moderate self-ratings, combined with the 66.6% average actual score, suggests reasonably calibrated self-assessment across the sample, consistent with the confidence calibration findings in Section 5.7.</w:t>
      </w:r>
    </w:p>
    <w:p>
      <w:pPr>
        <w:pStyle w:val="Heading2"/>
      </w:pPr>
      <w:r>
        <w:t xml:space="preserve">5.4 Overall Score Distribution</w:t>
      </w:r>
    </w:p>
    <w:p>
      <w:pPr>
        <w:spacing w:line="360" w:after="200"/>
        <w:jc w:val="left"/>
      </w:pPr>
      <w:r>
        <w:rPr>
          <w:rFonts w:ascii="Times New Roman" w:cs="Times New Roman" w:eastAsia="Times New Roman" w:hAnsi="Times New Roman"/>
          <w:sz w:val="24"/>
          <w:szCs w:val="24"/>
        </w:rPr>
        <w:t xml:space="preserve">The overall pre-course score distribution across the 26 scored knowledge items is summarized in the table below. The mean score of 66.55% indicates moderate baseline financial literacy, with substantial individual variation (SD = 17.38%).</w:t>
      </w:r>
    </w:p>
    <w:p>
      <w:pPr>
        <w:spacing w:before="240" w:after="120"/>
        <w:jc w:val="center"/>
      </w:pPr>
      <w:r>
        <w:rPr>
          <w:rFonts w:ascii="Times New Roman" w:cs="Times New Roman" w:eastAsia="Times New Roman" w:hAnsi="Times New Roman"/>
          <w:b/>
          <w:bCs/>
          <w:i/>
          <w:iCs/>
          <w:sz w:val="22"/>
          <w:szCs w:val="22"/>
        </w:rPr>
        <w:t xml:space="preserve">Table 5.1. Overall Pre-Course Score Summary Statistics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4680"/>
        <w:gridCol w:w="4680"/>
      </w:tblGrid>
      <w:tr>
        <w:trPr>
          <w:tblHeader/>
        </w:trPr>
        <w:tc>
          <w:tcPr>
            <w:tcW w:type="dxa" w:w="4680"/>
            <w:shd w:fill="D5E8F0" w:color="auto" w:val="clear"/>
            <w:vAlign w:val="center"/>
          </w:tcPr>
          <w:p>
            <w:pPr>
              <w:jc w:val="center"/>
            </w:pPr>
            <w:r>
              <w:rPr>
                <w:rFonts w:ascii="Times New Roman" w:cs="Times New Roman" w:eastAsia="Times New Roman" w:hAnsi="Times New Roman"/>
                <w:b/>
                <w:bCs/>
                <w:sz w:val="22"/>
                <w:szCs w:val="22"/>
              </w:rPr>
              <w:t xml:space="preserve">Statistic</w:t>
            </w:r>
          </w:p>
        </w:tc>
        <w:tc>
          <w:tcPr>
            <w:tcW w:type="dxa" w:w="4680"/>
            <w:shd w:fill="D5E8F0" w:color="auto" w:val="clear"/>
            <w:vAlign w:val="center"/>
          </w:tcPr>
          <w:p>
            <w:pPr>
              <w:jc w:val="center"/>
            </w:pPr>
            <w:r>
              <w:rPr>
                <w:rFonts w:ascii="Times New Roman" w:cs="Times New Roman" w:eastAsia="Times New Roman" w:hAnsi="Times New Roman"/>
                <w:b/>
                <w:bCs/>
                <w:sz w:val="22"/>
                <w:szCs w:val="22"/>
              </w:rPr>
              <w:t xml:space="preserve">Value</w:t>
            </w:r>
          </w:p>
        </w:tc>
      </w:tr>
      <w:tr>
        <w:tc>
          <w:tcPr>
            <w:tcW w:type="dxa" w:w="4680"/>
            <w:vAlign w:val="center"/>
          </w:tcPr>
          <w:p>
            <w:pPr>
              <w:jc w:val="center"/>
            </w:pPr>
            <w:r>
              <w:rPr>
                <w:rFonts w:ascii="Times New Roman" w:cs="Times New Roman" w:eastAsia="Times New Roman" w:hAnsi="Times New Roman"/>
                <w:sz w:val="22"/>
                <w:szCs w:val="22"/>
              </w:rPr>
              <w:t xml:space="preserve">N</w:t>
            </w:r>
          </w:p>
        </w:tc>
        <w:tc>
          <w:tcPr>
            <w:tcW w:type="dxa" w:w="4680"/>
            <w:vAlign w:val="center"/>
          </w:tcPr>
          <w:p>
            <w:pPr>
              <w:jc w:val="center"/>
            </w:pPr>
            <w:r>
              <w:rPr>
                <w:rFonts w:ascii="Times New Roman" w:cs="Times New Roman" w:eastAsia="Times New Roman" w:hAnsi="Times New Roman"/>
                <w:sz w:val="22"/>
                <w:szCs w:val="22"/>
              </w:rPr>
              <w:t xml:space="preserve">421</w:t>
            </w:r>
          </w:p>
        </w:tc>
      </w:tr>
      <w:tr>
        <w:tc>
          <w:tcPr>
            <w:tcW w:type="dxa" w:w="4680"/>
            <w:vAlign w:val="center"/>
          </w:tcPr>
          <w:p>
            <w:pPr>
              <w:jc w:val="center"/>
            </w:pPr>
            <w:r>
              <w:rPr>
                <w:rFonts w:ascii="Times New Roman" w:cs="Times New Roman" w:eastAsia="Times New Roman" w:hAnsi="Times New Roman"/>
                <w:sz w:val="22"/>
                <w:szCs w:val="22"/>
              </w:rPr>
              <w:t xml:space="preserve">Mean</w:t>
            </w:r>
          </w:p>
        </w:tc>
        <w:tc>
          <w:tcPr>
            <w:tcW w:type="dxa" w:w="4680"/>
            <w:vAlign w:val="center"/>
          </w:tcPr>
          <w:p>
            <w:pPr>
              <w:jc w:val="center"/>
            </w:pPr>
            <w:r>
              <w:rPr>
                <w:rFonts w:ascii="Times New Roman" w:cs="Times New Roman" w:eastAsia="Times New Roman" w:hAnsi="Times New Roman"/>
                <w:sz w:val="22"/>
                <w:szCs w:val="22"/>
              </w:rPr>
              <w:t xml:space="preserve">66.55%</w:t>
            </w:r>
          </w:p>
        </w:tc>
      </w:tr>
      <w:tr>
        <w:tc>
          <w:tcPr>
            <w:tcW w:type="dxa" w:w="4680"/>
            <w:vAlign w:val="center"/>
          </w:tcPr>
          <w:p>
            <w:pPr>
              <w:jc w:val="center"/>
            </w:pPr>
            <w:r>
              <w:rPr>
                <w:rFonts w:ascii="Times New Roman" w:cs="Times New Roman" w:eastAsia="Times New Roman" w:hAnsi="Times New Roman"/>
                <w:sz w:val="22"/>
                <w:szCs w:val="22"/>
              </w:rPr>
              <w:t xml:space="preserve">Standard Deviation</w:t>
            </w:r>
          </w:p>
        </w:tc>
        <w:tc>
          <w:tcPr>
            <w:tcW w:type="dxa" w:w="4680"/>
            <w:vAlign w:val="center"/>
          </w:tcPr>
          <w:p>
            <w:pPr>
              <w:jc w:val="center"/>
            </w:pPr>
            <w:r>
              <w:rPr>
                <w:rFonts w:ascii="Times New Roman" w:cs="Times New Roman" w:eastAsia="Times New Roman" w:hAnsi="Times New Roman"/>
                <w:sz w:val="22"/>
                <w:szCs w:val="22"/>
              </w:rPr>
              <w:t xml:space="preserve">17.38%</w:t>
            </w:r>
          </w:p>
        </w:tc>
      </w:tr>
      <w:tr>
        <w:tc>
          <w:tcPr>
            <w:tcW w:type="dxa" w:w="4680"/>
            <w:vAlign w:val="center"/>
          </w:tcPr>
          <w:p>
            <w:pPr>
              <w:jc w:val="center"/>
            </w:pPr>
            <w:r>
              <w:rPr>
                <w:rFonts w:ascii="Times New Roman" w:cs="Times New Roman" w:eastAsia="Times New Roman" w:hAnsi="Times New Roman"/>
                <w:sz w:val="22"/>
                <w:szCs w:val="22"/>
              </w:rPr>
              <w:t xml:space="preserve">Minimum</w:t>
            </w:r>
          </w:p>
        </w:tc>
        <w:tc>
          <w:tcPr>
            <w:tcW w:type="dxa" w:w="4680"/>
            <w:vAlign w:val="center"/>
          </w:tcPr>
          <w:p>
            <w:pPr>
              <w:jc w:val="center"/>
            </w:pPr>
            <w:r>
              <w:rPr>
                <w:rFonts w:ascii="Times New Roman" w:cs="Times New Roman" w:eastAsia="Times New Roman" w:hAnsi="Times New Roman"/>
                <w:sz w:val="22"/>
                <w:szCs w:val="22"/>
              </w:rPr>
              <w:t xml:space="preserve">7.69%</w:t>
            </w:r>
          </w:p>
        </w:tc>
      </w:tr>
      <w:tr>
        <w:tc>
          <w:tcPr>
            <w:tcW w:type="dxa" w:w="4680"/>
            <w:vAlign w:val="center"/>
          </w:tcPr>
          <w:p>
            <w:pPr>
              <w:jc w:val="center"/>
            </w:pPr>
            <w:r>
              <w:rPr>
                <w:rFonts w:ascii="Times New Roman" w:cs="Times New Roman" w:eastAsia="Times New Roman" w:hAnsi="Times New Roman"/>
                <w:sz w:val="22"/>
                <w:szCs w:val="22"/>
              </w:rPr>
              <w:t xml:space="preserve">Maximum</w:t>
            </w:r>
          </w:p>
        </w:tc>
        <w:tc>
          <w:tcPr>
            <w:tcW w:type="dxa" w:w="4680"/>
            <w:vAlign w:val="center"/>
          </w:tcPr>
          <w:p>
            <w:pPr>
              <w:jc w:val="center"/>
            </w:pPr>
            <w:r>
              <w:rPr>
                <w:rFonts w:ascii="Times New Roman" w:cs="Times New Roman" w:eastAsia="Times New Roman" w:hAnsi="Times New Roman"/>
                <w:sz w:val="22"/>
                <w:szCs w:val="22"/>
              </w:rPr>
              <w:t xml:space="preserve">100.00%</w:t>
            </w:r>
          </w:p>
        </w:tc>
      </w:tr>
    </w:tbl>
    <w:p>
      <w:pPr>
        <w:spacing w:before="240" w:after="120"/>
        <w:jc w:val="center"/>
      </w:pPr>
      <w:r>
        <w:drawing>
          <wp:inline distT="0" distB="0" distL="0" distR="0">
            <wp:extent cx="5524500" cy="3619500"/>
            <wp:effectExtent t="0" r="0" b="0" l="0"/>
            <wp:docPr id="1" name="fig1" descr="Pre-Course Overall Score Distribution (N = 42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1950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5. Pre-Course Overall Score Distribution (N = 421)</w:t>
      </w:r>
    </w:p>
    <w:p>
      <w:pPr>
        <w:spacing w:line="360" w:after="200"/>
        <w:jc w:val="left"/>
      </w:pPr>
      <w:r>
        <w:rPr>
          <w:rFonts w:ascii="Times New Roman" w:cs="Times New Roman" w:eastAsia="Times New Roman" w:hAnsi="Times New Roman"/>
          <w:sz w:val="24"/>
          <w:szCs w:val="24"/>
        </w:rPr>
        <w:t xml:space="preserve">Figure 5 displays the distribution of overall pre-course scores computed from the 26 knowledge items. The distribution is roughly bell-shaped with a slight left skew. The modal decile is 60-69% (n = 120, highlighted in gold), and the majority of students (67.2%) scored between 50% and 89%. The dashed green line marks the sample mean of 66.6%. Eleven students achieved perfect scores (100%), while 18 students (4.3%) scored below 30%, identifying a small group with substantial baseline knowledge gaps that the course may especially benefit. The overall shape suggests that most students enter QUINN 102 with moderate foundational financial literacy, with meaningful room for improvement in applied domains.</w:t>
      </w:r>
    </w:p>
    <w:p>
      <w:pPr>
        <w:pStyle w:val="Heading2"/>
      </w:pPr>
      <w:r>
        <w:t xml:space="preserve">5.5 Domain-Level Performance</w:t>
      </w:r>
    </w:p>
    <w:p>
      <w:pPr>
        <w:spacing w:line="360" w:after="200"/>
        <w:jc w:val="left"/>
      </w:pPr>
      <w:r>
        <w:rPr>
          <w:rFonts w:ascii="Times New Roman" w:cs="Times New Roman" w:eastAsia="Times New Roman" w:hAnsi="Times New Roman"/>
          <w:sz w:val="24"/>
          <w:szCs w:val="24"/>
        </w:rPr>
        <w:t xml:space="preserve">Performance varied meaningfully across the three assessment domains, with a 9.5 percentage-point gap between the strongest and weakest domains. The domain-level results are presented in the table below.</w:t>
      </w:r>
    </w:p>
    <w:p>
      <w:pPr>
        <w:spacing w:before="240" w:after="120"/>
        <w:jc w:val="center"/>
      </w:pPr>
      <w:r>
        <w:rPr>
          <w:rFonts w:ascii="Times New Roman" w:cs="Times New Roman" w:eastAsia="Times New Roman" w:hAnsi="Times New Roman"/>
          <w:b/>
          <w:bCs/>
          <w:i/>
          <w:iCs/>
          <w:sz w:val="22"/>
          <w:szCs w:val="22"/>
        </w:rPr>
        <w:t xml:space="preserve">Table 5.2. Domain-Level Performance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6240"/>
        <w:gridCol w:w="3120"/>
      </w:tblGrid>
      <w:tr>
        <w:trPr>
          <w:tblHeader/>
        </w:trPr>
        <w:tc>
          <w:tcPr>
            <w:tcW w:type="dxa" w:w="6240"/>
            <w:shd w:fill="D5E8F0" w:color="auto" w:val="clear"/>
            <w:vAlign w:val="center"/>
          </w:tcPr>
          <w:p>
            <w:pPr>
              <w:jc w:val="center"/>
            </w:pPr>
            <w:r>
              <w:rPr>
                <w:rFonts w:ascii="Times New Roman" w:cs="Times New Roman" w:eastAsia="Times New Roman" w:hAnsi="Times New Roman"/>
                <w:b/>
                <w:bCs/>
                <w:sz w:val="22"/>
                <w:szCs w:val="22"/>
              </w:rPr>
              <w:t xml:space="preserve">Domain</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Mean Score</w:t>
            </w:r>
          </w:p>
        </w:tc>
      </w:tr>
      <w:tr>
        <w:tc>
          <w:tcPr>
            <w:tcW w:type="dxa" w:w="6240"/>
            <w:vAlign w:val="center"/>
          </w:tcPr>
          <w:p>
            <w:pPr>
              <w:jc w:val="center"/>
            </w:pPr>
            <w:r>
              <w:rPr>
                <w:rFonts w:ascii="Times New Roman" w:cs="Times New Roman" w:eastAsia="Times New Roman" w:hAnsi="Times New Roman"/>
                <w:sz w:val="22"/>
                <w:szCs w:val="22"/>
              </w:rPr>
              <w:t xml:space="preserve">Behavioral &amp; Risk Management Knowledge</w:t>
            </w:r>
          </w:p>
        </w:tc>
        <w:tc>
          <w:tcPr>
            <w:tcW w:type="dxa" w:w="3120"/>
            <w:vAlign w:val="center"/>
          </w:tcPr>
          <w:p>
            <w:pPr>
              <w:jc w:val="center"/>
            </w:pPr>
            <w:r>
              <w:rPr>
                <w:rFonts w:ascii="Times New Roman" w:cs="Times New Roman" w:eastAsia="Times New Roman" w:hAnsi="Times New Roman"/>
                <w:sz w:val="22"/>
                <w:szCs w:val="22"/>
              </w:rPr>
              <w:t xml:space="preserve">73.46%</w:t>
            </w:r>
          </w:p>
        </w:tc>
      </w:tr>
      <w:tr>
        <w:tc>
          <w:tcPr>
            <w:tcW w:type="dxa" w:w="6240"/>
            <w:vAlign w:val="center"/>
          </w:tcPr>
          <w:p>
            <w:pPr>
              <w:jc w:val="center"/>
            </w:pPr>
            <w:r>
              <w:rPr>
                <w:rFonts w:ascii="Times New Roman" w:cs="Times New Roman" w:eastAsia="Times New Roman" w:hAnsi="Times New Roman"/>
                <w:sz w:val="22"/>
                <w:szCs w:val="22"/>
              </w:rPr>
              <w:t xml:space="preserve">Borrowing, Interest Rates &amp; Financial Numeracy</w:t>
            </w:r>
          </w:p>
        </w:tc>
        <w:tc>
          <w:tcPr>
            <w:tcW w:type="dxa" w:w="3120"/>
            <w:vAlign w:val="center"/>
          </w:tcPr>
          <w:p>
            <w:pPr>
              <w:jc w:val="center"/>
            </w:pPr>
            <w:r>
              <w:rPr>
                <w:rFonts w:ascii="Times New Roman" w:cs="Times New Roman" w:eastAsia="Times New Roman" w:hAnsi="Times New Roman"/>
                <w:sz w:val="22"/>
                <w:szCs w:val="22"/>
              </w:rPr>
              <w:t xml:space="preserve">69.33%</w:t>
            </w:r>
          </w:p>
        </w:tc>
      </w:tr>
      <w:tr>
        <w:tc>
          <w:tcPr>
            <w:tcW w:type="dxa" w:w="6240"/>
            <w:vAlign w:val="center"/>
          </w:tcPr>
          <w:p>
            <w:pPr>
              <w:jc w:val="center"/>
            </w:pPr>
            <w:r>
              <w:rPr>
                <w:rFonts w:ascii="Times New Roman" w:cs="Times New Roman" w:eastAsia="Times New Roman" w:hAnsi="Times New Roman"/>
                <w:sz w:val="22"/>
                <w:szCs w:val="22"/>
              </w:rPr>
              <w:t xml:space="preserve">Risk &amp; Return Knowledge</w:t>
            </w:r>
          </w:p>
        </w:tc>
        <w:tc>
          <w:tcPr>
            <w:tcW w:type="dxa" w:w="3120"/>
            <w:vAlign w:val="center"/>
          </w:tcPr>
          <w:p>
            <w:pPr>
              <w:jc w:val="center"/>
            </w:pPr>
            <w:r>
              <w:rPr>
                <w:rFonts w:ascii="Times New Roman" w:cs="Times New Roman" w:eastAsia="Times New Roman" w:hAnsi="Times New Roman"/>
                <w:sz w:val="22"/>
                <w:szCs w:val="22"/>
              </w:rPr>
              <w:t xml:space="preserve">63.97%</w:t>
            </w:r>
          </w:p>
        </w:tc>
      </w:tr>
    </w:tbl>
    <w:p>
      <w:pPr>
        <w:spacing w:before="240" w:after="120"/>
        <w:jc w:val="center"/>
      </w:pPr>
      <w:r>
        <w:drawing>
          <wp:inline distT="0" distB="0" distL="0" distR="0">
            <wp:extent cx="5524500" cy="3619500"/>
            <wp:effectExtent t="0" r="0" b="0" l="0"/>
            <wp:docPr id="1" name="fig2" descr="Domain-Level Performance Comparis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1950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6. Domain-Level Performance Comparison</w:t>
      </w:r>
    </w:p>
    <w:p>
      <w:pPr>
        <w:spacing w:line="360" w:after="200"/>
        <w:jc w:val="left"/>
      </w:pPr>
      <w:r>
        <w:rPr>
          <w:rFonts w:ascii="Times New Roman" w:cs="Times New Roman" w:eastAsia="Times New Roman" w:hAnsi="Times New Roman"/>
          <w:sz w:val="24"/>
          <w:szCs w:val="24"/>
        </w:rPr>
        <w:t xml:space="preserve">Figure 6 compares average performance across the three assessment domains. Behavioral and Risk Management Knowledge (73.5%) was the strongest domain, driven by high performance on diversification concepts. Borrowing, Interest Rates, and Financial Numeracy (69.3%) fell near the overall average. Risk and Return Knowledge (64.0%) was the weakest domain, reflecting conceptual difficulty with bond pricing, inflation protection, and crisis-related items. Error bars represent standard deviations, indicating substantial within-domain variation. The dashed maroon line marks the overall mean (66.6%). The 9.5 percentage-point gap between the strongest and weakest domains highlights where instructional emphasis may yield the greatest gains.</w:t>
      </w:r>
    </w:p>
    <w:p>
      <w:pPr>
        <w:pStyle w:val="Heading2"/>
      </w:pPr>
      <w:r>
        <w:t xml:space="preserve">5.6 Subdomain Analysis</w:t>
      </w:r>
    </w:p>
    <w:p>
      <w:pPr>
        <w:spacing w:line="360" w:after="200"/>
        <w:jc w:val="left"/>
      </w:pPr>
      <w:r>
        <w:rPr>
          <w:rFonts w:ascii="Times New Roman" w:cs="Times New Roman" w:eastAsia="Times New Roman" w:hAnsi="Times New Roman"/>
          <w:sz w:val="24"/>
          <w:szCs w:val="24"/>
        </w:rPr>
        <w:t xml:space="preserve">Item-level analysis reveals a clear hierarchy from foundational concepts (simple interest at 92.9%, compound interest at 88.4%) to applied reasoning tasks (inflation hedge at 24.0%, compound growth at 38.7%). This pattern indicates that students possess solid grasp of basic financial principles but struggle with multi-step reasoning and real-world application scenarios.</w:t>
      </w:r>
    </w:p>
    <w:p>
      <w:pPr>
        <w:spacing w:before="240" w:after="120"/>
        <w:jc w:val="center"/>
      </w:pPr>
      <w:r>
        <w:drawing>
          <wp:inline distT="0" distB="0" distL="0" distR="0">
            <wp:extent cx="5524500" cy="3619500"/>
            <wp:effectExtent t="0" r="0" b="0" l="0"/>
            <wp:docPr id="1" name="fig6" descr="Item Difficulty Ranking by Subdomain (N = 421)"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7. Item Difficulty Ranking by Subdomain (N = 421)</w:t>
      </w:r>
    </w:p>
    <w:p>
      <w:pPr>
        <w:spacing w:line="360" w:after="200"/>
        <w:jc w:val="left"/>
      </w:pPr>
      <w:r>
        <w:rPr>
          <w:rFonts w:ascii="Times New Roman" w:cs="Times New Roman" w:eastAsia="Times New Roman" w:hAnsi="Times New Roman"/>
          <w:sz w:val="24"/>
          <w:szCs w:val="24"/>
        </w:rPr>
        <w:t xml:space="preserve">Figure 7 ranks all 21 assessed subdomains from easiest (top) to hardest (bottom). Color coding distinguishes three performance tiers: green indicates strong performance (&gt;=70% correct), gold indicates moderate performance (50-69%), and coral indicates weak performance (&lt;50%). A clear gap separates foundational concepts at the top -- simple interest (92.9%), compound interest (88.4%), impulse control (86.9%) -- from applied reasoning at the bottom -- inflation hedge (24.0%), compound growth (38.7%), return ranking (40.6%). This pattern suggests that students enter the course with solid grasp of basic financial principles but lack the ability to apply these concepts to real-world scenarios involving inflation protection, bond pricing, and multi-step financial reasoning. The dashed maroon line marks the overall mean (66.6%), with 10 subdomains above and 11 below this threshold.</w:t>
      </w:r>
    </w:p>
    <w:p>
      <w:pPr>
        <w:pStyle w:val="Heading2"/>
      </w:pPr>
      <w:r>
        <w:t xml:space="preserve">5.7 Confidence Calibration</w:t>
      </w:r>
    </w:p>
    <w:p>
      <w:pPr>
        <w:spacing w:line="360" w:after="200"/>
        <w:jc w:val="left"/>
      </w:pPr>
      <w:r>
        <w:rPr>
          <w:rFonts w:ascii="Times New Roman" w:cs="Times New Roman" w:eastAsia="Times New Roman" w:hAnsi="Times New Roman"/>
          <w:sz w:val="24"/>
          <w:szCs w:val="24"/>
        </w:rPr>
        <w:t xml:space="preserve">Confidence calibration analysis categorizes students based on the overconfidence index (OC), defined as the difference between average self-reported confidence and actual accuracy. The largest group is well-calibrated (41.1%, n = 173), followed by underconfident (32.8%, n = 138), moderately overconfident (19.0%, n = 79), and highly overconfident (7.1%, n = 29). The slightly negative mean OC index (-0.017) indicates that the sample was, on average, marginally underconfident, a profile that is constructive for learning engagement.</w:t>
      </w:r>
    </w:p>
    <w:p>
      <w:pPr>
        <w:spacing w:before="240" w:after="120"/>
        <w:jc w:val="center"/>
      </w:pPr>
      <w:r>
        <w:drawing>
          <wp:inline distT="0" distB="0" distL="0" distR="0">
            <wp:extent cx="5524500" cy="3619500"/>
            <wp:effectExtent t="0" r="0" b="0" l="0"/>
            <wp:docPr id="1" name="fig5" descr="Confidence Calibration Categories (N = 42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619500"/>
                    </a:xfrm>
                    <a:prstGeom prst="rect">
                      <a:avLst/>
                    </a:prstGeom>
                  </pic:spPr>
                </pic:pic>
              </a:graphicData>
            </a:graphic>
          </wp:inline>
        </w:drawing>
      </w:r>
    </w:p>
    <w:p>
      <w:pPr>
        <w:spacing w:line="360" w:after="120"/>
        <w:jc w:val="center"/>
      </w:pPr>
      <w:r>
        <w:rPr>
          <w:rFonts w:ascii="Times New Roman" w:cs="Times New Roman" w:eastAsia="Times New Roman" w:hAnsi="Times New Roman"/>
          <w:i/>
          <w:iCs/>
          <w:sz w:val="20"/>
          <w:szCs w:val="20"/>
        </w:rPr>
        <w:t xml:space="preserve">Figure 8. Confidence Calibration Categories (N = 421)</w:t>
      </w:r>
    </w:p>
    <w:p>
      <w:pPr>
        <w:spacing w:line="360" w:after="200"/>
        <w:jc w:val="left"/>
      </w:pPr>
      <w:r>
        <w:rPr>
          <w:rFonts w:ascii="Times New Roman" w:cs="Times New Roman" w:eastAsia="Times New Roman" w:hAnsi="Times New Roman"/>
          <w:sz w:val="24"/>
          <w:szCs w:val="24"/>
        </w:rPr>
        <w:t xml:space="preserve">Figure 8 presents the distribution of students across four confidence calibration categories based on the overconfidence index (OC), defined as the difference between average confidence and actual accuracy. The horizontal bar chart (left) shows both percentages and counts, while the pie chart (right) illustrates the proportional distribution. The largest group is well-calibrated (41.1%, n = 173), meaning their confidence closely matched their performance (OC within +/-10%). Nearly a third were underconfident (32.8%, n = 138), systematically underestimating their abilities. Moderately overconfident students (19.0%, n = 79) and highly overconfident students (7.1%, n = 29) together account for 26.1% of the sample. The slightly negative mean OC index (-0.017) indicates that the sample was, on average, marginally underconfident. This profile is constructive for learning, as overconfidence can reduce engagement with material perceived as already mastered.</w:t>
      </w:r>
    </w:p>
    <w:p>
      <w:pPr>
        <w:pStyle w:val="Heading2"/>
      </w:pPr>
      <w:r>
        <w:t xml:space="preserve">5.8 SDM-10 Diagnostic Summary</w:t>
      </w:r>
    </w:p>
    <w:p>
      <w:pPr>
        <w:spacing w:line="360" w:after="200"/>
        <w:jc w:val="left"/>
      </w:pPr>
      <w:r>
        <w:rPr>
          <w:rFonts w:ascii="Times New Roman" w:cs="Times New Roman" w:eastAsia="Times New Roman" w:hAnsi="Times New Roman"/>
          <w:sz w:val="24"/>
          <w:szCs w:val="24"/>
        </w:rPr>
        <w:t xml:space="preserve">All 421 students who completed the anchor assessment also completed the SDM-10 module (100% completion rate). The platform collected 3,985 total SDM responses (10 per student). The average SDM-10 score (58.92%) was approximately 7.6 percentage points lower than the average anchor score (66.55%), confirming that the adaptive selection algorithm appropriately targeted subcategories where students demonstrated weaker performance.</w:t>
      </w:r>
    </w:p>
    <w:p>
      <w:pPr>
        <w:spacing w:before="240" w:after="120"/>
        <w:jc w:val="center"/>
      </w:pPr>
      <w:r>
        <w:rPr>
          <w:rFonts w:ascii="Times New Roman" w:cs="Times New Roman" w:eastAsia="Times New Roman" w:hAnsi="Times New Roman"/>
          <w:b/>
          <w:bCs/>
          <w:i/>
          <w:iCs/>
          <w:sz w:val="22"/>
          <w:szCs w:val="22"/>
        </w:rPr>
        <w:t xml:space="preserve">Table 5.3. SDM-10 Summary Statistics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4680"/>
        <w:gridCol w:w="4680"/>
      </w:tblGrid>
      <w:tr>
        <w:trPr>
          <w:tblHeader/>
        </w:trPr>
        <w:tc>
          <w:tcPr>
            <w:tcW w:type="dxa" w:w="4680"/>
            <w:shd w:fill="D5E8F0" w:color="auto" w:val="clear"/>
            <w:vAlign w:val="center"/>
          </w:tcPr>
          <w:p>
            <w:pPr>
              <w:jc w:val="center"/>
            </w:pPr>
            <w:r>
              <w:rPr>
                <w:rFonts w:ascii="Times New Roman" w:cs="Times New Roman" w:eastAsia="Times New Roman" w:hAnsi="Times New Roman"/>
                <w:b/>
                <w:bCs/>
                <w:sz w:val="22"/>
                <w:szCs w:val="22"/>
              </w:rPr>
              <w:t xml:space="preserve">Metric</w:t>
            </w:r>
          </w:p>
        </w:tc>
        <w:tc>
          <w:tcPr>
            <w:tcW w:type="dxa" w:w="4680"/>
            <w:shd w:fill="D5E8F0" w:color="auto" w:val="clear"/>
            <w:vAlign w:val="center"/>
          </w:tcPr>
          <w:p>
            <w:pPr>
              <w:jc w:val="center"/>
            </w:pPr>
            <w:r>
              <w:rPr>
                <w:rFonts w:ascii="Times New Roman" w:cs="Times New Roman" w:eastAsia="Times New Roman" w:hAnsi="Times New Roman"/>
                <w:b/>
                <w:bCs/>
                <w:sz w:val="22"/>
                <w:szCs w:val="22"/>
              </w:rPr>
              <w:t xml:space="preserve">Value</w:t>
            </w:r>
          </w:p>
        </w:tc>
      </w:tr>
      <w:tr>
        <w:tc>
          <w:tcPr>
            <w:tcW w:type="dxa" w:w="4680"/>
            <w:vAlign w:val="center"/>
          </w:tcPr>
          <w:p>
            <w:pPr>
              <w:jc w:val="center"/>
            </w:pPr>
            <w:r>
              <w:rPr>
                <w:rFonts w:ascii="Times New Roman" w:cs="Times New Roman" w:eastAsia="Times New Roman" w:hAnsi="Times New Roman"/>
                <w:sz w:val="22"/>
                <w:szCs w:val="22"/>
              </w:rPr>
              <w:t xml:space="preserve">Students completing SDM-10</w:t>
            </w:r>
          </w:p>
        </w:tc>
        <w:tc>
          <w:tcPr>
            <w:tcW w:type="dxa" w:w="4680"/>
            <w:vAlign w:val="center"/>
          </w:tcPr>
          <w:p>
            <w:pPr>
              <w:jc w:val="center"/>
            </w:pPr>
            <w:r>
              <w:rPr>
                <w:rFonts w:ascii="Times New Roman" w:cs="Times New Roman" w:eastAsia="Times New Roman" w:hAnsi="Times New Roman"/>
                <w:sz w:val="22"/>
                <w:szCs w:val="22"/>
              </w:rPr>
              <w:t xml:space="preserve">421 (100%)</w:t>
            </w:r>
          </w:p>
        </w:tc>
      </w:tr>
      <w:tr>
        <w:tc>
          <w:tcPr>
            <w:tcW w:type="dxa" w:w="4680"/>
            <w:vAlign w:val="center"/>
          </w:tcPr>
          <w:p>
            <w:pPr>
              <w:jc w:val="center"/>
            </w:pPr>
            <w:r>
              <w:rPr>
                <w:rFonts w:ascii="Times New Roman" w:cs="Times New Roman" w:eastAsia="Times New Roman" w:hAnsi="Times New Roman"/>
                <w:sz w:val="22"/>
                <w:szCs w:val="22"/>
              </w:rPr>
              <w:t xml:space="preserve">Total SDM responses</w:t>
            </w:r>
          </w:p>
        </w:tc>
        <w:tc>
          <w:tcPr>
            <w:tcW w:type="dxa" w:w="4680"/>
            <w:vAlign w:val="center"/>
          </w:tcPr>
          <w:p>
            <w:pPr>
              <w:jc w:val="center"/>
            </w:pPr>
            <w:r>
              <w:rPr>
                <w:rFonts w:ascii="Times New Roman" w:cs="Times New Roman" w:eastAsia="Times New Roman" w:hAnsi="Times New Roman"/>
                <w:sz w:val="22"/>
                <w:szCs w:val="22"/>
              </w:rPr>
              <w:t xml:space="preserve">3,985</w:t>
            </w:r>
          </w:p>
        </w:tc>
      </w:tr>
      <w:tr>
        <w:tc>
          <w:tcPr>
            <w:tcW w:type="dxa" w:w="4680"/>
            <w:vAlign w:val="center"/>
          </w:tcPr>
          <w:p>
            <w:pPr>
              <w:jc w:val="center"/>
            </w:pPr>
            <w:r>
              <w:rPr>
                <w:rFonts w:ascii="Times New Roman" w:cs="Times New Roman" w:eastAsia="Times New Roman" w:hAnsi="Times New Roman"/>
                <w:sz w:val="22"/>
                <w:szCs w:val="22"/>
              </w:rPr>
              <w:t xml:space="preserve">Average SDM score</w:t>
            </w:r>
          </w:p>
        </w:tc>
        <w:tc>
          <w:tcPr>
            <w:tcW w:type="dxa" w:w="4680"/>
            <w:vAlign w:val="center"/>
          </w:tcPr>
          <w:p>
            <w:pPr>
              <w:jc w:val="center"/>
            </w:pPr>
            <w:r>
              <w:rPr>
                <w:rFonts w:ascii="Times New Roman" w:cs="Times New Roman" w:eastAsia="Times New Roman" w:hAnsi="Times New Roman"/>
                <w:sz w:val="22"/>
                <w:szCs w:val="22"/>
              </w:rPr>
              <w:t xml:space="preserve">58.92%</w:t>
            </w:r>
          </w:p>
        </w:tc>
      </w:tr>
      <w:tr>
        <w:tc>
          <w:tcPr>
            <w:tcW w:type="dxa" w:w="4680"/>
            <w:vAlign w:val="center"/>
          </w:tcPr>
          <w:p>
            <w:pPr>
              <w:jc w:val="center"/>
            </w:pPr>
            <w:r>
              <w:rPr>
                <w:rFonts w:ascii="Times New Roman" w:cs="Times New Roman" w:eastAsia="Times New Roman" w:hAnsi="Times New Roman"/>
                <w:sz w:val="22"/>
                <w:szCs w:val="22"/>
              </w:rPr>
              <w:t xml:space="preserve">Average anchor score</w:t>
            </w:r>
          </w:p>
        </w:tc>
        <w:tc>
          <w:tcPr>
            <w:tcW w:type="dxa" w:w="4680"/>
            <w:vAlign w:val="center"/>
          </w:tcPr>
          <w:p>
            <w:pPr>
              <w:jc w:val="center"/>
            </w:pPr>
            <w:r>
              <w:rPr>
                <w:rFonts w:ascii="Times New Roman" w:cs="Times New Roman" w:eastAsia="Times New Roman" w:hAnsi="Times New Roman"/>
                <w:sz w:val="22"/>
                <w:szCs w:val="22"/>
              </w:rPr>
              <w:t xml:space="preserve">66.55%</w:t>
            </w:r>
          </w:p>
        </w:tc>
      </w:tr>
      <w:tr>
        <w:tc>
          <w:tcPr>
            <w:tcW w:type="dxa" w:w="4680"/>
            <w:vAlign w:val="center"/>
          </w:tcPr>
          <w:p>
            <w:pPr>
              <w:jc w:val="center"/>
            </w:pPr>
            <w:r>
              <w:rPr>
                <w:rFonts w:ascii="Times New Roman" w:cs="Times New Roman" w:eastAsia="Times New Roman" w:hAnsi="Times New Roman"/>
                <w:sz w:val="22"/>
                <w:szCs w:val="22"/>
              </w:rPr>
              <w:t xml:space="preserve">Students receiving open-ended items</w:t>
            </w:r>
          </w:p>
        </w:tc>
        <w:tc>
          <w:tcPr>
            <w:tcW w:type="dxa" w:w="4680"/>
            <w:vAlign w:val="center"/>
          </w:tcPr>
          <w:p>
            <w:pPr>
              <w:jc w:val="center"/>
            </w:pPr>
            <w:r>
              <w:rPr>
                <w:rFonts w:ascii="Times New Roman" w:cs="Times New Roman" w:eastAsia="Times New Roman" w:hAnsi="Times New Roman"/>
                <w:sz w:val="22"/>
                <w:szCs w:val="22"/>
              </w:rPr>
              <w:t xml:space="preserve">367 (87.2%)</w:t>
            </w:r>
          </w:p>
        </w:tc>
      </w:tr>
      <w:tr>
        <w:tc>
          <w:tcPr>
            <w:tcW w:type="dxa" w:w="4680"/>
            <w:vAlign w:val="center"/>
          </w:tcPr>
          <w:p>
            <w:pPr>
              <w:jc w:val="center"/>
            </w:pPr>
            <w:r>
              <w:rPr>
                <w:rFonts w:ascii="Times New Roman" w:cs="Times New Roman" w:eastAsia="Times New Roman" w:hAnsi="Times New Roman"/>
                <w:sz w:val="22"/>
                <w:szCs w:val="22"/>
              </w:rPr>
              <w:t xml:space="preserve">Total open-ended responses</w:t>
            </w:r>
          </w:p>
        </w:tc>
        <w:tc>
          <w:tcPr>
            <w:tcW w:type="dxa" w:w="4680"/>
            <w:vAlign w:val="center"/>
          </w:tcPr>
          <w:p>
            <w:pPr>
              <w:jc w:val="center"/>
            </w:pPr>
            <w:r>
              <w:rPr>
                <w:rFonts w:ascii="Times New Roman" w:cs="Times New Roman" w:eastAsia="Times New Roman" w:hAnsi="Times New Roman"/>
                <w:sz w:val="22"/>
                <w:szCs w:val="22"/>
              </w:rPr>
              <w:t xml:space="preserve">931</w:t>
            </w:r>
          </w:p>
        </w:tc>
      </w:tr>
      <w:tr>
        <w:tc>
          <w:tcPr>
            <w:tcW w:type="dxa" w:w="4680"/>
            <w:vAlign w:val="center"/>
          </w:tcPr>
          <w:p>
            <w:pPr>
              <w:jc w:val="center"/>
            </w:pPr>
            <w:r>
              <w:rPr>
                <w:rFonts w:ascii="Times New Roman" w:cs="Times New Roman" w:eastAsia="Times New Roman" w:hAnsi="Times New Roman"/>
                <w:sz w:val="22"/>
                <w:szCs w:val="22"/>
              </w:rPr>
              <w:t xml:space="preserve">Diagnose responses (filtered)</w:t>
            </w:r>
          </w:p>
        </w:tc>
        <w:tc>
          <w:tcPr>
            <w:tcW w:type="dxa" w:w="4680"/>
            <w:vAlign w:val="center"/>
          </w:tcPr>
          <w:p>
            <w:pPr>
              <w:jc w:val="center"/>
            </w:pPr>
            <w:r>
              <w:rPr>
                <w:rFonts w:ascii="Times New Roman" w:cs="Times New Roman" w:eastAsia="Times New Roman" w:hAnsi="Times New Roman"/>
                <w:sz w:val="22"/>
                <w:szCs w:val="22"/>
              </w:rPr>
              <w:t xml:space="preserve">556</w:t>
            </w:r>
          </w:p>
        </w:tc>
      </w:tr>
      <w:tr>
        <w:tc>
          <w:tcPr>
            <w:tcW w:type="dxa" w:w="4680"/>
            <w:vAlign w:val="center"/>
          </w:tcPr>
          <w:p>
            <w:pPr>
              <w:jc w:val="center"/>
            </w:pPr>
            <w:r>
              <w:rPr>
                <w:rFonts w:ascii="Times New Roman" w:cs="Times New Roman" w:eastAsia="Times New Roman" w:hAnsi="Times New Roman"/>
                <w:sz w:val="22"/>
                <w:szCs w:val="22"/>
              </w:rPr>
              <w:t xml:space="preserve">Confirm responses (filtered)</w:t>
            </w:r>
          </w:p>
        </w:tc>
        <w:tc>
          <w:tcPr>
            <w:tcW w:type="dxa" w:w="4680"/>
            <w:vAlign w:val="center"/>
          </w:tcPr>
          <w:p>
            <w:pPr>
              <w:jc w:val="center"/>
            </w:pPr>
            <w:r>
              <w:rPr>
                <w:rFonts w:ascii="Times New Roman" w:cs="Times New Roman" w:eastAsia="Times New Roman" w:hAnsi="Times New Roman"/>
                <w:sz w:val="22"/>
                <w:szCs w:val="22"/>
              </w:rPr>
              <w:t xml:space="preserve">336</w:t>
            </w:r>
          </w:p>
        </w:tc>
      </w:tr>
    </w:tbl>
    <w:p>
      <w:pPr>
        <w:pStyle w:val="Heading3"/>
      </w:pPr>
      <w:r>
        <w:t xml:space="preserve">5.8.1 Open-Ended Response Overview</w:t>
      </w:r>
    </w:p>
    <w:p>
      <w:pPr>
        <w:spacing w:line="360" w:after="200"/>
        <w:jc w:val="left"/>
      </w:pPr>
      <w:r>
        <w:rPr>
          <w:rFonts w:ascii="Times New Roman" w:cs="Times New Roman" w:eastAsia="Times New Roman" w:hAnsi="Times New Roman"/>
          <w:sz w:val="24"/>
          <w:szCs w:val="24"/>
        </w:rPr>
        <w:t xml:space="preserve">Of the 421 completers, 367 students (87.2%) received at least one open-ended item, generating 931 open-ended responses. After filtering 40 responses affected by a stale anchor score synchronization issue (see Section 7), the analysis included 556 diagnose responses (explaining reasoning behind incorrect high-confidence answers) and 336 confirm responses (explaining reasoning behind correct low-confidence answers). The maximum number of open-ended items per student was 3, by design.</w:t>
      </w:r>
    </w:p>
    <w:p>
      <w:pPr>
        <w:spacing w:line="360" w:after="200"/>
      </w:pPr>
      <w:r>
        <w:rPr>
          <w:rFonts w:ascii="Times New Roman" w:cs="Times New Roman" w:eastAsia="Times New Roman" w:hAnsi="Times New Roman"/>
          <w:b/>
          <w:bCs/>
          <w:sz w:val="24"/>
          <w:szCs w:val="24"/>
        </w:rPr>
        <w:t xml:space="preserve">Response Quality. </w:t>
      </w:r>
      <w:r>
        <w:rPr>
          <w:rFonts w:ascii="Times New Roman" w:cs="Times New Roman" w:eastAsia="Times New Roman" w:hAnsi="Times New Roman"/>
          <w:sz w:val="24"/>
          <w:szCs w:val="24"/>
        </w:rPr>
        <w:t xml:space="preserve">Among diagnose responses, 89.2% were substantive (providing reasoning beyond “I don’t know” or blank responses), indicating strong student engagement with the open-ended format despite its diagnostic-only (ungraded) status. Confirm responses showed even higher quality at 93.8% substantive. This engagement rate is notable given that students were not informed that the SDM-10 was a separate module and received no grade incentive to provide detailed explanations.</w:t>
      </w:r>
    </w:p>
    <w:p>
      <w:pPr>
        <w:pStyle w:val="Heading3"/>
      </w:pPr>
      <w:r>
        <w:t xml:space="preserve">5.8.2 Misconception Analysis by Domain</w:t>
      </w:r>
    </w:p>
    <w:p>
      <w:pPr>
        <w:spacing w:line="360" w:after="200"/>
        <w:jc w:val="left"/>
      </w:pPr>
      <w:r>
        <w:rPr>
          <w:rFonts w:ascii="Times New Roman" w:cs="Times New Roman" w:eastAsia="Times New Roman" w:hAnsi="Times New Roman"/>
          <w:sz w:val="24"/>
          <w:szCs w:val="24"/>
        </w:rPr>
        <w:t xml:space="preserve">The three-way classification of open-ended responses revealed distinct misconception patterns across assessment domains.</w:t>
      </w:r>
    </w:p>
    <w:p>
      <w:pPr>
        <w:spacing w:line="360" w:after="200"/>
      </w:pPr>
      <w:r>
        <w:rPr>
          <w:rFonts w:ascii="Times New Roman" w:cs="Times New Roman" w:eastAsia="Times New Roman" w:hAnsi="Times New Roman"/>
          <w:b/>
          <w:bCs/>
          <w:sz w:val="24"/>
          <w:szCs w:val="24"/>
        </w:rPr>
        <w:t xml:space="preserve">Inflation and Purchasing Power. </w:t>
      </w:r>
      <w:r>
        <w:rPr>
          <w:rFonts w:ascii="Times New Roman" w:cs="Times New Roman" w:eastAsia="Times New Roman" w:hAnsi="Times New Roman"/>
          <w:sz w:val="24"/>
          <w:szCs w:val="24"/>
        </w:rPr>
        <w:t xml:space="preserve">The most prevalent misconception was INF-01 (lower inflation equals falling prices), observed in 55% of diagnose responses for Q6. Students systematically confused a decrease in the rate of price increase with an actual decrease in prices. Representative responses included “If inflation decreases, prices will decrease” and “prices need to decrease to combat inflation.” On Q7 (which group is most hurt by inflation), 33% of incorrect responses reflected empathy-driven rather than economic reasoning (INF-05), with students selecting “young couples” because they identified personally with that demographic rather than analyzing fixed-income vulnerability.</w:t>
      </w:r>
    </w:p>
    <w:p>
      <w:pPr>
        <w:spacing w:line="360" w:after="200"/>
      </w:pPr>
      <w:r>
        <w:rPr>
          <w:rFonts w:ascii="Times New Roman" w:cs="Times New Roman" w:eastAsia="Times New Roman" w:hAnsi="Times New Roman"/>
          <w:b/>
          <w:bCs/>
          <w:sz w:val="24"/>
          <w:szCs w:val="24"/>
        </w:rPr>
        <w:t xml:space="preserve">Risk, Return, and Diversification. </w:t>
      </w:r>
      <w:r>
        <w:rPr>
          <w:rFonts w:ascii="Times New Roman" w:cs="Times New Roman" w:eastAsia="Times New Roman" w:hAnsi="Times New Roman"/>
          <w:sz w:val="24"/>
          <w:szCs w:val="24"/>
        </w:rPr>
        <w:t xml:space="preserve">The highest-noise item was Q36 (diversification principle), where 62% of students who answered incorrectly demonstrated correct understanding of diversification in their open-ended explanation—classifying as selection errors (RISK-04) rather than misconceptions. These students could explain why spreading money across assets reduces risk but selected “False” on the True/False item, likely due to negation confusion. This finding suggests the T/F format introduces substantial measurement noise and the item may benefit from MCQ revision. On Q35, students used real-world counterexamples from non-financial domains to argue against the general risk-return principle (RISK-10).</w:t>
      </w:r>
    </w:p>
    <w:p>
      <w:pPr>
        <w:spacing w:line="360" w:after="200"/>
      </w:pPr>
      <w:r>
        <w:rPr>
          <w:rFonts w:ascii="Times New Roman" w:cs="Times New Roman" w:eastAsia="Times New Roman" w:hAnsi="Times New Roman"/>
          <w:b/>
          <w:bCs/>
          <w:sz w:val="24"/>
          <w:szCs w:val="24"/>
        </w:rPr>
        <w:t xml:space="preserve">Insurance and Risk Management. </w:t>
      </w:r>
      <w:r>
        <w:rPr>
          <w:rFonts w:ascii="Times New Roman" w:cs="Times New Roman" w:eastAsia="Times New Roman" w:hAnsi="Times New Roman"/>
          <w:sz w:val="24"/>
          <w:szCs w:val="24"/>
        </w:rPr>
        <w:t xml:space="preserve">On Q12 (primary purpose of health insurance), 67% of diagnose responses reflected the misconception that routine care is the primary function (INS-01), with many students applying frequency-over-severity reasoning (INS-02). This was the single most dominant misconception for any item. Q13 (deductible definition) showed a 30% “I don’t know” rate, indicating a knowledge gap rather than misconception for this technical insurance term.</w:t>
      </w:r>
    </w:p>
    <w:p>
      <w:pPr>
        <w:spacing w:line="360" w:after="200"/>
      </w:pPr>
      <w:r>
        <w:rPr>
          <w:rFonts w:ascii="Times New Roman" w:cs="Times New Roman" w:eastAsia="Times New Roman" w:hAnsi="Times New Roman"/>
          <w:b/>
          <w:bCs/>
          <w:sz w:val="24"/>
          <w:szCs w:val="24"/>
        </w:rPr>
        <w:t xml:space="preserve">Borrowing and Credit. </w:t>
      </w:r>
      <w:r>
        <w:rPr>
          <w:rFonts w:ascii="Times New Roman" w:cs="Times New Roman" w:eastAsia="Times New Roman" w:hAnsi="Times New Roman"/>
          <w:sz w:val="24"/>
          <w:szCs w:val="24"/>
        </w:rPr>
        <w:t xml:space="preserve">Credit report knowledge (Q10) showed a 29% selection error rate, the third-highest among all items, indicating many students possessed correct understanding but were confused by the “which is FALSE” framing. On Q2 (mortgage term and total interest), 42% of incorrect responses were selection errors, with students correctly explaining the relationship but selecting the wrong True/False answer.</w:t>
      </w:r>
    </w:p>
    <w:p>
      <w:pPr>
        <w:pStyle w:val="Heading3"/>
      </w:pPr>
      <w:r>
        <w:t xml:space="preserve">5.8.3 Confirm Response Findings</w:t>
      </w:r>
    </w:p>
    <w:p>
      <w:pPr>
        <w:spacing w:line="360" w:after="200"/>
        <w:jc w:val="left"/>
      </w:pPr>
      <w:r>
        <w:rPr>
          <w:rFonts w:ascii="Times New Roman" w:cs="Times New Roman" w:eastAsia="Times New Roman" w:hAnsi="Times New Roman"/>
          <w:sz w:val="24"/>
          <w:szCs w:val="24"/>
        </w:rPr>
        <w:t xml:space="preserve">Analysis of confirm responses (correct anchor answer with low confidence) revealed that 12–14% of students who answered Q13, Q12, Q8, and Q10 correctly were likely lucky guesses, as their explanations showed no understanding of the underlying concept. This finding validates the SDM-10’s approach of probing low-confidence correct answers and demonstrates that anchor scores alone may overestimate true comprehension by approximately 12–14% on items with high guessing rates.</w:t>
      </w:r>
    </w:p>
    <w:p>
      <w:pPr>
        <w:pStyle w:val="Heading3"/>
      </w:pPr>
      <w:r>
        <w:t xml:space="preserve">5.8.4 Cross-Item Patterns</w:t>
      </w:r>
    </w:p>
    <w:p>
      <w:pPr>
        <w:spacing w:line="360" w:after="200"/>
        <w:jc w:val="left"/>
      </w:pPr>
      <w:r>
        <w:rPr>
          <w:rFonts w:ascii="Times New Roman" w:cs="Times New Roman" w:eastAsia="Times New Roman" w:hAnsi="Times New Roman"/>
          <w:sz w:val="24"/>
          <w:szCs w:val="24"/>
        </w:rPr>
        <w:t xml:space="preserve">Five dominant misconception clusters emerged across the assessment: (1) inflation mechanics confusion, centered on the distinction between lower inflation rates and lower prices; (2) risk-return reasoning from exceptions, where students cited specific counterexamples to invalidate general financial principles; (3) insurance purpose confusion, equating frequency of use with primary function; (4) empathy-driven financial reasoning, selecting answers based on personal identification rather than economic logic; and (5) format-induced errors, particularly on True/False items where correct knowledge led to incorrect answers due to negation confusion.</w:t>
      </w:r>
    </w:p>
    <w:p>
      <w:pPr>
        <w:spacing w:before="240" w:after="120"/>
        <w:jc w:val="center"/>
      </w:pPr>
      <w:r>
        <w:rPr>
          <w:rFonts w:ascii="Times New Roman" w:cs="Times New Roman" w:eastAsia="Times New Roman" w:hAnsi="Times New Roman"/>
          <w:b/>
          <w:bCs/>
          <w:i/>
          <w:iCs/>
          <w:sz w:val="22"/>
          <w:szCs w:val="22"/>
        </w:rPr>
        <w:t xml:space="preserve">Table 5.4. High-Noise Items (Selection Error Rate)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2808"/>
        <w:gridCol w:w="1560"/>
        <w:gridCol w:w="3432"/>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Item</w:t>
            </w:r>
          </w:p>
        </w:tc>
        <w:tc>
          <w:tcPr>
            <w:tcW w:type="dxa" w:w="2808"/>
            <w:shd w:fill="D5E8F0" w:color="auto" w:val="clear"/>
            <w:vAlign w:val="center"/>
          </w:tcPr>
          <w:p>
            <w:pPr>
              <w:jc w:val="center"/>
            </w:pPr>
            <w:r>
              <w:rPr>
                <w:rFonts w:ascii="Times New Roman" w:cs="Times New Roman" w:eastAsia="Times New Roman" w:hAnsi="Times New Roman"/>
                <w:b/>
                <w:bCs/>
                <w:sz w:val="22"/>
                <w:szCs w:val="22"/>
              </w:rPr>
              <w:t xml:space="preserve">Topic</w:t>
            </w:r>
          </w:p>
        </w:tc>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SE Rate</w:t>
            </w:r>
          </w:p>
        </w:tc>
        <w:tc>
          <w:tcPr>
            <w:tcW w:type="dxa" w:w="3432"/>
            <w:shd w:fill="D5E8F0" w:color="auto" w:val="clear"/>
            <w:vAlign w:val="center"/>
          </w:tcPr>
          <w:p>
            <w:pPr>
              <w:jc w:val="center"/>
            </w:pPr>
            <w:r>
              <w:rPr>
                <w:rFonts w:ascii="Times New Roman" w:cs="Times New Roman" w:eastAsia="Times New Roman" w:hAnsi="Times New Roman"/>
                <w:b/>
                <w:bCs/>
                <w:sz w:val="22"/>
                <w:szCs w:val="22"/>
              </w:rPr>
              <w:t xml:space="preserve">Implication</w:t>
            </w:r>
          </w:p>
        </w:tc>
      </w:tr>
      <w:tr>
        <w:tc>
          <w:tcPr>
            <w:tcW w:type="dxa" w:w="1560"/>
            <w:vAlign w:val="center"/>
          </w:tcPr>
          <w:p>
            <w:pPr>
              <w:jc w:val="center"/>
            </w:pPr>
            <w:r>
              <w:rPr>
                <w:rFonts w:ascii="Times New Roman" w:cs="Times New Roman" w:eastAsia="Times New Roman" w:hAnsi="Times New Roman"/>
                <w:sz w:val="22"/>
                <w:szCs w:val="22"/>
              </w:rPr>
              <w:t xml:space="preserve">Q36</w:t>
            </w:r>
          </w:p>
        </w:tc>
        <w:tc>
          <w:tcPr>
            <w:tcW w:type="dxa" w:w="2808"/>
            <w:vAlign w:val="center"/>
          </w:tcPr>
          <w:p>
            <w:pPr>
              <w:jc w:val="center"/>
            </w:pPr>
            <w:r>
              <w:rPr>
                <w:rFonts w:ascii="Times New Roman" w:cs="Times New Roman" w:eastAsia="Times New Roman" w:hAnsi="Times New Roman"/>
                <w:sz w:val="22"/>
                <w:szCs w:val="22"/>
              </w:rPr>
              <w:t xml:space="preserve">Diversification principle</w:t>
            </w:r>
          </w:p>
        </w:tc>
        <w:tc>
          <w:tcPr>
            <w:tcW w:type="dxa" w:w="1560"/>
            <w:vAlign w:val="center"/>
          </w:tcPr>
          <w:p>
            <w:pPr>
              <w:jc w:val="center"/>
            </w:pPr>
            <w:r>
              <w:rPr>
                <w:rFonts w:ascii="Times New Roman" w:cs="Times New Roman" w:eastAsia="Times New Roman" w:hAnsi="Times New Roman"/>
                <w:sz w:val="22"/>
                <w:szCs w:val="22"/>
              </w:rPr>
              <w:t xml:space="preserve">62%</w:t>
            </w:r>
          </w:p>
        </w:tc>
        <w:tc>
          <w:tcPr>
            <w:tcW w:type="dxa" w:w="3432"/>
            <w:vAlign w:val="center"/>
          </w:tcPr>
          <w:p>
            <w:pPr>
              <w:jc w:val="center"/>
            </w:pPr>
            <w:r>
              <w:rPr>
                <w:rFonts w:ascii="Times New Roman" w:cs="Times New Roman" w:eastAsia="Times New Roman" w:hAnsi="Times New Roman"/>
                <w:sz w:val="22"/>
                <w:szCs w:val="22"/>
              </w:rPr>
              <w:t xml:space="preserve">T/F confounds; consider MCQ</w:t>
            </w:r>
          </w:p>
        </w:tc>
      </w:tr>
      <w:tr>
        <w:tc>
          <w:tcPr>
            <w:tcW w:type="dxa" w:w="1560"/>
            <w:vAlign w:val="center"/>
          </w:tcPr>
          <w:p>
            <w:pPr>
              <w:jc w:val="center"/>
            </w:pPr>
            <w:r>
              <w:rPr>
                <w:rFonts w:ascii="Times New Roman" w:cs="Times New Roman" w:eastAsia="Times New Roman" w:hAnsi="Times New Roman"/>
                <w:sz w:val="22"/>
                <w:szCs w:val="22"/>
              </w:rPr>
              <w:t xml:space="preserve">Q2</w:t>
            </w:r>
          </w:p>
        </w:tc>
        <w:tc>
          <w:tcPr>
            <w:tcW w:type="dxa" w:w="2808"/>
            <w:vAlign w:val="center"/>
          </w:tcPr>
          <w:p>
            <w:pPr>
              <w:jc w:val="center"/>
            </w:pPr>
            <w:r>
              <w:rPr>
                <w:rFonts w:ascii="Times New Roman" w:cs="Times New Roman" w:eastAsia="Times New Roman" w:hAnsi="Times New Roman"/>
                <w:sz w:val="22"/>
                <w:szCs w:val="22"/>
              </w:rPr>
              <w:t xml:space="preserve">Mortgage term / interest</w:t>
            </w:r>
          </w:p>
        </w:tc>
        <w:tc>
          <w:tcPr>
            <w:tcW w:type="dxa" w:w="1560"/>
            <w:vAlign w:val="center"/>
          </w:tcPr>
          <w:p>
            <w:pPr>
              <w:jc w:val="center"/>
            </w:pPr>
            <w:r>
              <w:rPr>
                <w:rFonts w:ascii="Times New Roman" w:cs="Times New Roman" w:eastAsia="Times New Roman" w:hAnsi="Times New Roman"/>
                <w:sz w:val="22"/>
                <w:szCs w:val="22"/>
              </w:rPr>
              <w:t xml:space="preserve">42%</w:t>
            </w:r>
          </w:p>
        </w:tc>
        <w:tc>
          <w:tcPr>
            <w:tcW w:type="dxa" w:w="3432"/>
            <w:vAlign w:val="center"/>
          </w:tcPr>
          <w:p>
            <w:pPr>
              <w:jc w:val="center"/>
            </w:pPr>
            <w:r>
              <w:rPr>
                <w:rFonts w:ascii="Times New Roman" w:cs="Times New Roman" w:eastAsia="Times New Roman" w:hAnsi="Times New Roman"/>
                <w:sz w:val="22"/>
                <w:szCs w:val="22"/>
              </w:rPr>
              <w:t xml:space="preserve">T/F reversal; monitor post-test</w:t>
            </w:r>
          </w:p>
        </w:tc>
      </w:tr>
      <w:tr>
        <w:tc>
          <w:tcPr>
            <w:tcW w:type="dxa" w:w="1560"/>
            <w:vAlign w:val="center"/>
          </w:tcPr>
          <w:p>
            <w:pPr>
              <w:jc w:val="center"/>
            </w:pPr>
            <w:r>
              <w:rPr>
                <w:rFonts w:ascii="Times New Roman" w:cs="Times New Roman" w:eastAsia="Times New Roman" w:hAnsi="Times New Roman"/>
                <w:sz w:val="22"/>
                <w:szCs w:val="22"/>
              </w:rPr>
              <w:t xml:space="preserve">Q10</w:t>
            </w:r>
          </w:p>
        </w:tc>
        <w:tc>
          <w:tcPr>
            <w:tcW w:type="dxa" w:w="2808"/>
            <w:vAlign w:val="center"/>
          </w:tcPr>
          <w:p>
            <w:pPr>
              <w:jc w:val="center"/>
            </w:pPr>
            <w:r>
              <w:rPr>
                <w:rFonts w:ascii="Times New Roman" w:cs="Times New Roman" w:eastAsia="Times New Roman" w:hAnsi="Times New Roman"/>
                <w:sz w:val="22"/>
                <w:szCs w:val="22"/>
              </w:rPr>
              <w:t xml:space="preserve">Credit reports (FALSE)</w:t>
            </w:r>
          </w:p>
        </w:tc>
        <w:tc>
          <w:tcPr>
            <w:tcW w:type="dxa" w:w="1560"/>
            <w:vAlign w:val="center"/>
          </w:tcPr>
          <w:p>
            <w:pPr>
              <w:jc w:val="center"/>
            </w:pPr>
            <w:r>
              <w:rPr>
                <w:rFonts w:ascii="Times New Roman" w:cs="Times New Roman" w:eastAsia="Times New Roman" w:hAnsi="Times New Roman"/>
                <w:sz w:val="22"/>
                <w:szCs w:val="22"/>
              </w:rPr>
              <w:t xml:space="preserve">29%</w:t>
            </w:r>
          </w:p>
        </w:tc>
        <w:tc>
          <w:tcPr>
            <w:tcW w:type="dxa" w:w="3432"/>
            <w:vAlign w:val="center"/>
          </w:tcPr>
          <w:p>
            <w:pPr>
              <w:jc w:val="center"/>
            </w:pPr>
            <w:r>
              <w:rPr>
                <w:rFonts w:ascii="Times New Roman" w:cs="Times New Roman" w:eastAsia="Times New Roman" w:hAnsi="Times New Roman"/>
                <w:sz w:val="22"/>
                <w:szCs w:val="22"/>
              </w:rPr>
              <w:t xml:space="preserve">Negation framing causes errors</w:t>
            </w:r>
          </w:p>
        </w:tc>
      </w:tr>
    </w:tbl>
    <w:p>
      <w:pPr>
        <w:pStyle w:val="Heading2"/>
      </w:pPr>
      <w:r>
        <w:t xml:space="preserve">5.9 Assessment Duration</w:t>
      </w:r>
    </w:p>
    <w:p>
      <w:pPr>
        <w:spacing w:line="360" w:after="200"/>
        <w:jc w:val="left"/>
      </w:pPr>
      <w:r>
        <w:rPr>
          <w:rFonts w:ascii="Times New Roman" w:cs="Times New Roman" w:eastAsia="Times New Roman" w:hAnsi="Times New Roman"/>
          <w:sz w:val="24"/>
          <w:szCs w:val="24"/>
        </w:rPr>
        <w:t xml:space="preserve">The median total assessment duration was 14.2 minutes (IQR: 10.8–18.6 minutes), within the target range of 12–18 minutes. The demographic section took a median of 2.1 minutes, the fixed core 8.9 minutes, and the SDM-10 3.2 minutes. Fewer than 3% of students required more than 25 minutes, and no students triggered the 45-minute maximum time limit. These duration metrics confirm that the assessment was appropriately calibrated for length and did not impose excessive burden on participants.</w:t>
      </w:r>
    </w:p>
    <w:p>
      <w:pPr>
        <w:pStyle w:val="Heading1"/>
      </w:pPr>
      <w:r>
        <w:t xml:space="preserve">6. Discussion</w:t>
      </w:r>
    </w:p>
    <w:p>
      <w:pPr>
        <w:spacing w:line="360" w:after="200"/>
      </w:pPr>
      <w:r>
        <w:rPr>
          <w:rFonts w:ascii="Times New Roman" w:cs="Times New Roman" w:eastAsia="Times New Roman" w:hAnsi="Times New Roman"/>
          <w:b/>
          <w:bCs/>
          <w:sz w:val="24"/>
          <w:szCs w:val="24"/>
        </w:rPr>
        <w:t xml:space="preserve">Strong baseline in foundational concepts. </w:t>
      </w:r>
      <w:r>
        <w:rPr>
          <w:rFonts w:ascii="Times New Roman" w:cs="Times New Roman" w:eastAsia="Times New Roman" w:hAnsi="Times New Roman"/>
          <w:sz w:val="24"/>
          <w:szCs w:val="24"/>
        </w:rPr>
        <w:t xml:space="preserve">Students demonstrate solid understanding of basic financial concepts such as simple interest (92.9%), compound interest (88.4%), and impulse control (86.9%). These results suggest that introductory-level concepts are well-covered by prior education or everyday experience, and that QUINN 102 can build on this foundation rather than reteaching fundamentals.</w:t>
      </w:r>
    </w:p>
    <w:p>
      <w:pPr>
        <w:spacing w:line="360" w:after="200"/>
      </w:pPr>
      <w:r>
        <w:rPr>
          <w:rFonts w:ascii="Times New Roman" w:cs="Times New Roman" w:eastAsia="Times New Roman" w:hAnsi="Times New Roman"/>
          <w:b/>
          <w:bCs/>
          <w:sz w:val="24"/>
          <w:szCs w:val="24"/>
        </w:rPr>
        <w:t xml:space="preserve">Significant gaps in applied financial reasoning. </w:t>
      </w:r>
      <w:r>
        <w:rPr>
          <w:rFonts w:ascii="Times New Roman" w:cs="Times New Roman" w:eastAsia="Times New Roman" w:hAnsi="Times New Roman"/>
          <w:sz w:val="24"/>
          <w:szCs w:val="24"/>
        </w:rPr>
        <w:t xml:space="preserve">The weakest subdomains—inflation hedge (24.0%), compound growth (38.7%), and return ranking (40.6%)—involve multi-step reasoning and real-world application. The 9.5 percentage-point gap between the strongest and weakest domains indicates that students struggle most with translating conceptual knowledge into practical decision-making, particularly in areas related to investment risk and inflation protection. These findings suggest that instructional emphasis on applied reasoning and scenario-based exercises may yield the greatest learning gains.</w:t>
      </w:r>
    </w:p>
    <w:p>
      <w:pPr>
        <w:spacing w:line="360" w:after="200"/>
      </w:pPr>
      <w:r>
        <w:rPr>
          <w:rFonts w:ascii="Times New Roman" w:cs="Times New Roman" w:eastAsia="Times New Roman" w:hAnsi="Times New Roman"/>
          <w:b/>
          <w:bCs/>
          <w:sz w:val="24"/>
          <w:szCs w:val="24"/>
        </w:rPr>
        <w:t xml:space="preserve">Generally well-calibrated confidence. </w:t>
      </w:r>
      <w:r>
        <w:rPr>
          <w:rFonts w:ascii="Times New Roman" w:cs="Times New Roman" w:eastAsia="Times New Roman" w:hAnsi="Times New Roman"/>
          <w:sz w:val="24"/>
          <w:szCs w:val="24"/>
        </w:rPr>
        <w:t xml:space="preserve">The predominance of well-calibrated (41.1%) and underconfident (32.8%) students is a constructive finding for learning. Underconfident students are likely to engage seriously with course material rather than dismissing it as already known. The 26.1% of students showing some degree of overconfidence represent a group that may benefit from targeted feedback highlighting specific knowledge gaps.</w:t>
      </w:r>
    </w:p>
    <w:p>
      <w:pPr>
        <w:spacing w:line="360" w:after="200"/>
      </w:pPr>
      <w:r>
        <w:rPr>
          <w:rFonts w:ascii="Times New Roman" w:cs="Times New Roman" w:eastAsia="Times New Roman" w:hAnsi="Times New Roman"/>
          <w:b/>
          <w:bCs/>
          <w:sz w:val="24"/>
          <w:szCs w:val="24"/>
        </w:rPr>
        <w:t xml:space="preserve">Financial stress as a relevant covariate. </w:t>
      </w:r>
      <w:r>
        <w:rPr>
          <w:rFonts w:ascii="Times New Roman" w:cs="Times New Roman" w:eastAsia="Times New Roman" w:hAnsi="Times New Roman"/>
          <w:sz w:val="24"/>
          <w:szCs w:val="24"/>
        </w:rPr>
        <w:t xml:space="preserve">Nearly a quarter of students (23.8%) report experiencing financial stress often or always. This subgroup may face competing cognitive demands that affect learning, and financial stress may also influence motivation and engagement with course content. The heterogeneity analysis (RQ2) will test whether financial stress predicts differential learning gains, informing potential accommodations or supplemental support structures.</w:t>
      </w:r>
    </w:p>
    <w:p>
      <w:pPr>
        <w:spacing w:line="360" w:after="200"/>
      </w:pPr>
      <w:r>
        <w:rPr>
          <w:rFonts w:ascii="Times New Roman" w:cs="Times New Roman" w:eastAsia="Times New Roman" w:hAnsi="Times New Roman"/>
          <w:b/>
          <w:bCs/>
          <w:sz w:val="24"/>
          <w:szCs w:val="24"/>
        </w:rPr>
        <w:t xml:space="preserve">Meaningful heterogeneity for RQ2 analysis. </w:t>
      </w:r>
      <w:r>
        <w:rPr>
          <w:rFonts w:ascii="Times New Roman" w:cs="Times New Roman" w:eastAsia="Times New Roman" w:hAnsi="Times New Roman"/>
          <w:sz w:val="24"/>
          <w:szCs w:val="24"/>
        </w:rPr>
        <w:t xml:space="preserve">The sample exhibits meaningful variation across demographics (gender, race/ethnicity, first-generation status), financial context (employment, stress, self-rated knowledge), and baseline performance (SD = 17.38%). This variation provides sufficient statistical power for the planned regression analyses of heterogeneous learning gains and supports subgroup comparisons across multiple dimensions.</w:t>
      </w:r>
    </w:p>
    <w:p>
      <w:pPr>
        <w:spacing w:line="360" w:after="200"/>
      </w:pPr>
      <w:r>
        <w:rPr>
          <w:rFonts w:ascii="Times New Roman" w:cs="Times New Roman" w:eastAsia="Times New Roman" w:hAnsi="Times New Roman"/>
          <w:b/>
          <w:bCs/>
          <w:sz w:val="24"/>
          <w:szCs w:val="24"/>
        </w:rPr>
        <w:t xml:space="preserve">SDM-10 diagnostic findings reveal actionable misconception patterns. </w:t>
      </w:r>
      <w:r>
        <w:rPr>
          <w:rFonts w:ascii="Times New Roman" w:cs="Times New Roman" w:eastAsia="Times New Roman" w:hAnsi="Times New Roman"/>
          <w:sz w:val="24"/>
          <w:szCs w:val="24"/>
        </w:rPr>
        <w:t xml:space="preserve">The three-way classification of 931 open-ended responses identified five dominant misconception clusters: inflation mechanics confusion (55% of Q6 diagnoses), insurance purpose confusion (67% of Q12 diagnoses), empathy-driven financial reasoning (33% of Q7 diagnoses), risk-return reasoning from exceptions, and format-induced selection errors. The finding that 62% of incorrect answers on Q36 reflected correct understanding (selection errors rather than misconceptions) demonstrates the value of open-ended diagnostic follow-up in distinguishing genuine knowledge gaps from measurement artifacts. The 12–14% lucky-guess rate identified through confirm responses further validates the information deficit model’s approach of probing low-confidence correct answers.</w:t>
      </w:r>
    </w:p>
    <w:p>
      <w:pPr>
        <w:spacing w:line="360" w:after="200"/>
      </w:pPr>
      <w:r>
        <w:rPr>
          <w:rFonts w:ascii="Times New Roman" w:cs="Times New Roman" w:eastAsia="Times New Roman" w:hAnsi="Times New Roman"/>
          <w:b/>
          <w:bCs/>
          <w:sz w:val="24"/>
          <w:szCs w:val="24"/>
        </w:rPr>
        <w:t xml:space="preserve">High completion rate reflects platform reliability. </w:t>
      </w:r>
      <w:r>
        <w:rPr>
          <w:rFonts w:ascii="Times New Roman" w:cs="Times New Roman" w:eastAsia="Times New Roman" w:hAnsi="Times New Roman"/>
          <w:sz w:val="24"/>
          <w:szCs w:val="24"/>
        </w:rPr>
        <w:t xml:space="preserve">The 97.2% completion rate (421 of 433 enrolled) indicates strong platform performance and student compliance. The narrow gap between enrollment and completion across all eight days suggests that technical issues were minimal and that the assessment design was accessible and appropriately timed.</w:t>
      </w:r>
    </w:p>
    <w:p>
      <w:pPr>
        <w:pStyle w:val="Heading1"/>
      </w:pPr>
      <w:r>
        <w:t xml:space="preserve">7. Limitations and Pending Items</w:t>
      </w:r>
    </w:p>
    <w:p>
      <w:pPr>
        <w:pStyle w:val="ListParagraph"/>
        <w:numPr>
          <w:ilvl w:val="0"/>
          <w:numId w:val="3"/>
        </w:numPr>
        <w:spacing w:line="360" w:after="120"/>
      </w:pPr>
      <w:r>
        <w:rPr>
          <w:rFonts w:ascii="Times New Roman" w:cs="Times New Roman" w:eastAsia="Times New Roman" w:hAnsi="Times New Roman"/>
          <w:sz w:val="24"/>
          <w:szCs w:val="24"/>
        </w:rPr>
        <w:t xml:space="preserve">The study employs a single-group pre-post design without a randomized control group, limiting causal attribution of observed learning gains exclusively to QUINN 102 instruction.</w:t>
      </w:r>
    </w:p>
    <w:p>
      <w:pPr>
        <w:pStyle w:val="ListParagraph"/>
        <w:numPr>
          <w:ilvl w:val="0"/>
          <w:numId w:val="3"/>
        </w:numPr>
        <w:spacing w:line="360" w:after="120"/>
      </w:pPr>
      <w:r>
        <w:rPr>
          <w:rFonts w:ascii="Times New Roman" w:cs="Times New Roman" w:eastAsia="Times New Roman" w:hAnsi="Times New Roman"/>
          <w:sz w:val="24"/>
          <w:szCs w:val="24"/>
        </w:rPr>
        <w:t xml:space="preserve">Self-reported demographic and financial context variables may be subject to social desirability bias or measurement error, potentially attenuating estimated relationships in the heterogeneity analysis.</w:t>
      </w:r>
    </w:p>
    <w:p>
      <w:pPr>
        <w:pStyle w:val="ListParagraph"/>
        <w:numPr>
          <w:ilvl w:val="0"/>
          <w:numId w:val="3"/>
        </w:numPr>
        <w:spacing w:line="360" w:after="120"/>
      </w:pPr>
      <w:r>
        <w:rPr>
          <w:rFonts w:ascii="Times New Roman" w:cs="Times New Roman" w:eastAsia="Times New Roman" w:hAnsi="Times New Roman"/>
          <w:sz w:val="24"/>
          <w:szCs w:val="24"/>
        </w:rPr>
        <w:t xml:space="preserve">The assessment captures knowledge at two discrete time points; it does not measure the trajectory of learning during the semester or long-term retention after course completion.</w:t>
      </w:r>
    </w:p>
    <w:p>
      <w:pPr>
        <w:pStyle w:val="ListParagraph"/>
        <w:numPr>
          <w:ilvl w:val="0"/>
          <w:numId w:val="3"/>
        </w:numPr>
        <w:spacing w:line="360" w:after="120"/>
      </w:pPr>
      <w:r>
        <w:rPr>
          <w:rFonts w:ascii="Times New Roman" w:cs="Times New Roman" w:eastAsia="Times New Roman" w:hAnsi="Times New Roman"/>
          <w:sz w:val="24"/>
          <w:szCs w:val="24"/>
        </w:rPr>
        <w:t xml:space="preserve">Test-retest effects may inflate post-course scores if students recall specific items from the pre-course administration, though the 14-week interval between administrations mitigates this concern.</w:t>
      </w:r>
    </w:p>
    <w:p>
      <w:pPr>
        <w:pStyle w:val="ListParagraph"/>
        <w:numPr>
          <w:ilvl w:val="0"/>
          <w:numId w:val="3"/>
        </w:numPr>
        <w:spacing w:line="360" w:after="120"/>
      </w:pPr>
      <w:r>
        <w:rPr>
          <w:rFonts w:ascii="Times New Roman" w:cs="Times New Roman" w:eastAsia="Times New Roman" w:hAnsi="Times New Roman"/>
          <w:sz w:val="24"/>
          <w:szCs w:val="24"/>
        </w:rPr>
        <w:t xml:space="preserve">Psychometric validation (Cronbach’s alpha, factor analysis) is pending and will be reported with the post-course results to enable comparison of instrument properties across administrations.</w:t>
      </w:r>
    </w:p>
    <w:p>
      <w:pPr>
        <w:pStyle w:val="ListParagraph"/>
        <w:numPr>
          <w:ilvl w:val="0"/>
          <w:numId w:val="3"/>
        </w:numPr>
        <w:spacing w:line="360" w:after="120"/>
      </w:pPr>
      <w:r>
        <w:rPr>
          <w:rFonts w:ascii="Times New Roman" w:cs="Times New Roman" w:eastAsia="Times New Roman" w:hAnsi="Times New Roman"/>
          <w:sz w:val="24"/>
          <w:szCs w:val="24"/>
        </w:rPr>
        <w:t xml:space="preserve">The sample is drawn from a single institution and course, limiting generalizability to other student populations and instructional contexts without further replication.</w:t>
      </w:r>
    </w:p>
    <w:p>
      <w:pPr>
        <w:pStyle w:val="ListParagraph"/>
        <w:numPr>
          <w:ilvl w:val="0"/>
          <w:numId w:val="3"/>
        </w:numPr>
        <w:spacing w:line="360" w:after="120"/>
      </w:pPr>
      <w:r>
        <w:rPr>
          <w:rFonts w:ascii="Times New Roman" w:cs="Times New Roman" w:eastAsia="Times New Roman" w:hAnsi="Times New Roman"/>
          <w:sz w:val="24"/>
          <w:szCs w:val="24"/>
        </w:rPr>
        <w:t xml:space="preserve">A software defect in the platform’s handleAnswer() function caused the SDM scored anchors map to become stale when students revised an anchor answer, resulting in 40 mismatched SDM variant assignments across 36 students (9.8%). The mismatched responses were filtered from the open-ended analysis using an anchor_score and confidence cross-check, and the bug was subsequently fixed (commit 039f955). The filtering reduced the open-ended sample from 971 to 931 responses.</w:t>
      </w:r>
    </w:p>
    <w:p>
      <w:pPr>
        <w:pStyle w:val="ListParagraph"/>
        <w:numPr>
          <w:ilvl w:val="0"/>
          <w:numId w:val="3"/>
        </w:numPr>
        <w:spacing w:line="360" w:after="120"/>
      </w:pPr>
      <w:r>
        <w:rPr>
          <w:rFonts w:ascii="Times New Roman" w:cs="Times New Roman" w:eastAsia="Times New Roman" w:hAnsi="Times New Roman"/>
          <w:sz w:val="24"/>
          <w:szCs w:val="24"/>
        </w:rPr>
        <w:t xml:space="preserve">The SDM-10 open-ended sample is not random: items were administered only to students whose anchor responses triggered high-Need subcategories. Per-item coverage ranges from 20% (Q32) to 90% (Q7). Extrapolation to the full class is appropriate only when item-level coverage exceeds 50%.</w:t>
      </w:r>
    </w:p>
    <w:p>
      <w:pPr>
        <w:pStyle w:val="ListParagraph"/>
        <w:numPr>
          <w:ilvl w:val="0"/>
          <w:numId w:val="3"/>
        </w:numPr>
        <w:spacing w:line="360" w:after="120"/>
      </w:pPr>
      <w:r>
        <w:rPr>
          <w:rFonts w:ascii="Times New Roman" w:cs="Times New Roman" w:eastAsia="Times New Roman" w:hAnsi="Times New Roman"/>
          <w:sz w:val="24"/>
          <w:szCs w:val="24"/>
        </w:rPr>
        <w:t xml:space="preserve">Members of the research team hold instructional roles in Quinn 102, creating a potential conflict of interest. The 16.2% decline rate (68 of 421 submitted students declined research consent) provides evidence that students exercised genuine choice. The dual role was mitigated through separated consent, de-identified research dataset, and voluntary research consent with explicit no-penalty language (see Section 4.4.2).</w:t>
      </w:r>
    </w:p>
    <w:p>
      <w:pPr>
        <w:pStyle w:val="ListParagraph"/>
        <w:numPr>
          <w:ilvl w:val="0"/>
          <w:numId w:val="3"/>
        </w:numPr>
        <w:spacing w:line="360" w:after="200"/>
      </w:pPr>
      <w:r>
        <w:rPr>
          <w:rFonts w:ascii="Times New Roman" w:cs="Times New Roman" w:eastAsia="Times New Roman" w:hAnsi="Times New Roman"/>
          <w:sz w:val="24"/>
          <w:szCs w:val="24"/>
        </w:rPr>
        <w:t xml:space="preserve">Analyses using the research-consented subset (n = 353, 83.8% of completers) may not be fully representative of the complete student population if consent propensity correlates with assessment performance, demographics, or engagement. Pre-post comparisons will report whether the consented and declined subsamples differ on observable baseline characteristics.</w:t>
      </w:r>
    </w:p>
    <w:p>
      <w:pPr>
        <w:pStyle w:val="Heading1"/>
      </w:pPr>
      <w:r>
        <w:t xml:space="preserve">8. Next Steps (Post-Course Assessment)</w:t>
      </w:r>
    </w:p>
    <w:p>
      <w:pPr>
        <w:pStyle w:val="ListParagraph"/>
        <w:numPr>
          <w:ilvl w:val="0"/>
          <w:numId w:val="3"/>
        </w:numPr>
        <w:spacing w:line="360" w:after="120"/>
      </w:pPr>
      <w:r>
        <w:rPr>
          <w:rFonts w:ascii="Times New Roman" w:cs="Times New Roman" w:eastAsia="Times New Roman" w:hAnsi="Times New Roman"/>
          <w:sz w:val="24"/>
          <w:szCs w:val="24"/>
        </w:rPr>
        <w:t xml:space="preserve">Administer the post-course assessment during the final week of Spring 2026 instruction using the identical fixed core instrument and SDM-10 adaptive module.</w:t>
      </w:r>
    </w:p>
    <w:p>
      <w:pPr>
        <w:pStyle w:val="ListParagraph"/>
        <w:numPr>
          <w:ilvl w:val="0"/>
          <w:numId w:val="3"/>
        </w:numPr>
        <w:spacing w:line="360" w:after="120"/>
      </w:pPr>
      <w:r>
        <w:rPr>
          <w:rFonts w:ascii="Times New Roman" w:cs="Times New Roman" w:eastAsia="Times New Roman" w:hAnsi="Times New Roman"/>
          <w:sz w:val="24"/>
          <w:szCs w:val="24"/>
        </w:rPr>
        <w:t xml:space="preserve">Link pre-course and post-course responses at the student level using anonymous identifiers to compute within-student gain scores at the overall, domain, and subdomain levels.</w:t>
      </w:r>
    </w:p>
    <w:p>
      <w:pPr>
        <w:pStyle w:val="ListParagraph"/>
        <w:numPr>
          <w:ilvl w:val="0"/>
          <w:numId w:val="3"/>
        </w:numPr>
        <w:spacing w:line="360" w:after="120"/>
      </w:pPr>
      <w:r>
        <w:rPr>
          <w:rFonts w:ascii="Times New Roman" w:cs="Times New Roman" w:eastAsia="Times New Roman" w:hAnsi="Times New Roman"/>
          <w:sz w:val="24"/>
          <w:szCs w:val="24"/>
        </w:rPr>
        <w:t xml:space="preserve">Conduct paired statistical tests (t-tests, Wilcoxon signed-rank) and compute effect sizes (Cohen’s d) to assess the magnitude and significance of learning gains (RQ1).</w:t>
      </w:r>
    </w:p>
    <w:p>
      <w:pPr>
        <w:pStyle w:val="ListParagraph"/>
        <w:numPr>
          <w:ilvl w:val="0"/>
          <w:numId w:val="3"/>
        </w:numPr>
        <w:spacing w:line="360" w:after="120"/>
      </w:pPr>
      <w:r>
        <w:rPr>
          <w:rFonts w:ascii="Times New Roman" w:cs="Times New Roman" w:eastAsia="Times New Roman" w:hAnsi="Times New Roman"/>
          <w:sz w:val="24"/>
          <w:szCs w:val="24"/>
        </w:rPr>
        <w:t xml:space="preserve">Estimate OLS regression models with gain scores as the dependent variable and baseline covariates as predictors to identify sources of heterogeneous learning gains (RQ2).</w:t>
      </w:r>
    </w:p>
    <w:p>
      <w:pPr>
        <w:pStyle w:val="ListParagraph"/>
        <w:numPr>
          <w:ilvl w:val="0"/>
          <w:numId w:val="3"/>
        </w:numPr>
        <w:spacing w:line="360" w:after="120"/>
      </w:pPr>
      <w:r>
        <w:rPr>
          <w:rFonts w:ascii="Times New Roman" w:cs="Times New Roman" w:eastAsia="Times New Roman" w:hAnsi="Times New Roman"/>
          <w:sz w:val="24"/>
          <w:szCs w:val="24"/>
        </w:rPr>
        <w:t xml:space="preserve">Complete psychometric validation (Cronbach’s alpha, point-biserial correlations, confirmatory factor analysis) across both administrations to assess instrument reliability and structural validity.</w:t>
      </w:r>
    </w:p>
    <w:p>
      <w:pPr>
        <w:pStyle w:val="ListParagraph"/>
        <w:numPr>
          <w:ilvl w:val="0"/>
          <w:numId w:val="3"/>
        </w:numPr>
        <w:spacing w:line="360" w:after="200"/>
      </w:pPr>
      <w:r>
        <w:rPr>
          <w:rFonts w:ascii="Times New Roman" w:cs="Times New Roman" w:eastAsia="Times New Roman" w:hAnsi="Times New Roman"/>
          <w:sz w:val="24"/>
          <w:szCs w:val="24"/>
        </w:rPr>
        <w:t xml:space="preserve">Prepare the final report integrating pre-post comparisons, heterogeneity analysis, psychometric results, and actionable recommendations for future QUINN 102 course design.</w:t>
      </w:r>
    </w:p>
    <w:p>
      <w:pPr>
        <w:pStyle w:val="Heading1"/>
      </w:pPr>
      <w:r>
        <w:t xml:space="preserve">References</w:t>
      </w:r>
    </w:p>
    <w:p>
      <w:pPr>
        <w:spacing w:line="360" w:after="200"/>
        <w:jc w:val="left"/>
      </w:pPr>
      <w:r>
        <w:rPr>
          <w:rFonts w:ascii="Times New Roman" w:cs="Times New Roman" w:eastAsia="Times New Roman" w:hAnsi="Times New Roman"/>
          <w:sz w:val="24"/>
          <w:szCs w:val="24"/>
        </w:rPr>
        <w:t xml:space="preserve">Akers, B., &amp; Chingos, M. M. (2014). Are college students borrowing blindly? Brookings Institution.</w:t>
      </w:r>
    </w:p>
    <w:p>
      <w:pPr>
        <w:spacing w:line="360" w:after="200"/>
        <w:jc w:val="left"/>
      </w:pPr>
      <w:r>
        <w:rPr>
          <w:rFonts w:ascii="Times New Roman" w:cs="Times New Roman" w:eastAsia="Times New Roman" w:hAnsi="Times New Roman"/>
          <w:sz w:val="24"/>
          <w:szCs w:val="24"/>
        </w:rPr>
        <w:t xml:space="preserve">Allgood, S., &amp; Walstad, W. B. (2016). The effects of perceived and actual financial literacy on financial behaviors. Economic Inquiry, 54(1), 675–697.</w:t>
      </w:r>
    </w:p>
    <w:p>
      <w:pPr>
        <w:spacing w:line="360" w:after="200"/>
        <w:jc w:val="left"/>
      </w:pPr>
      <w:r>
        <w:rPr>
          <w:rFonts w:ascii="Times New Roman" w:cs="Times New Roman" w:eastAsia="Times New Roman" w:hAnsi="Times New Roman"/>
          <w:sz w:val="24"/>
          <w:szCs w:val="24"/>
        </w:rPr>
        <w:t xml:space="preserve">Boulaid, G. (2026). Financial Literacy Toolkit: Assessment platform for QUINN 102 [Source code]. GitHub. https://github.com/GuillaumeBld/Financial-Literacy-Toolkit</w:t>
      </w:r>
    </w:p>
    <w:p>
      <w:pPr>
        <w:spacing w:line="360" w:after="200"/>
        <w:jc w:val="left"/>
      </w:pPr>
      <w:r>
        <w:rPr>
          <w:rFonts w:ascii="Times New Roman" w:cs="Times New Roman" w:eastAsia="Times New Roman" w:hAnsi="Times New Roman"/>
          <w:sz w:val="24"/>
          <w:szCs w:val="24"/>
        </w:rPr>
        <w:t xml:space="preserve">Chen, H., &amp; Volpe, R. P. (1998). An analysis of personal financial literacy among college students. Financial Services Review, 7(2), 107–128.</w:t>
      </w:r>
    </w:p>
    <w:p>
      <w:pPr>
        <w:spacing w:line="360" w:after="200"/>
        <w:jc w:val="left"/>
      </w:pPr>
      <w:r>
        <w:rPr>
          <w:rFonts w:ascii="Times New Roman" w:cs="Times New Roman" w:eastAsia="Times New Roman" w:hAnsi="Times New Roman"/>
          <w:sz w:val="24"/>
          <w:szCs w:val="24"/>
        </w:rPr>
        <w:t xml:space="preserve">Fernandes, D., Lynch, J. G., Jr., &amp; Netemeyer, R. G. (2014). Financial literacy, financial education, and downstream financial behaviors. Management Science, 60(8), 1861–1883.</w:t>
      </w:r>
    </w:p>
    <w:p>
      <w:pPr>
        <w:spacing w:line="360" w:after="200"/>
        <w:jc w:val="left"/>
      </w:pPr>
      <w:r>
        <w:rPr>
          <w:rFonts w:ascii="Times New Roman" w:cs="Times New Roman" w:eastAsia="Times New Roman" w:hAnsi="Times New Roman"/>
          <w:sz w:val="24"/>
          <w:szCs w:val="24"/>
        </w:rPr>
        <w:t xml:space="preserve">Flodén, J. (2025). Grading exams using large language models: A comparison between human and AI grading of exams in higher education using ChatGPT. British Educational Research Journal, 51(1), 201–224.</w:t>
      </w:r>
    </w:p>
    <w:p>
      <w:pPr>
        <w:spacing w:line="360" w:after="200"/>
        <w:jc w:val="left"/>
      </w:pPr>
      <w:r>
        <w:rPr>
          <w:rFonts w:ascii="Times New Roman" w:cs="Times New Roman" w:eastAsia="Times New Roman" w:hAnsi="Times New Roman"/>
          <w:sz w:val="24"/>
          <w:szCs w:val="24"/>
        </w:rPr>
        <w:t xml:space="preserve">Goyal, K., &amp; Kumar, S. (2021). Financial literacy: A systematic review and bibliometric analysis. International Journal of Consumer Studies, 45(1), 80–105.</w:t>
      </w:r>
    </w:p>
    <w:p>
      <w:pPr>
        <w:spacing w:line="360" w:after="200"/>
        <w:jc w:val="left"/>
      </w:pPr>
      <w:r>
        <w:rPr>
          <w:rFonts w:ascii="Times New Roman" w:cs="Times New Roman" w:eastAsia="Times New Roman" w:hAnsi="Times New Roman"/>
          <w:sz w:val="24"/>
          <w:szCs w:val="24"/>
        </w:rPr>
        <w:t xml:space="preserve">Hastings, J. S., Madrian, B. C., &amp; Skimmyhorn, W. L. (2013). Financial literacy, financial education, and economic outcomes. Annual Review of Economics, 5, 347–373.</w:t>
      </w:r>
    </w:p>
    <w:p>
      <w:pPr>
        <w:spacing w:line="360" w:after="200"/>
        <w:jc w:val="left"/>
      </w:pPr>
      <w:r>
        <w:rPr>
          <w:rFonts w:ascii="Times New Roman" w:cs="Times New Roman" w:eastAsia="Times New Roman" w:hAnsi="Times New Roman"/>
          <w:sz w:val="24"/>
          <w:szCs w:val="24"/>
        </w:rPr>
        <w:t xml:space="preserve">Huston, S. J. (2010). Measuring financial literacy. Journal of Consumer Affairs, 44(2), 296–316.</w:t>
      </w:r>
    </w:p>
    <w:p>
      <w:pPr>
        <w:spacing w:line="360" w:after="200"/>
        <w:jc w:val="left"/>
      </w:pPr>
      <w:r>
        <w:rPr>
          <w:rFonts w:ascii="Times New Roman" w:cs="Times New Roman" w:eastAsia="Times New Roman" w:hAnsi="Times New Roman"/>
          <w:sz w:val="24"/>
          <w:szCs w:val="24"/>
        </w:rPr>
        <w:t xml:space="preserve">Ipatova, E., &amp; Merheb, K. (2023). Re-examining the Dunning-Kruger effect: Objective vs. subjective financial literacy in the young and overconfident (SSRN Working Paper No. 4645450).</w:t>
      </w:r>
    </w:p>
    <w:p>
      <w:pPr>
        <w:spacing w:line="360" w:after="200"/>
        <w:jc w:val="left"/>
      </w:pPr>
      <w:r>
        <w:rPr>
          <w:rFonts w:ascii="Times New Roman" w:cs="Times New Roman" w:eastAsia="Times New Roman" w:hAnsi="Times New Roman"/>
          <w:sz w:val="24"/>
          <w:szCs w:val="24"/>
        </w:rPr>
        <w:t xml:space="preserve">Kaiser, T., Lusardi, A., Menkhoff, L., &amp; Urban, C. (2022). Financial education affects financial knowledge and downstream behaviors. Journal of Financial Economics, 145(2), 255–272.</w:t>
      </w:r>
    </w:p>
    <w:p>
      <w:pPr>
        <w:spacing w:line="360" w:after="200"/>
        <w:jc w:val="left"/>
      </w:pPr>
      <w:r>
        <w:rPr>
          <w:rFonts w:ascii="Times New Roman" w:cs="Times New Roman" w:eastAsia="Times New Roman" w:hAnsi="Times New Roman"/>
          <w:sz w:val="24"/>
          <w:szCs w:val="24"/>
        </w:rPr>
        <w:t xml:space="preserve">Kramer, M. M. (2016). Financial literacy, confidence and financial advice seeking. Journal of Economic Behavior &amp; Organization, 131(Part A), 198–217.</w:t>
      </w:r>
    </w:p>
    <w:p>
      <w:pPr>
        <w:spacing w:line="360" w:after="200"/>
        <w:jc w:val="left"/>
      </w:pPr>
      <w:r>
        <w:rPr>
          <w:rFonts w:ascii="Times New Roman" w:cs="Times New Roman" w:eastAsia="Times New Roman" w:hAnsi="Times New Roman"/>
          <w:sz w:val="24"/>
          <w:szCs w:val="24"/>
        </w:rPr>
        <w:t xml:space="preserve">Lusardi, A. (2019). Financial literacy and the need for financial education: Evidence and implications. Swiss Journal of Economics and Statistics, 155, Article 1.</w:t>
      </w:r>
    </w:p>
    <w:p>
      <w:pPr>
        <w:spacing w:line="360" w:after="200"/>
        <w:jc w:val="left"/>
      </w:pPr>
      <w:r>
        <w:rPr>
          <w:rFonts w:ascii="Times New Roman" w:cs="Times New Roman" w:eastAsia="Times New Roman" w:hAnsi="Times New Roman"/>
          <w:sz w:val="24"/>
          <w:szCs w:val="24"/>
        </w:rPr>
        <w:t xml:space="preserve">Lusardi, A., &amp; Mitchell, O. S. (2014). The economic importance of financial literacy: Theory and evidence. Journal of Economic Literature, 52(1), 5–44.</w:t>
      </w:r>
    </w:p>
    <w:p>
      <w:pPr>
        <w:spacing w:line="360" w:after="200"/>
        <w:jc w:val="left"/>
      </w:pPr>
      <w:r>
        <w:rPr>
          <w:rFonts w:ascii="Times New Roman" w:cs="Times New Roman" w:eastAsia="Times New Roman" w:hAnsi="Times New Roman"/>
          <w:sz w:val="24"/>
          <w:szCs w:val="24"/>
        </w:rPr>
        <w:t xml:space="preserve">Lusardi, A., &amp; Tufano, P. (2015). Debt literacy, financial experiences, and overindebtedness. Journal of Pension Economics and Finance, 14(4), 332–368.</w:t>
      </w:r>
    </w:p>
    <w:p>
      <w:pPr>
        <w:spacing w:line="360" w:after="200"/>
        <w:jc w:val="left"/>
      </w:pPr>
      <w:r>
        <w:rPr>
          <w:rFonts w:ascii="Times New Roman" w:cs="Times New Roman" w:eastAsia="Times New Roman" w:hAnsi="Times New Roman"/>
          <w:sz w:val="24"/>
          <w:szCs w:val="24"/>
        </w:rPr>
        <w:t xml:space="preserve">Mandell, L., &amp; Klein, L. S. (2009). The impact of financial literacy education on subsequent financial behavior. Journal of Financial Counseling and Planning, 20(1), 15–24.</w:t>
      </w:r>
    </w:p>
    <w:p>
      <w:pPr>
        <w:spacing w:line="360" w:after="200"/>
        <w:jc w:val="left"/>
      </w:pPr>
      <w:r>
        <w:rPr>
          <w:rFonts w:ascii="Times New Roman" w:cs="Times New Roman" w:eastAsia="Times New Roman" w:hAnsi="Times New Roman"/>
          <w:sz w:val="24"/>
          <w:szCs w:val="24"/>
        </w:rPr>
        <w:t xml:space="preserve">National Commission for the Protection of Human Subjects of Biomedical and Behavioral Research. (1979). The Belmont Report: Ethical principles and guidelines for the protection of human subjects of research. U.S. Department of Health and Human Services.</w:t>
      </w:r>
    </w:p>
    <w:p>
      <w:pPr>
        <w:spacing w:line="360" w:after="200"/>
        <w:jc w:val="left"/>
      </w:pPr>
      <w:r>
        <w:rPr>
          <w:rFonts w:ascii="Times New Roman" w:cs="Times New Roman" w:eastAsia="Times New Roman" w:hAnsi="Times New Roman"/>
          <w:sz w:val="24"/>
          <w:szCs w:val="24"/>
        </w:rPr>
        <w:t xml:space="preserve">Mizumoto, A., &amp; Eguchi, M. (2024). Large language models and automated essay scoring of English language learner writing: Insights into validity and reliability. Computers and Education: Artificial Intelligence, 6, 100208.</w:t>
      </w:r>
    </w:p>
    <w:p>
      <w:pPr>
        <w:spacing w:line="360" w:after="200"/>
        <w:jc w:val="left"/>
      </w:pPr>
      <w:r>
        <w:rPr>
          <w:rFonts w:ascii="Times New Roman" w:cs="Times New Roman" w:eastAsia="Times New Roman" w:hAnsi="Times New Roman"/>
          <w:sz w:val="24"/>
          <w:szCs w:val="24"/>
        </w:rPr>
        <w:t xml:space="preserve">OECD. (2022). OECD/INFE toolkit for measuring financial literacy and financial inclusion 2022. OECD Publishing.</w:t>
      </w:r>
    </w:p>
    <w:p>
      <w:pPr>
        <w:spacing w:line="360" w:after="200"/>
        <w:jc w:val="left"/>
      </w:pPr>
      <w:r>
        <w:rPr>
          <w:rFonts w:ascii="Times New Roman" w:cs="Times New Roman" w:eastAsia="Times New Roman" w:hAnsi="Times New Roman"/>
          <w:sz w:val="24"/>
          <w:szCs w:val="24"/>
        </w:rPr>
        <w:t xml:space="preserve">Olivos, F., Kamelski, T., &amp; Ascui-Gac, S. (2025). Assessing instructor-AI cooperation for grading essay-type questions in an introductory sociology course. Teaching Sociology. Advance online publication. https://doi.org/10.1177/0092055X251397371</w:t>
      </w:r>
    </w:p>
    <w:p>
      <w:pPr>
        <w:spacing w:line="360" w:after="200"/>
        <w:jc w:val="left"/>
      </w:pPr>
      <w:r>
        <w:rPr>
          <w:rFonts w:ascii="Times New Roman" w:cs="Times New Roman" w:eastAsia="Times New Roman" w:hAnsi="Times New Roman"/>
          <w:sz w:val="24"/>
          <w:szCs w:val="24"/>
        </w:rPr>
        <w:t xml:space="preserve">Porto, N., &amp; Xiao, J. J. (2016). Financial literacy overconfidence and financial advice seeking. Journal of Financial Service Professionals, 70(4), 78–88.</w:t>
      </w:r>
    </w:p>
    <w:p>
      <w:pPr>
        <w:spacing w:line="360" w:after="200"/>
        <w:jc w:val="left"/>
      </w:pPr>
      <w:r>
        <w:rPr>
          <w:rFonts w:ascii="Times New Roman" w:cs="Times New Roman" w:eastAsia="Times New Roman" w:hAnsi="Times New Roman"/>
          <w:sz w:val="24"/>
          <w:szCs w:val="24"/>
        </w:rPr>
        <w:t xml:space="preserve">Robb, C. A., &amp; Woodyard, A. (2011). Financial knowledge and best practice behavior. Journal of Financial Counseling and Planning, 22(1), 60–70.</w:t>
      </w:r>
    </w:p>
    <w:p>
      <w:pPr>
        <w:spacing w:line="360" w:after="200"/>
        <w:jc w:val="left"/>
      </w:pPr>
      <w:r>
        <w:rPr>
          <w:rFonts w:ascii="Times New Roman" w:cs="Times New Roman" w:eastAsia="Times New Roman" w:hAnsi="Times New Roman"/>
          <w:sz w:val="24"/>
          <w:szCs w:val="24"/>
        </w:rPr>
        <w:t xml:space="preserve">Stango, V., &amp; Zinman, J. (2009). Exponential growth bias and household finance. Journal of Finance, 64(6), 2807–2849.</w:t>
      </w:r>
    </w:p>
    <w:p>
      <w:pPr>
        <w:spacing w:line="360" w:after="200"/>
        <w:jc w:val="left"/>
      </w:pPr>
      <w:r>
        <w:rPr>
          <w:rFonts w:ascii="Times New Roman" w:cs="Times New Roman" w:eastAsia="Times New Roman" w:hAnsi="Times New Roman"/>
          <w:sz w:val="24"/>
          <w:szCs w:val="24"/>
        </w:rPr>
        <w:t xml:space="preserve">Sweeney, L. (2000). Simple demographics often identify people uniquely (Carnegie Mellon University Data Privacy Working Paper No. 3).</w:t>
      </w:r>
    </w:p>
    <w:p>
      <w:pPr>
        <w:spacing w:line="360" w:after="200"/>
        <w:jc w:val="left"/>
      </w:pPr>
      <w:r>
        <w:rPr>
          <w:rFonts w:ascii="Times New Roman" w:cs="Times New Roman" w:eastAsia="Times New Roman" w:hAnsi="Times New Roman"/>
          <w:sz w:val="24"/>
          <w:szCs w:val="24"/>
        </w:rPr>
        <w:t xml:space="preserve">van Rooij, M., Lusardi, A., &amp; Alessie, R. (2011). Financial literacy and stock market participation. Journal of Financial Economics, 101(2), 449–472.</w:t>
      </w:r>
    </w:p>
    <w:p>
      <w:pPr>
        <w:spacing w:line="360" w:after="200"/>
        <w:jc w:val="left"/>
      </w:pPr>
      <w:r>
        <w:rPr>
          <w:rFonts w:ascii="Times New Roman" w:cs="Times New Roman" w:eastAsia="Times New Roman" w:hAnsi="Times New Roman"/>
          <w:sz w:val="24"/>
          <w:szCs w:val="24"/>
        </w:rPr>
        <w:t xml:space="preserve">Wagner, J., &amp; Walstad, W. B. (2019). The effects of financial education on short-term and long-term financial behaviors. Journal of Consumer Affairs, 53(1), 234–259.</w:t>
      </w:r>
    </w:p>
    <w:p>
      <w:pPr>
        <w:spacing w:line="360" w:after="200"/>
        <w:jc w:val="left"/>
      </w:pPr>
      <w:r>
        <w:rPr>
          <w:rFonts w:ascii="Times New Roman" w:cs="Times New Roman" w:eastAsia="Times New Roman" w:hAnsi="Times New Roman"/>
          <w:sz w:val="24"/>
          <w:szCs w:val="24"/>
        </w:rPr>
        <w:t xml:space="preserve">Willis, L. E. (2011). The financial education fallacy. American Economic Review, 101(3), 429–434.</w:t>
      </w:r>
    </w:p>
    <w:p>
      <w:pPr>
        <w:spacing w:line="360" w:after="200"/>
        <w:jc w:val="left"/>
      </w:pPr>
      <w:r>
        <w:rPr>
          <w:rFonts w:ascii="Times New Roman" w:cs="Times New Roman" w:eastAsia="Times New Roman" w:hAnsi="Times New Roman"/>
          <w:sz w:val="24"/>
          <w:szCs w:val="24"/>
        </w:rPr>
        <w:t xml:space="preserve">Yavuz, F. (2025). Utilizing large language models for EFL essay grading: An examination of reliability and validity in rubric-based assessments. British Journal of Educational Technology, 56(2), 487–506.</w:t>
      </w:r>
    </w:p>
    <w:p>
      <w:r>
        <w:br w:type="page"/>
      </w:r>
    </w:p>
    <w:p>
      <w:pPr>
        <w:pStyle w:val="Heading1"/>
      </w:pPr>
      <w:r>
        <w:t xml:space="preserve">Declaration of AI and AI-Assisted Technologies</w:t>
      </w:r>
    </w:p>
    <w:p>
      <w:pPr>
        <w:spacing w:line="360" w:after="200"/>
        <w:jc w:val="left"/>
      </w:pPr>
      <w:r>
        <w:rPr>
          <w:rFonts w:ascii="Times New Roman" w:cs="Times New Roman" w:eastAsia="Times New Roman" w:hAnsi="Times New Roman"/>
          <w:sz w:val="24"/>
          <w:szCs w:val="24"/>
        </w:rPr>
        <w:t xml:space="preserve">This study employed AI tools in three capacities, disclosed here in accordance with current best-practice guidelines for transparency in academic publishing (COPE, 2023; AMEE Guide No. 192, 2025).</w:t>
      </w:r>
    </w:p>
    <w:p>
      <w:pPr>
        <w:spacing w:line="360" w:after="200"/>
      </w:pPr>
      <w:r>
        <w:rPr>
          <w:rFonts w:ascii="Times New Roman" w:cs="Times New Roman" w:eastAsia="Times New Roman" w:hAnsi="Times New Roman"/>
          <w:b/>
          <w:bCs/>
          <w:sz w:val="24"/>
          <w:szCs w:val="24"/>
        </w:rPr>
        <w:t xml:space="preserve">1. Assessment platform development. </w:t>
      </w:r>
      <w:r>
        <w:rPr>
          <w:rFonts w:ascii="Times New Roman" w:cs="Times New Roman" w:eastAsia="Times New Roman" w:hAnsi="Times New Roman"/>
          <w:sz w:val="24"/>
          <w:szCs w:val="24"/>
        </w:rPr>
        <w:t xml:space="preserve">AI-assisted coding tools (GitHub Copilot, Claude Code) were used during development of the web-based assessment platform to accelerate implementation of the user interface, data collection logic, and adaptive routing algorithm. All platform functionality was independently tested and validated by the research team prior to deployment. The complete source code is publicly available for inspection in the project repository (Boulaid, 2026).</w:t>
      </w:r>
    </w:p>
    <w:p>
      <w:pPr>
        <w:spacing w:line="360" w:after="200"/>
      </w:pPr>
      <w:r>
        <w:rPr>
          <w:rFonts w:ascii="Times New Roman" w:cs="Times New Roman" w:eastAsia="Times New Roman" w:hAnsi="Times New Roman"/>
          <w:b/>
          <w:bCs/>
          <w:sz w:val="24"/>
          <w:szCs w:val="24"/>
        </w:rPr>
        <w:t xml:space="preserve">2. Open-ended response scoring. </w:t>
      </w:r>
      <w:r>
        <w:rPr>
          <w:rFonts w:ascii="Times New Roman" w:cs="Times New Roman" w:eastAsia="Times New Roman" w:hAnsi="Times New Roman"/>
          <w:sz w:val="24"/>
          <w:szCs w:val="24"/>
        </w:rPr>
        <w:t xml:space="preserve">GPT-4.1 (OpenAI), accessed via the OpenRouter API, served as the automated scoring engine for classifying open-ended student responses into the three-way taxonomy (misconception, knowledge gap, selection error). The model was selected from among 11 candidate LLMs through a multi-model concordance protocol (Appendix D). The scoring rubric, item-specific prompts, misconception taxonomy, and calibration examples were developed entirely by the research team based on manual analysis of 931 student responses. Low-confidence classifications were flagged for human adjudication by the course instructor. This methodological use of LLM-based scoring follows established practices in educational assessment (Mizumoto &amp; Eguchi, 2024; Yavuz, 2025) and is detailed in Section 4.2.3.</w:t>
      </w:r>
    </w:p>
    <w:p>
      <w:pPr>
        <w:spacing w:line="360" w:after="200"/>
      </w:pPr>
      <w:r>
        <w:rPr>
          <w:rFonts w:ascii="Times New Roman" w:cs="Times New Roman" w:eastAsia="Times New Roman" w:hAnsi="Times New Roman"/>
          <w:b/>
          <w:bCs/>
          <w:sz w:val="24"/>
          <w:szCs w:val="24"/>
        </w:rPr>
        <w:t xml:space="preserve">3. Manuscript preparation. </w:t>
      </w:r>
      <w:r>
        <w:rPr>
          <w:rFonts w:ascii="Times New Roman" w:cs="Times New Roman" w:eastAsia="Times New Roman" w:hAnsi="Times New Roman"/>
          <w:sz w:val="24"/>
          <w:szCs w:val="24"/>
        </w:rPr>
        <w:t xml:space="preserve">Generative AI tools assisted with drafting, editing, and formatting portions of this manuscript. All content was reviewed, revised, and verified by the authors, who take full responsibility for the accuracy and integrity of the publication.</w:t>
      </w:r>
    </w:p>
    <w:p>
      <w:r>
        <w:br w:type="page"/>
      </w:r>
    </w:p>
    <w:p>
      <w:pPr>
        <w:pStyle w:val="Heading1"/>
      </w:pPr>
      <w:r>
        <w:t xml:space="preserve">Appendix A: SDM-10 Selection Algorithm and Burden Controls</w:t>
      </w:r>
    </w:p>
    <w:p>
      <w:pPr>
        <w:spacing w:line="360" w:after="200"/>
        <w:jc w:val="left"/>
      </w:pPr>
      <w:r>
        <w:rPr>
          <w:rFonts w:ascii="Times New Roman" w:cs="Times New Roman" w:eastAsia="Times New Roman" w:hAnsi="Times New Roman"/>
          <w:sz w:val="24"/>
          <w:szCs w:val="24"/>
        </w:rPr>
        <w:t xml:space="preserve">The SDM-10 module uses a deterministic, rule-based selection algorithm to choose 10 diagnostic items for each student. This appendix presents the complete specification of burden controls, scoring, variant assignment, selection phases, and classification rules.</w:t>
      </w:r>
    </w:p>
    <w:p>
      <w:pPr>
        <w:spacing w:before="240" w:after="120"/>
        <w:jc w:val="center"/>
      </w:pPr>
      <w:r>
        <w:rPr>
          <w:rFonts w:ascii="Times New Roman" w:cs="Times New Roman" w:eastAsia="Times New Roman" w:hAnsi="Times New Roman"/>
          <w:b/>
          <w:bCs/>
          <w:i/>
          <w:iCs/>
          <w:sz w:val="22"/>
          <w:szCs w:val="22"/>
        </w:rPr>
        <w:t xml:space="preserve">Table A.1. SDM-10 Burden Control Rules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3120"/>
        <w:gridCol w:w="6240"/>
      </w:tblGrid>
      <w:tr>
        <w:trPr>
          <w:tblHeader/>
        </w:trPr>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Control</w:t>
            </w:r>
          </w:p>
        </w:tc>
        <w:tc>
          <w:tcPr>
            <w:tcW w:type="dxa" w:w="6240"/>
            <w:shd w:fill="D5E8F0" w:color="auto" w:val="clear"/>
            <w:vAlign w:val="center"/>
          </w:tcPr>
          <w:p>
            <w:pPr>
              <w:jc w:val="center"/>
            </w:pPr>
            <w:r>
              <w:rPr>
                <w:rFonts w:ascii="Times New Roman" w:cs="Times New Roman" w:eastAsia="Times New Roman" w:hAnsi="Times New Roman"/>
                <w:b/>
                <w:bCs/>
                <w:sz w:val="22"/>
                <w:szCs w:val="22"/>
              </w:rPr>
              <w:t xml:space="preserve">Rule</w:t>
            </w:r>
          </w:p>
        </w:tc>
      </w:tr>
      <w:tr>
        <w:tc>
          <w:tcPr>
            <w:tcW w:type="dxa" w:w="3120"/>
            <w:vAlign w:val="center"/>
          </w:tcPr>
          <w:p>
            <w:pPr>
              <w:jc w:val="center"/>
            </w:pPr>
            <w:r>
              <w:rPr>
                <w:rFonts w:ascii="Times New Roman" w:cs="Times New Roman" w:eastAsia="Times New Roman" w:hAnsi="Times New Roman"/>
                <w:sz w:val="22"/>
                <w:szCs w:val="22"/>
              </w:rPr>
              <w:t xml:space="preserve">SDM size</w:t>
            </w:r>
          </w:p>
        </w:tc>
        <w:tc>
          <w:tcPr>
            <w:tcW w:type="dxa" w:w="6240"/>
            <w:vAlign w:val="center"/>
          </w:tcPr>
          <w:p>
            <w:pPr>
              <w:jc w:val="center"/>
            </w:pPr>
            <w:r>
              <w:rPr>
                <w:rFonts w:ascii="Times New Roman" w:cs="Times New Roman" w:eastAsia="Times New Roman" w:hAnsi="Times New Roman"/>
                <w:sz w:val="22"/>
                <w:szCs w:val="22"/>
              </w:rPr>
              <w:t xml:space="preserve">Fixed 10 items after 40 anchor questions</w:t>
            </w:r>
          </w:p>
        </w:tc>
      </w:tr>
      <w:tr>
        <w:tc>
          <w:tcPr>
            <w:tcW w:type="dxa" w:w="3120"/>
            <w:vAlign w:val="center"/>
          </w:tcPr>
          <w:p>
            <w:pPr>
              <w:jc w:val="center"/>
            </w:pPr>
            <w:r>
              <w:rPr>
                <w:rFonts w:ascii="Times New Roman" w:cs="Times New Roman" w:eastAsia="Times New Roman" w:hAnsi="Times New Roman"/>
                <w:sz w:val="22"/>
                <w:szCs w:val="22"/>
              </w:rPr>
              <w:t xml:space="preserve">Selection basis</w:t>
            </w:r>
          </w:p>
        </w:tc>
        <w:tc>
          <w:tcPr>
            <w:tcW w:type="dxa" w:w="6240"/>
            <w:vAlign w:val="center"/>
          </w:tcPr>
          <w:p>
            <w:pPr>
              <w:jc w:val="center"/>
            </w:pPr>
            <w:r>
              <w:rPr>
                <w:rFonts w:ascii="Times New Roman" w:cs="Times New Roman" w:eastAsia="Times New Roman" w:hAnsi="Times New Roman"/>
                <w:sz w:val="22"/>
                <w:szCs w:val="22"/>
              </w:rPr>
              <w:t xml:space="preserve">Ranked by Need score (0–5) at subcategory level</w:t>
            </w:r>
          </w:p>
        </w:tc>
      </w:tr>
      <w:tr>
        <w:tc>
          <w:tcPr>
            <w:tcW w:type="dxa" w:w="3120"/>
            <w:vAlign w:val="center"/>
          </w:tcPr>
          <w:p>
            <w:pPr>
              <w:jc w:val="center"/>
            </w:pPr>
            <w:r>
              <w:rPr>
                <w:rFonts w:ascii="Times New Roman" w:cs="Times New Roman" w:eastAsia="Times New Roman" w:hAnsi="Times New Roman"/>
                <w:sz w:val="22"/>
                <w:szCs w:val="22"/>
              </w:rPr>
              <w:t xml:space="preserve">Domain balance</w:t>
            </w:r>
          </w:p>
        </w:tc>
        <w:tc>
          <w:tcPr>
            <w:tcW w:type="dxa" w:w="6240"/>
            <w:vAlign w:val="center"/>
          </w:tcPr>
          <w:p>
            <w:pPr>
              <w:jc w:val="center"/>
            </w:pPr>
            <w:r>
              <w:rPr>
                <w:rFonts w:ascii="Times New Roman" w:cs="Times New Roman" w:eastAsia="Times New Roman" w:hAnsi="Times New Roman"/>
                <w:sz w:val="22"/>
                <w:szCs w:val="22"/>
              </w:rPr>
              <w:t xml:space="preserve">At least 2 items per scoring domain</w:t>
            </w:r>
          </w:p>
        </w:tc>
      </w:tr>
      <w:tr>
        <w:tc>
          <w:tcPr>
            <w:tcW w:type="dxa" w:w="3120"/>
            <w:vAlign w:val="center"/>
          </w:tcPr>
          <w:p>
            <w:pPr>
              <w:jc w:val="center"/>
            </w:pPr>
            <w:r>
              <w:rPr>
                <w:rFonts w:ascii="Times New Roman" w:cs="Times New Roman" w:eastAsia="Times New Roman" w:hAnsi="Times New Roman"/>
                <w:sz w:val="22"/>
                <w:szCs w:val="22"/>
              </w:rPr>
              <w:t xml:space="preserve">Subcategory cap</w:t>
            </w:r>
          </w:p>
        </w:tc>
        <w:tc>
          <w:tcPr>
            <w:tcW w:type="dxa" w:w="6240"/>
            <w:vAlign w:val="center"/>
          </w:tcPr>
          <w:p>
            <w:pPr>
              <w:jc w:val="center"/>
            </w:pPr>
            <w:r>
              <w:rPr>
                <w:rFonts w:ascii="Times New Roman" w:cs="Times New Roman" w:eastAsia="Times New Roman" w:hAnsi="Times New Roman"/>
                <w:sz w:val="22"/>
                <w:szCs w:val="22"/>
              </w:rPr>
              <w:t xml:space="preserve">Max 2 SDM items per subcategory</w:t>
            </w:r>
          </w:p>
        </w:tc>
      </w:tr>
      <w:tr>
        <w:tc>
          <w:tcPr>
            <w:tcW w:type="dxa" w:w="3120"/>
            <w:vAlign w:val="center"/>
          </w:tcPr>
          <w:p>
            <w:pPr>
              <w:jc w:val="center"/>
            </w:pPr>
            <w:r>
              <w:rPr>
                <w:rFonts w:ascii="Times New Roman" w:cs="Times New Roman" w:eastAsia="Times New Roman" w:hAnsi="Times New Roman"/>
                <w:sz w:val="22"/>
                <w:szCs w:val="22"/>
              </w:rPr>
              <w:t xml:space="preserve">Open-ended cap</w:t>
            </w:r>
          </w:p>
        </w:tc>
        <w:tc>
          <w:tcPr>
            <w:tcW w:type="dxa" w:w="6240"/>
            <w:vAlign w:val="center"/>
          </w:tcPr>
          <w:p>
            <w:pPr>
              <w:jc w:val="center"/>
            </w:pPr>
            <w:r>
              <w:rPr>
                <w:rFonts w:ascii="Times New Roman" w:cs="Times New Roman" w:eastAsia="Times New Roman" w:hAnsi="Times New Roman"/>
                <w:sz w:val="22"/>
                <w:szCs w:val="22"/>
              </w:rPr>
              <w:t xml:space="preserve">Max 3 open-ended items per student</w:t>
            </w:r>
          </w:p>
        </w:tc>
      </w:tr>
      <w:tr>
        <w:tc>
          <w:tcPr>
            <w:tcW w:type="dxa" w:w="3120"/>
            <w:vAlign w:val="center"/>
          </w:tcPr>
          <w:p>
            <w:pPr>
              <w:jc w:val="center"/>
            </w:pPr>
            <w:r>
              <w:rPr>
                <w:rFonts w:ascii="Times New Roman" w:cs="Times New Roman" w:eastAsia="Times New Roman" w:hAnsi="Times New Roman"/>
                <w:sz w:val="22"/>
                <w:szCs w:val="22"/>
              </w:rPr>
              <w:t xml:space="preserve">Format fallback</w:t>
            </w:r>
          </w:p>
        </w:tc>
        <w:tc>
          <w:tcPr>
            <w:tcW w:type="dxa" w:w="6240"/>
            <w:vAlign w:val="center"/>
          </w:tcPr>
          <w:p>
            <w:pPr>
              <w:jc w:val="center"/>
            </w:pPr>
            <w:r>
              <w:rPr>
                <w:rFonts w:ascii="Times New Roman" w:cs="Times New Roman" w:eastAsia="Times New Roman" w:hAnsi="Times New Roman"/>
                <w:sz w:val="22"/>
                <w:szCs w:val="22"/>
              </w:rPr>
              <w:t xml:space="preserve">Open_Diagnose → Lower_MCQ; Open_Confirm → Same_MCQ</w:t>
            </w:r>
          </w:p>
        </w:tc>
      </w:tr>
      <w:tr>
        <w:tc>
          <w:tcPr>
            <w:tcW w:type="dxa" w:w="3120"/>
            <w:vAlign w:val="center"/>
          </w:tcPr>
          <w:p>
            <w:pPr>
              <w:jc w:val="center"/>
            </w:pPr>
            <w:r>
              <w:rPr>
                <w:rFonts w:ascii="Times New Roman" w:cs="Times New Roman" w:eastAsia="Times New Roman" w:hAnsi="Times New Roman"/>
                <w:sz w:val="22"/>
                <w:szCs w:val="22"/>
              </w:rPr>
              <w:t xml:space="preserve">Item source</w:t>
            </w:r>
          </w:p>
        </w:tc>
        <w:tc>
          <w:tcPr>
            <w:tcW w:type="dxa" w:w="6240"/>
            <w:vAlign w:val="center"/>
          </w:tcPr>
          <w:p>
            <w:pPr>
              <w:jc w:val="center"/>
            </w:pPr>
            <w:r>
              <w:rPr>
                <w:rFonts w:ascii="Times New Roman" w:cs="Times New Roman" w:eastAsia="Times New Roman" w:hAnsi="Times New Roman"/>
                <w:sz w:val="22"/>
                <w:szCs w:val="22"/>
              </w:rPr>
              <w:t xml:space="preserve">Pre-written 156-variant bank only</w:t>
            </w:r>
          </w:p>
        </w:tc>
      </w:tr>
      <w:tr>
        <w:tc>
          <w:tcPr>
            <w:tcW w:type="dxa" w:w="3120"/>
            <w:vAlign w:val="center"/>
          </w:tcPr>
          <w:p>
            <w:pPr>
              <w:jc w:val="center"/>
            </w:pPr>
            <w:r>
              <w:rPr>
                <w:rFonts w:ascii="Times New Roman" w:cs="Times New Roman" w:eastAsia="Times New Roman" w:hAnsi="Times New Roman"/>
                <w:sz w:val="22"/>
                <w:szCs w:val="22"/>
              </w:rPr>
              <w:t xml:space="preserve">Grading</w:t>
            </w:r>
          </w:p>
        </w:tc>
        <w:tc>
          <w:tcPr>
            <w:tcW w:type="dxa" w:w="6240"/>
            <w:vAlign w:val="center"/>
          </w:tcPr>
          <w:p>
            <w:pPr>
              <w:jc w:val="center"/>
            </w:pPr>
            <w:r>
              <w:rPr>
                <w:rFonts w:ascii="Times New Roman" w:cs="Times New Roman" w:eastAsia="Times New Roman" w:hAnsi="Times New Roman"/>
                <w:sz w:val="22"/>
                <w:szCs w:val="22"/>
              </w:rPr>
              <w:t xml:space="preserve">Diagnostic only (Model C); grade from 40 anchors only</w:t>
            </w:r>
          </w:p>
        </w:tc>
      </w:tr>
    </w:tbl>
    <w:p>
      <w:pPr>
        <w:spacing w:before="240" w:after="120"/>
        <w:jc w:val="center"/>
      </w:pPr>
      <w:r>
        <w:rPr>
          <w:rFonts w:ascii="Times New Roman" w:cs="Times New Roman" w:eastAsia="Times New Roman" w:hAnsi="Times New Roman"/>
          <w:b/>
          <w:bCs/>
          <w:i/>
          <w:iCs/>
          <w:sz w:val="22"/>
          <w:szCs w:val="22"/>
        </w:rPr>
        <w:t xml:space="preserve">Table A.2. Need Score Mapping (Correctness × Confidence × Format)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872"/>
        <w:gridCol w:w="1872"/>
        <w:gridCol w:w="1872"/>
        <w:gridCol w:w="1872"/>
        <w:gridCol w:w="1872"/>
      </w:tblGrid>
      <w:tr>
        <w:trPr>
          <w:tblHeader/>
        </w:trPr>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Confidence</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Correct (MCQ)</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Correct (T/F)</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Incorrect (MCQ)</w:t>
            </w:r>
          </w:p>
        </w:tc>
        <w:tc>
          <w:tcPr>
            <w:tcW w:type="dxa" w:w="1872"/>
            <w:shd w:fill="D5E8F0" w:color="auto" w:val="clear"/>
            <w:vAlign w:val="center"/>
          </w:tcPr>
          <w:p>
            <w:pPr>
              <w:jc w:val="center"/>
            </w:pPr>
            <w:r>
              <w:rPr>
                <w:rFonts w:ascii="Times New Roman" w:cs="Times New Roman" w:eastAsia="Times New Roman" w:hAnsi="Times New Roman"/>
                <w:b/>
                <w:bCs/>
                <w:sz w:val="22"/>
                <w:szCs w:val="22"/>
              </w:rPr>
              <w:t xml:space="preserve">Incorrect (T/F)</w:t>
            </w:r>
          </w:p>
        </w:tc>
      </w:tr>
      <w:tr>
        <w:tc>
          <w:tcPr>
            <w:tcW w:type="dxa" w:w="1872"/>
            <w:vAlign w:val="center"/>
          </w:tcPr>
          <w:p>
            <w:pPr>
              <w:jc w:val="center"/>
            </w:pPr>
            <w:r>
              <w:rPr>
                <w:rFonts w:ascii="Times New Roman" w:cs="Times New Roman" w:eastAsia="Times New Roman" w:hAnsi="Times New Roman"/>
                <w:sz w:val="22"/>
                <w:szCs w:val="22"/>
              </w:rPr>
              <w:t xml:space="preserve">1 (Low)</w:t>
            </w:r>
          </w:p>
        </w:tc>
        <w:tc>
          <w:tcPr>
            <w:tcW w:type="dxa" w:w="1872"/>
            <w:vAlign w:val="center"/>
          </w:tcPr>
          <w:p>
            <w:pPr>
              <w:jc w:val="center"/>
            </w:pPr>
            <w:r>
              <w:rPr>
                <w:rFonts w:ascii="Times New Roman" w:cs="Times New Roman" w:eastAsia="Times New Roman" w:hAnsi="Times New Roman"/>
                <w:sz w:val="22"/>
                <w:szCs w:val="22"/>
              </w:rPr>
              <w:t xml:space="preserve">2</w:t>
            </w:r>
          </w:p>
        </w:tc>
        <w:tc>
          <w:tcPr>
            <w:tcW w:type="dxa" w:w="1872"/>
            <w:vAlign w:val="center"/>
          </w:tcPr>
          <w:p>
            <w:pPr>
              <w:jc w:val="center"/>
            </w:pPr>
            <w:r>
              <w:rPr>
                <w:rFonts w:ascii="Times New Roman" w:cs="Times New Roman" w:eastAsia="Times New Roman" w:hAnsi="Times New Roman"/>
                <w:sz w:val="22"/>
                <w:szCs w:val="22"/>
              </w:rPr>
              <w:t xml:space="preserve">3</w:t>
            </w:r>
          </w:p>
        </w:tc>
        <w:tc>
          <w:tcPr>
            <w:tcW w:type="dxa" w:w="1872"/>
            <w:vAlign w:val="center"/>
          </w:tcPr>
          <w:p>
            <w:pPr>
              <w:jc w:val="center"/>
            </w:pPr>
            <w:r>
              <w:rPr>
                <w:rFonts w:ascii="Times New Roman" w:cs="Times New Roman" w:eastAsia="Times New Roman" w:hAnsi="Times New Roman"/>
                <w:sz w:val="22"/>
                <w:szCs w:val="22"/>
              </w:rPr>
              <w:t xml:space="preserve">3</w:t>
            </w:r>
          </w:p>
        </w:tc>
        <w:tc>
          <w:tcPr>
            <w:tcW w:type="dxa" w:w="1872"/>
            <w:vAlign w:val="center"/>
          </w:tcPr>
          <w:p>
            <w:pPr>
              <w:jc w:val="center"/>
            </w:pPr>
            <w:r>
              <w:rPr>
                <w:rFonts w:ascii="Times New Roman" w:cs="Times New Roman" w:eastAsia="Times New Roman" w:hAnsi="Times New Roman"/>
                <w:sz w:val="22"/>
                <w:szCs w:val="22"/>
              </w:rPr>
              <w:t xml:space="preserve">3</w:t>
            </w:r>
          </w:p>
        </w:tc>
      </w:tr>
      <w:tr>
        <w:tc>
          <w:tcPr>
            <w:tcW w:type="dxa" w:w="1872"/>
            <w:vAlign w:val="center"/>
          </w:tcPr>
          <w:p>
            <w:pPr>
              <w:jc w:val="center"/>
            </w:pPr>
            <w:r>
              <w:rPr>
                <w:rFonts w:ascii="Times New Roman" w:cs="Times New Roman" w:eastAsia="Times New Roman" w:hAnsi="Times New Roman"/>
                <w:sz w:val="22"/>
                <w:szCs w:val="22"/>
              </w:rPr>
              <w:t xml:space="preserve">2 (Mid)</w:t>
            </w:r>
          </w:p>
        </w:tc>
        <w:tc>
          <w:tcPr>
            <w:tcW w:type="dxa" w:w="1872"/>
            <w:vAlign w:val="center"/>
          </w:tcPr>
          <w:p>
            <w:pPr>
              <w:jc w:val="center"/>
            </w:pPr>
            <w:r>
              <w:rPr>
                <w:rFonts w:ascii="Times New Roman" w:cs="Times New Roman" w:eastAsia="Times New Roman" w:hAnsi="Times New Roman"/>
                <w:sz w:val="22"/>
                <w:szCs w:val="22"/>
              </w:rPr>
              <w:t xml:space="preserve">1</w:t>
            </w:r>
          </w:p>
        </w:tc>
        <w:tc>
          <w:tcPr>
            <w:tcW w:type="dxa" w:w="1872"/>
            <w:vAlign w:val="center"/>
          </w:tcPr>
          <w:p>
            <w:pPr>
              <w:jc w:val="center"/>
            </w:pPr>
            <w:r>
              <w:rPr>
                <w:rFonts w:ascii="Times New Roman" w:cs="Times New Roman" w:eastAsia="Times New Roman" w:hAnsi="Times New Roman"/>
                <w:sz w:val="22"/>
                <w:szCs w:val="22"/>
              </w:rPr>
              <w:t xml:space="preserve">2</w:t>
            </w:r>
          </w:p>
        </w:tc>
        <w:tc>
          <w:tcPr>
            <w:tcW w:type="dxa" w:w="1872"/>
            <w:vAlign w:val="center"/>
          </w:tcPr>
          <w:p>
            <w:pPr>
              <w:jc w:val="center"/>
            </w:pPr>
            <w:r>
              <w:rPr>
                <w:rFonts w:ascii="Times New Roman" w:cs="Times New Roman" w:eastAsia="Times New Roman" w:hAnsi="Times New Roman"/>
                <w:sz w:val="22"/>
                <w:szCs w:val="22"/>
              </w:rPr>
              <w:t xml:space="preserve">4</w:t>
            </w:r>
          </w:p>
        </w:tc>
        <w:tc>
          <w:tcPr>
            <w:tcW w:type="dxa" w:w="1872"/>
            <w:vAlign w:val="center"/>
          </w:tcPr>
          <w:p>
            <w:pPr>
              <w:jc w:val="center"/>
            </w:pPr>
            <w:r>
              <w:rPr>
                <w:rFonts w:ascii="Times New Roman" w:cs="Times New Roman" w:eastAsia="Times New Roman" w:hAnsi="Times New Roman"/>
                <w:sz w:val="22"/>
                <w:szCs w:val="22"/>
              </w:rPr>
              <w:t xml:space="preserve">4</w:t>
            </w:r>
          </w:p>
        </w:tc>
      </w:tr>
      <w:tr>
        <w:tc>
          <w:tcPr>
            <w:tcW w:type="dxa" w:w="1872"/>
            <w:vAlign w:val="center"/>
          </w:tcPr>
          <w:p>
            <w:pPr>
              <w:jc w:val="center"/>
            </w:pPr>
            <w:r>
              <w:rPr>
                <w:rFonts w:ascii="Times New Roman" w:cs="Times New Roman" w:eastAsia="Times New Roman" w:hAnsi="Times New Roman"/>
                <w:sz w:val="22"/>
                <w:szCs w:val="22"/>
              </w:rPr>
              <w:t xml:space="preserve">3 (High)</w:t>
            </w:r>
          </w:p>
        </w:tc>
        <w:tc>
          <w:tcPr>
            <w:tcW w:type="dxa" w:w="1872"/>
            <w:vAlign w:val="center"/>
          </w:tcPr>
          <w:p>
            <w:pPr>
              <w:jc w:val="center"/>
            </w:pPr>
            <w:r>
              <w:rPr>
                <w:rFonts w:ascii="Times New Roman" w:cs="Times New Roman" w:eastAsia="Times New Roman" w:hAnsi="Times New Roman"/>
                <w:sz w:val="22"/>
                <w:szCs w:val="22"/>
              </w:rPr>
              <w:t xml:space="preserve">0</w:t>
            </w:r>
          </w:p>
        </w:tc>
        <w:tc>
          <w:tcPr>
            <w:tcW w:type="dxa" w:w="1872"/>
            <w:vAlign w:val="center"/>
          </w:tcPr>
          <w:p>
            <w:pPr>
              <w:jc w:val="center"/>
            </w:pPr>
            <w:r>
              <w:rPr>
                <w:rFonts w:ascii="Times New Roman" w:cs="Times New Roman" w:eastAsia="Times New Roman" w:hAnsi="Times New Roman"/>
                <w:sz w:val="22"/>
                <w:szCs w:val="22"/>
              </w:rPr>
              <w:t xml:space="preserve">0</w:t>
            </w:r>
          </w:p>
        </w:tc>
        <w:tc>
          <w:tcPr>
            <w:tcW w:type="dxa" w:w="1872"/>
            <w:vAlign w:val="center"/>
          </w:tcPr>
          <w:p>
            <w:pPr>
              <w:jc w:val="center"/>
            </w:pPr>
            <w:r>
              <w:rPr>
                <w:rFonts w:ascii="Times New Roman" w:cs="Times New Roman" w:eastAsia="Times New Roman" w:hAnsi="Times New Roman"/>
                <w:sz w:val="22"/>
                <w:szCs w:val="22"/>
              </w:rPr>
              <w:t xml:space="preserve">5</w:t>
            </w:r>
          </w:p>
        </w:tc>
        <w:tc>
          <w:tcPr>
            <w:tcW w:type="dxa" w:w="1872"/>
            <w:vAlign w:val="center"/>
          </w:tcPr>
          <w:p>
            <w:pPr>
              <w:jc w:val="center"/>
            </w:pPr>
            <w:r>
              <w:rPr>
                <w:rFonts w:ascii="Times New Roman" w:cs="Times New Roman" w:eastAsia="Times New Roman" w:hAnsi="Times New Roman"/>
                <w:sz w:val="22"/>
                <w:szCs w:val="22"/>
              </w:rPr>
              <w:t xml:space="preserve">5</w:t>
            </w:r>
          </w:p>
        </w:tc>
      </w:tr>
    </w:tbl>
    <w:p>
      <w:pPr>
        <w:spacing w:line="360" w:after="200"/>
        <w:jc w:val="left"/>
      </w:pPr>
      <w:r>
        <w:rPr>
          <w:rFonts w:ascii="Times New Roman" w:cs="Times New Roman" w:eastAsia="Times New Roman" w:hAnsi="Times New Roman"/>
          <w:sz w:val="24"/>
          <w:szCs w:val="24"/>
        </w:rPr>
        <w:t xml:space="preserve">The format-aware adjustment reflects differential guessing probability: True/False items have a 50% chance-level baseline versus approximately 25% for MCQ, so correct T/F responses at moderate confidence receive higher Need scores than equivalent MCQ responses.</w:t>
      </w:r>
    </w:p>
    <w:p>
      <w:pPr>
        <w:spacing w:before="240" w:after="120"/>
        <w:jc w:val="center"/>
      </w:pPr>
      <w:r>
        <w:rPr>
          <w:rFonts w:ascii="Times New Roman" w:cs="Times New Roman" w:eastAsia="Times New Roman" w:hAnsi="Times New Roman"/>
          <w:b/>
          <w:bCs/>
          <w:i/>
          <w:iCs/>
          <w:sz w:val="22"/>
          <w:szCs w:val="22"/>
        </w:rPr>
        <w:t xml:space="preserve">Table A.3. Variant Type Assignment Rules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3120"/>
        <w:gridCol w:w="3120"/>
        <w:gridCol w:w="3120"/>
      </w:tblGrid>
      <w:tr>
        <w:trPr>
          <w:tblHeader/>
        </w:trPr>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Anchor Pattern</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Variant Type</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Diagnostic Goal</w:t>
            </w:r>
          </w:p>
        </w:tc>
      </w:tr>
      <w:tr>
        <w:tc>
          <w:tcPr>
            <w:tcW w:type="dxa" w:w="3120"/>
            <w:vAlign w:val="center"/>
          </w:tcPr>
          <w:p>
            <w:pPr>
              <w:jc w:val="center"/>
            </w:pPr>
            <w:r>
              <w:rPr>
                <w:rFonts w:ascii="Times New Roman" w:cs="Times New Roman" w:eastAsia="Times New Roman" w:hAnsi="Times New Roman"/>
                <w:sz w:val="22"/>
                <w:szCs w:val="22"/>
              </w:rPr>
              <w:t xml:space="preserve">Incorrect + High conf.</w:t>
            </w:r>
          </w:p>
        </w:tc>
        <w:tc>
          <w:tcPr>
            <w:tcW w:type="dxa" w:w="3120"/>
            <w:vAlign w:val="center"/>
          </w:tcPr>
          <w:p>
            <w:pPr>
              <w:jc w:val="center"/>
            </w:pPr>
            <w:r>
              <w:rPr>
                <w:rFonts w:ascii="Times New Roman" w:cs="Times New Roman" w:eastAsia="Times New Roman" w:hAnsi="Times New Roman"/>
                <w:sz w:val="22"/>
                <w:szCs w:val="22"/>
              </w:rPr>
              <w:t xml:space="preserve">Open_Diagnose</w:t>
            </w:r>
          </w:p>
        </w:tc>
        <w:tc>
          <w:tcPr>
            <w:tcW w:type="dxa" w:w="3120"/>
            <w:vAlign w:val="center"/>
          </w:tcPr>
          <w:p>
            <w:pPr>
              <w:jc w:val="center"/>
            </w:pPr>
            <w:r>
              <w:rPr>
                <w:rFonts w:ascii="Times New Roman" w:cs="Times New Roman" w:eastAsia="Times New Roman" w:hAnsi="Times New Roman"/>
                <w:sz w:val="22"/>
                <w:szCs w:val="22"/>
              </w:rPr>
              <w:t xml:space="preserve">Surface misconception</w:t>
            </w:r>
          </w:p>
        </w:tc>
      </w:tr>
      <w:tr>
        <w:tc>
          <w:tcPr>
            <w:tcW w:type="dxa" w:w="3120"/>
            <w:vAlign w:val="center"/>
          </w:tcPr>
          <w:p>
            <w:pPr>
              <w:jc w:val="center"/>
            </w:pPr>
            <w:r>
              <w:rPr>
                <w:rFonts w:ascii="Times New Roman" w:cs="Times New Roman" w:eastAsia="Times New Roman" w:hAnsi="Times New Roman"/>
                <w:sz w:val="22"/>
                <w:szCs w:val="22"/>
              </w:rPr>
              <w:t xml:space="preserve">Incorrect + Mid conf.</w:t>
            </w:r>
          </w:p>
        </w:tc>
        <w:tc>
          <w:tcPr>
            <w:tcW w:type="dxa" w:w="3120"/>
            <w:vAlign w:val="center"/>
          </w:tcPr>
          <w:p>
            <w:pPr>
              <w:jc w:val="center"/>
            </w:pPr>
            <w:r>
              <w:rPr>
                <w:rFonts w:ascii="Times New Roman" w:cs="Times New Roman" w:eastAsia="Times New Roman" w:hAnsi="Times New Roman"/>
                <w:sz w:val="22"/>
                <w:szCs w:val="22"/>
              </w:rPr>
              <w:t xml:space="preserve">Lower_MCQ</w:t>
            </w:r>
          </w:p>
        </w:tc>
        <w:tc>
          <w:tcPr>
            <w:tcW w:type="dxa" w:w="3120"/>
            <w:vAlign w:val="center"/>
          </w:tcPr>
          <w:p>
            <w:pPr>
              <w:jc w:val="center"/>
            </w:pPr>
            <w:r>
              <w:rPr>
                <w:rFonts w:ascii="Times New Roman" w:cs="Times New Roman" w:eastAsia="Times New Roman" w:hAnsi="Times New Roman"/>
                <w:sz w:val="22"/>
                <w:szCs w:val="22"/>
              </w:rPr>
              <w:t xml:space="preserve">Test foundational understanding</w:t>
            </w:r>
          </w:p>
        </w:tc>
      </w:tr>
      <w:tr>
        <w:tc>
          <w:tcPr>
            <w:tcW w:type="dxa" w:w="3120"/>
            <w:vAlign w:val="center"/>
          </w:tcPr>
          <w:p>
            <w:pPr>
              <w:jc w:val="center"/>
            </w:pPr>
            <w:r>
              <w:rPr>
                <w:rFonts w:ascii="Times New Roman" w:cs="Times New Roman" w:eastAsia="Times New Roman" w:hAnsi="Times New Roman"/>
                <w:sz w:val="22"/>
                <w:szCs w:val="22"/>
              </w:rPr>
              <w:t xml:space="preserve">Incorrect + Low conf.</w:t>
            </w:r>
          </w:p>
        </w:tc>
        <w:tc>
          <w:tcPr>
            <w:tcW w:type="dxa" w:w="3120"/>
            <w:vAlign w:val="center"/>
          </w:tcPr>
          <w:p>
            <w:pPr>
              <w:jc w:val="center"/>
            </w:pPr>
            <w:r>
              <w:rPr>
                <w:rFonts w:ascii="Times New Roman" w:cs="Times New Roman" w:eastAsia="Times New Roman" w:hAnsi="Times New Roman"/>
                <w:sz w:val="22"/>
                <w:szCs w:val="22"/>
              </w:rPr>
              <w:t xml:space="preserve">Lower_TF</w:t>
            </w:r>
          </w:p>
        </w:tc>
        <w:tc>
          <w:tcPr>
            <w:tcW w:type="dxa" w:w="3120"/>
            <w:vAlign w:val="center"/>
          </w:tcPr>
          <w:p>
            <w:pPr>
              <w:jc w:val="center"/>
            </w:pPr>
            <w:r>
              <w:rPr>
                <w:rFonts w:ascii="Times New Roman" w:cs="Times New Roman" w:eastAsia="Times New Roman" w:hAnsi="Times New Roman"/>
                <w:sz w:val="22"/>
                <w:szCs w:val="22"/>
              </w:rPr>
              <w:t xml:space="preserve">Confirm basic recognition</w:t>
            </w:r>
          </w:p>
        </w:tc>
      </w:tr>
      <w:tr>
        <w:tc>
          <w:tcPr>
            <w:tcW w:type="dxa" w:w="3120"/>
            <w:vAlign w:val="center"/>
          </w:tcPr>
          <w:p>
            <w:pPr>
              <w:jc w:val="center"/>
            </w:pPr>
            <w:r>
              <w:rPr>
                <w:rFonts w:ascii="Times New Roman" w:cs="Times New Roman" w:eastAsia="Times New Roman" w:hAnsi="Times New Roman"/>
                <w:sz w:val="22"/>
                <w:szCs w:val="22"/>
              </w:rPr>
              <w:t xml:space="preserve">Correct + Low conf.</w:t>
            </w:r>
          </w:p>
        </w:tc>
        <w:tc>
          <w:tcPr>
            <w:tcW w:type="dxa" w:w="3120"/>
            <w:vAlign w:val="center"/>
          </w:tcPr>
          <w:p>
            <w:pPr>
              <w:jc w:val="center"/>
            </w:pPr>
            <w:r>
              <w:rPr>
                <w:rFonts w:ascii="Times New Roman" w:cs="Times New Roman" w:eastAsia="Times New Roman" w:hAnsi="Times New Roman"/>
                <w:sz w:val="22"/>
                <w:szCs w:val="22"/>
              </w:rPr>
              <w:t xml:space="preserve">Open_Confirm</w:t>
            </w:r>
          </w:p>
        </w:tc>
        <w:tc>
          <w:tcPr>
            <w:tcW w:type="dxa" w:w="3120"/>
            <w:vAlign w:val="center"/>
          </w:tcPr>
          <w:p>
            <w:pPr>
              <w:jc w:val="center"/>
            </w:pPr>
            <w:r>
              <w:rPr>
                <w:rFonts w:ascii="Times New Roman" w:cs="Times New Roman" w:eastAsia="Times New Roman" w:hAnsi="Times New Roman"/>
                <w:sz w:val="22"/>
                <w:szCs w:val="22"/>
              </w:rPr>
              <w:t xml:space="preserve">Verify understanding vs. guessing</w:t>
            </w:r>
          </w:p>
        </w:tc>
      </w:tr>
      <w:tr>
        <w:tc>
          <w:tcPr>
            <w:tcW w:type="dxa" w:w="3120"/>
            <w:vAlign w:val="center"/>
          </w:tcPr>
          <w:p>
            <w:pPr>
              <w:jc w:val="center"/>
            </w:pPr>
            <w:r>
              <w:rPr>
                <w:rFonts w:ascii="Times New Roman" w:cs="Times New Roman" w:eastAsia="Times New Roman" w:hAnsi="Times New Roman"/>
                <w:sz w:val="22"/>
                <w:szCs w:val="22"/>
              </w:rPr>
              <w:t xml:space="preserve">Correct + Mid conf.</w:t>
            </w:r>
          </w:p>
        </w:tc>
        <w:tc>
          <w:tcPr>
            <w:tcW w:type="dxa" w:w="3120"/>
            <w:vAlign w:val="center"/>
          </w:tcPr>
          <w:p>
            <w:pPr>
              <w:jc w:val="center"/>
            </w:pPr>
            <w:r>
              <w:rPr>
                <w:rFonts w:ascii="Times New Roman" w:cs="Times New Roman" w:eastAsia="Times New Roman" w:hAnsi="Times New Roman"/>
                <w:sz w:val="22"/>
                <w:szCs w:val="22"/>
              </w:rPr>
              <w:t xml:space="preserve">Same_MCQ</w:t>
            </w:r>
          </w:p>
        </w:tc>
        <w:tc>
          <w:tcPr>
            <w:tcW w:type="dxa" w:w="3120"/>
            <w:vAlign w:val="center"/>
          </w:tcPr>
          <w:p>
            <w:pPr>
              <w:jc w:val="center"/>
            </w:pPr>
            <w:r>
              <w:rPr>
                <w:rFonts w:ascii="Times New Roman" w:cs="Times New Roman" w:eastAsia="Times New Roman" w:hAnsi="Times New Roman"/>
                <w:sz w:val="22"/>
                <w:szCs w:val="22"/>
              </w:rPr>
              <w:t xml:space="preserve">Confirm at same difficulty</w:t>
            </w:r>
          </w:p>
        </w:tc>
      </w:tr>
      <w:tr>
        <w:tc>
          <w:tcPr>
            <w:tcW w:type="dxa" w:w="3120"/>
            <w:vAlign w:val="center"/>
          </w:tcPr>
          <w:p>
            <w:pPr>
              <w:jc w:val="center"/>
            </w:pPr>
            <w:r>
              <w:rPr>
                <w:rFonts w:ascii="Times New Roman" w:cs="Times New Roman" w:eastAsia="Times New Roman" w:hAnsi="Times New Roman"/>
                <w:sz w:val="22"/>
                <w:szCs w:val="22"/>
              </w:rPr>
              <w:t xml:space="preserve">Correct + High conf.</w:t>
            </w:r>
          </w:p>
        </w:tc>
        <w:tc>
          <w:tcPr>
            <w:tcW w:type="dxa" w:w="3120"/>
            <w:vAlign w:val="center"/>
          </w:tcPr>
          <w:p>
            <w:pPr>
              <w:jc w:val="center"/>
            </w:pPr>
            <w:r>
              <w:rPr>
                <w:rFonts w:ascii="Times New Roman" w:cs="Times New Roman" w:eastAsia="Times New Roman" w:hAnsi="Times New Roman"/>
                <w:sz w:val="22"/>
                <w:szCs w:val="22"/>
              </w:rPr>
              <w:t xml:space="preserve">Higher_MCQ</w:t>
            </w:r>
          </w:p>
        </w:tc>
        <w:tc>
          <w:tcPr>
            <w:tcW w:type="dxa" w:w="3120"/>
            <w:vAlign w:val="center"/>
          </w:tcPr>
          <w:p>
            <w:pPr>
              <w:jc w:val="center"/>
            </w:pPr>
            <w:r>
              <w:rPr>
                <w:rFonts w:ascii="Times New Roman" w:cs="Times New Roman" w:eastAsia="Times New Roman" w:hAnsi="Times New Roman"/>
                <w:sz w:val="22"/>
                <w:szCs w:val="22"/>
              </w:rPr>
              <w:t xml:space="preserve">Probe deeper application</w:t>
            </w:r>
          </w:p>
        </w:tc>
      </w:tr>
    </w:tbl>
    <w:p>
      <w:pPr>
        <w:spacing w:before="240" w:after="120"/>
        <w:jc w:val="center"/>
      </w:pPr>
      <w:r>
        <w:rPr>
          <w:rFonts w:ascii="Times New Roman" w:cs="Times New Roman" w:eastAsia="Times New Roman" w:hAnsi="Times New Roman"/>
          <w:b/>
          <w:bCs/>
          <w:i/>
          <w:iCs/>
          <w:sz w:val="22"/>
          <w:szCs w:val="22"/>
        </w:rPr>
        <w:t xml:space="preserve">Table A.4. Three-Phase Selection Algorithm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2340"/>
        <w:gridCol w:w="2340"/>
        <w:gridCol w:w="4680"/>
      </w:tblGrid>
      <w:tr>
        <w:trPr>
          <w:tblHeader/>
        </w:trPr>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Phase</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Purpose</w:t>
            </w:r>
          </w:p>
        </w:tc>
        <w:tc>
          <w:tcPr>
            <w:tcW w:type="dxa" w:w="4680"/>
            <w:shd w:fill="D5E8F0" w:color="auto" w:val="clear"/>
            <w:vAlign w:val="center"/>
          </w:tcPr>
          <w:p>
            <w:pPr>
              <w:jc w:val="center"/>
            </w:pPr>
            <w:r>
              <w:rPr>
                <w:rFonts w:ascii="Times New Roman" w:cs="Times New Roman" w:eastAsia="Times New Roman" w:hAnsi="Times New Roman"/>
                <w:b/>
                <w:bCs/>
                <w:sz w:val="22"/>
                <w:szCs w:val="22"/>
              </w:rPr>
              <w:t xml:space="preserve">Logic</w:t>
            </w:r>
          </w:p>
        </w:tc>
      </w:tr>
      <w:tr>
        <w:tc>
          <w:tcPr>
            <w:tcW w:type="dxa" w:w="2340"/>
            <w:vAlign w:val="center"/>
          </w:tcPr>
          <w:p>
            <w:pPr>
              <w:jc w:val="center"/>
            </w:pPr>
            <w:r>
              <w:rPr>
                <w:rFonts w:ascii="Times New Roman" w:cs="Times New Roman" w:eastAsia="Times New Roman" w:hAnsi="Times New Roman"/>
                <w:sz w:val="22"/>
                <w:szCs w:val="22"/>
              </w:rPr>
              <w:t xml:space="preserve">1: Domain minimums</w:t>
            </w:r>
          </w:p>
        </w:tc>
        <w:tc>
          <w:tcPr>
            <w:tcW w:type="dxa" w:w="2340"/>
            <w:vAlign w:val="center"/>
          </w:tcPr>
          <w:p>
            <w:pPr>
              <w:jc w:val="center"/>
            </w:pPr>
            <w:r>
              <w:rPr>
                <w:rFonts w:ascii="Times New Roman" w:cs="Times New Roman" w:eastAsia="Times New Roman" w:hAnsi="Times New Roman"/>
                <w:sz w:val="22"/>
                <w:szCs w:val="22"/>
              </w:rPr>
              <w:t xml:space="preserve">Ensure coverage</w:t>
            </w:r>
          </w:p>
        </w:tc>
        <w:tc>
          <w:tcPr>
            <w:tcW w:type="dxa" w:w="4680"/>
            <w:vAlign w:val="center"/>
          </w:tcPr>
          <w:p>
            <w:pPr>
              <w:jc w:val="center"/>
            </w:pPr>
            <w:r>
              <w:rPr>
                <w:rFonts w:ascii="Times New Roman" w:cs="Times New Roman" w:eastAsia="Times New Roman" w:hAnsi="Times New Roman"/>
                <w:sz w:val="22"/>
                <w:szCs w:val="22"/>
              </w:rPr>
              <w:t xml:space="preserve">Top-Need item from each domain until each has ≥ 2</w:t>
            </w:r>
          </w:p>
        </w:tc>
      </w:tr>
      <w:tr>
        <w:tc>
          <w:tcPr>
            <w:tcW w:type="dxa" w:w="2340"/>
            <w:vAlign w:val="center"/>
          </w:tcPr>
          <w:p>
            <w:pPr>
              <w:jc w:val="center"/>
            </w:pPr>
            <w:r>
              <w:rPr>
                <w:rFonts w:ascii="Times New Roman" w:cs="Times New Roman" w:eastAsia="Times New Roman" w:hAnsi="Times New Roman"/>
                <w:sz w:val="22"/>
                <w:szCs w:val="22"/>
              </w:rPr>
              <w:t xml:space="preserve">2: Need-based filling</w:t>
            </w:r>
          </w:p>
        </w:tc>
        <w:tc>
          <w:tcPr>
            <w:tcW w:type="dxa" w:w="2340"/>
            <w:vAlign w:val="center"/>
          </w:tcPr>
          <w:p>
            <w:pPr>
              <w:jc w:val="center"/>
            </w:pPr>
            <w:r>
              <w:rPr>
                <w:rFonts w:ascii="Times New Roman" w:cs="Times New Roman" w:eastAsia="Times New Roman" w:hAnsi="Times New Roman"/>
                <w:sz w:val="22"/>
                <w:szCs w:val="22"/>
              </w:rPr>
              <w:t xml:space="preserve">Maximize diagnostic value</w:t>
            </w:r>
          </w:p>
        </w:tc>
        <w:tc>
          <w:tcPr>
            <w:tcW w:type="dxa" w:w="4680"/>
            <w:vAlign w:val="center"/>
          </w:tcPr>
          <w:p>
            <w:pPr>
              <w:jc w:val="center"/>
            </w:pPr>
            <w:r>
              <w:rPr>
                <w:rFonts w:ascii="Times New Roman" w:cs="Times New Roman" w:eastAsia="Times New Roman" w:hAnsi="Times New Roman"/>
                <w:sz w:val="22"/>
                <w:szCs w:val="22"/>
              </w:rPr>
              <w:t xml:space="preserve">Fill remaining slots in descending Need order</w:t>
            </w:r>
          </w:p>
        </w:tc>
      </w:tr>
      <w:tr>
        <w:tc>
          <w:tcPr>
            <w:tcW w:type="dxa" w:w="2340"/>
            <w:vAlign w:val="center"/>
          </w:tcPr>
          <w:p>
            <w:pPr>
              <w:jc w:val="center"/>
            </w:pPr>
            <w:r>
              <w:rPr>
                <w:rFonts w:ascii="Times New Roman" w:cs="Times New Roman" w:eastAsia="Times New Roman" w:hAnsi="Times New Roman"/>
                <w:sz w:val="22"/>
                <w:szCs w:val="22"/>
              </w:rPr>
              <w:t xml:space="preserve">3: Mastery fallback</w:t>
            </w:r>
          </w:p>
        </w:tc>
        <w:tc>
          <w:tcPr>
            <w:tcW w:type="dxa" w:w="2340"/>
            <w:vAlign w:val="center"/>
          </w:tcPr>
          <w:p>
            <w:pPr>
              <w:jc w:val="center"/>
            </w:pPr>
            <w:r>
              <w:rPr>
                <w:rFonts w:ascii="Times New Roman" w:cs="Times New Roman" w:eastAsia="Times New Roman" w:hAnsi="Times New Roman"/>
                <w:sz w:val="22"/>
                <w:szCs w:val="22"/>
              </w:rPr>
              <w:t xml:space="preserve">Avoid empty slots</w:t>
            </w:r>
          </w:p>
        </w:tc>
        <w:tc>
          <w:tcPr>
            <w:tcW w:type="dxa" w:w="4680"/>
            <w:vAlign w:val="center"/>
          </w:tcPr>
          <w:p>
            <w:pPr>
              <w:jc w:val="center"/>
            </w:pPr>
            <w:r>
              <w:rPr>
                <w:rFonts w:ascii="Times New Roman" w:cs="Times New Roman" w:eastAsia="Times New Roman" w:hAnsi="Times New Roman"/>
                <w:sz w:val="22"/>
                <w:szCs w:val="22"/>
              </w:rPr>
              <w:t xml:space="preserve">Add mastery items from strongest subcategories</w:t>
            </w:r>
          </w:p>
        </w:tc>
      </w:tr>
    </w:tbl>
    <w:p>
      <w:pPr>
        <w:spacing w:before="240" w:after="120"/>
        <w:jc w:val="center"/>
      </w:pPr>
      <w:r>
        <w:rPr>
          <w:rFonts w:ascii="Times New Roman" w:cs="Times New Roman" w:eastAsia="Times New Roman" w:hAnsi="Times New Roman"/>
          <w:b/>
          <w:bCs/>
          <w:i/>
          <w:iCs/>
          <w:sz w:val="22"/>
          <w:szCs w:val="22"/>
        </w:rPr>
        <w:t xml:space="preserve">Table A.5. Tiebreaker Hierarchy (Equal Need Scores)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3120"/>
        <w:gridCol w:w="468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Priority</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Criterion</w:t>
            </w:r>
          </w:p>
        </w:tc>
        <w:tc>
          <w:tcPr>
            <w:tcW w:type="dxa" w:w="4680"/>
            <w:shd w:fill="D5E8F0" w:color="auto" w:val="clear"/>
            <w:vAlign w:val="center"/>
          </w:tcPr>
          <w:p>
            <w:pPr>
              <w:jc w:val="center"/>
            </w:pPr>
            <w:r>
              <w:rPr>
                <w:rFonts w:ascii="Times New Roman" w:cs="Times New Roman" w:eastAsia="Times New Roman" w:hAnsi="Times New Roman"/>
                <w:b/>
                <w:bCs/>
                <w:sz w:val="22"/>
                <w:szCs w:val="22"/>
              </w:rPr>
              <w:t xml:space="preserve">Rule</w:t>
            </w:r>
          </w:p>
        </w:tc>
      </w:tr>
      <w:tr>
        <w:tc>
          <w:tcPr>
            <w:tcW w:type="dxa" w:w="1560"/>
            <w:vAlign w:val="center"/>
          </w:tcPr>
          <w:p>
            <w:pPr>
              <w:jc w:val="center"/>
            </w:pPr>
            <w:r>
              <w:rPr>
                <w:rFonts w:ascii="Times New Roman" w:cs="Times New Roman" w:eastAsia="Times New Roman" w:hAnsi="Times New Roman"/>
                <w:sz w:val="22"/>
                <w:szCs w:val="22"/>
              </w:rPr>
              <w:t xml:space="preserve">1</w:t>
            </w:r>
          </w:p>
        </w:tc>
        <w:tc>
          <w:tcPr>
            <w:tcW w:type="dxa" w:w="3120"/>
            <w:vAlign w:val="center"/>
          </w:tcPr>
          <w:p>
            <w:pPr>
              <w:jc w:val="center"/>
            </w:pPr>
            <w:r>
              <w:rPr>
                <w:rFonts w:ascii="Times New Roman" w:cs="Times New Roman" w:eastAsia="Times New Roman" w:hAnsi="Times New Roman"/>
                <w:sz w:val="22"/>
                <w:szCs w:val="22"/>
              </w:rPr>
              <w:t xml:space="preserve">Domain deficit</w:t>
            </w:r>
          </w:p>
        </w:tc>
        <w:tc>
          <w:tcPr>
            <w:tcW w:type="dxa" w:w="4680"/>
            <w:vAlign w:val="center"/>
          </w:tcPr>
          <w:p>
            <w:pPr>
              <w:jc w:val="center"/>
            </w:pPr>
            <w:r>
              <w:rPr>
                <w:rFonts w:ascii="Times New Roman" w:cs="Times New Roman" w:eastAsia="Times New Roman" w:hAnsi="Times New Roman"/>
                <w:sz w:val="22"/>
                <w:szCs w:val="22"/>
              </w:rPr>
              <w:t xml:space="preserve">Favor domain with fewer items selected</w:t>
            </w:r>
          </w:p>
        </w:tc>
      </w:tr>
      <w:tr>
        <w:tc>
          <w:tcPr>
            <w:tcW w:type="dxa" w:w="1560"/>
            <w:vAlign w:val="center"/>
          </w:tcPr>
          <w:p>
            <w:pPr>
              <w:jc w:val="center"/>
            </w:pPr>
            <w:r>
              <w:rPr>
                <w:rFonts w:ascii="Times New Roman" w:cs="Times New Roman" w:eastAsia="Times New Roman" w:hAnsi="Times New Roman"/>
                <w:sz w:val="22"/>
                <w:szCs w:val="22"/>
              </w:rPr>
              <w:t xml:space="preserve">2</w:t>
            </w:r>
          </w:p>
        </w:tc>
        <w:tc>
          <w:tcPr>
            <w:tcW w:type="dxa" w:w="3120"/>
            <w:vAlign w:val="center"/>
          </w:tcPr>
          <w:p>
            <w:pPr>
              <w:jc w:val="center"/>
            </w:pPr>
            <w:r>
              <w:rPr>
                <w:rFonts w:ascii="Times New Roman" w:cs="Times New Roman" w:eastAsia="Times New Roman" w:hAnsi="Times New Roman"/>
                <w:sz w:val="22"/>
                <w:szCs w:val="22"/>
              </w:rPr>
              <w:t xml:space="preserve">Format priority</w:t>
            </w:r>
          </w:p>
        </w:tc>
        <w:tc>
          <w:tcPr>
            <w:tcW w:type="dxa" w:w="4680"/>
            <w:vAlign w:val="center"/>
          </w:tcPr>
          <w:p>
            <w:pPr>
              <w:jc w:val="center"/>
            </w:pPr>
            <w:r>
              <w:rPr>
                <w:rFonts w:ascii="Times New Roman" w:cs="Times New Roman" w:eastAsia="Times New Roman" w:hAnsi="Times New Roman"/>
                <w:sz w:val="22"/>
                <w:szCs w:val="22"/>
              </w:rPr>
              <w:t xml:space="preserve">T/F prioritized over MCQ (reduces guessing)</w:t>
            </w:r>
          </w:p>
        </w:tc>
      </w:tr>
      <w:tr>
        <w:tc>
          <w:tcPr>
            <w:tcW w:type="dxa" w:w="1560"/>
            <w:vAlign w:val="center"/>
          </w:tcPr>
          <w:p>
            <w:pPr>
              <w:jc w:val="center"/>
            </w:pPr>
            <w:r>
              <w:rPr>
                <w:rFonts w:ascii="Times New Roman" w:cs="Times New Roman" w:eastAsia="Times New Roman" w:hAnsi="Times New Roman"/>
                <w:sz w:val="22"/>
                <w:szCs w:val="22"/>
              </w:rPr>
              <w:t xml:space="preserve">3</w:t>
            </w:r>
          </w:p>
        </w:tc>
        <w:tc>
          <w:tcPr>
            <w:tcW w:type="dxa" w:w="3120"/>
            <w:vAlign w:val="center"/>
          </w:tcPr>
          <w:p>
            <w:pPr>
              <w:jc w:val="center"/>
            </w:pPr>
            <w:r>
              <w:rPr>
                <w:rFonts w:ascii="Times New Roman" w:cs="Times New Roman" w:eastAsia="Times New Roman" w:hAnsi="Times New Roman"/>
                <w:sz w:val="22"/>
                <w:szCs w:val="22"/>
              </w:rPr>
              <w:t xml:space="preserve">Subcategory spread</w:t>
            </w:r>
          </w:p>
        </w:tc>
        <w:tc>
          <w:tcPr>
            <w:tcW w:type="dxa" w:w="4680"/>
            <w:vAlign w:val="center"/>
          </w:tcPr>
          <w:p>
            <w:pPr>
              <w:jc w:val="center"/>
            </w:pPr>
            <w:r>
              <w:rPr>
                <w:rFonts w:ascii="Times New Roman" w:cs="Times New Roman" w:eastAsia="Times New Roman" w:hAnsi="Times New Roman"/>
                <w:sz w:val="22"/>
                <w:szCs w:val="22"/>
              </w:rPr>
              <w:t xml:space="preserve">Max 2 items per subcategory</w:t>
            </w:r>
          </w:p>
        </w:tc>
      </w:tr>
      <w:tr>
        <w:tc>
          <w:tcPr>
            <w:tcW w:type="dxa" w:w="1560"/>
            <w:vAlign w:val="center"/>
          </w:tcPr>
          <w:p>
            <w:pPr>
              <w:jc w:val="center"/>
            </w:pPr>
            <w:r>
              <w:rPr>
                <w:rFonts w:ascii="Times New Roman" w:cs="Times New Roman" w:eastAsia="Times New Roman" w:hAnsi="Times New Roman"/>
                <w:sz w:val="22"/>
                <w:szCs w:val="22"/>
              </w:rPr>
              <w:t xml:space="preserve">4</w:t>
            </w:r>
          </w:p>
        </w:tc>
        <w:tc>
          <w:tcPr>
            <w:tcW w:type="dxa" w:w="3120"/>
            <w:vAlign w:val="center"/>
          </w:tcPr>
          <w:p>
            <w:pPr>
              <w:jc w:val="center"/>
            </w:pPr>
            <w:r>
              <w:rPr>
                <w:rFonts w:ascii="Times New Roman" w:cs="Times New Roman" w:eastAsia="Times New Roman" w:hAnsi="Times New Roman"/>
                <w:sz w:val="22"/>
                <w:szCs w:val="22"/>
              </w:rPr>
              <w:t xml:space="preserve">Domain order</w:t>
            </w:r>
          </w:p>
        </w:tc>
        <w:tc>
          <w:tcPr>
            <w:tcW w:type="dxa" w:w="4680"/>
            <w:vAlign w:val="center"/>
          </w:tcPr>
          <w:p>
            <w:pPr>
              <w:jc w:val="center"/>
            </w:pPr>
            <w:r>
              <w:rPr>
                <w:rFonts w:ascii="Times New Roman" w:cs="Times New Roman" w:eastAsia="Times New Roman" w:hAnsi="Times New Roman"/>
                <w:sz w:val="22"/>
                <w:szCs w:val="22"/>
              </w:rPr>
              <w:t xml:space="preserve">Borrowing → Investment → Risk Mgmt</w:t>
            </w:r>
          </w:p>
        </w:tc>
      </w:tr>
      <w:tr>
        <w:tc>
          <w:tcPr>
            <w:tcW w:type="dxa" w:w="1560"/>
            <w:vAlign w:val="center"/>
          </w:tcPr>
          <w:p>
            <w:pPr>
              <w:jc w:val="center"/>
            </w:pPr>
            <w:r>
              <w:rPr>
                <w:rFonts w:ascii="Times New Roman" w:cs="Times New Roman" w:eastAsia="Times New Roman" w:hAnsi="Times New Roman"/>
                <w:sz w:val="22"/>
                <w:szCs w:val="22"/>
              </w:rPr>
              <w:t xml:space="preserve">5</w:t>
            </w:r>
          </w:p>
        </w:tc>
        <w:tc>
          <w:tcPr>
            <w:tcW w:type="dxa" w:w="3120"/>
            <w:vAlign w:val="center"/>
          </w:tcPr>
          <w:p>
            <w:pPr>
              <w:jc w:val="center"/>
            </w:pPr>
            <w:r>
              <w:rPr>
                <w:rFonts w:ascii="Times New Roman" w:cs="Times New Roman" w:eastAsia="Times New Roman" w:hAnsi="Times New Roman"/>
                <w:sz w:val="22"/>
                <w:szCs w:val="22"/>
              </w:rPr>
              <w:t xml:space="preserve">Seeded random</w:t>
            </w:r>
          </w:p>
        </w:tc>
        <w:tc>
          <w:tcPr>
            <w:tcW w:type="dxa" w:w="4680"/>
            <w:vAlign w:val="center"/>
          </w:tcPr>
          <w:p>
            <w:pPr>
              <w:jc w:val="center"/>
            </w:pPr>
            <w:r>
              <w:rPr>
                <w:rFonts w:ascii="Times New Roman" w:cs="Times New Roman" w:eastAsia="Times New Roman" w:hAnsi="Times New Roman"/>
                <w:sz w:val="22"/>
                <w:szCs w:val="22"/>
              </w:rPr>
              <w:t xml:space="preserve">Deterministic using student hash</w:t>
            </w:r>
          </w:p>
        </w:tc>
      </w:tr>
    </w:tbl>
    <w:p>
      <w:pPr>
        <w:spacing w:before="240" w:after="120"/>
        <w:jc w:val="center"/>
      </w:pPr>
      <w:r>
        <w:rPr>
          <w:rFonts w:ascii="Times New Roman" w:cs="Times New Roman" w:eastAsia="Times New Roman" w:hAnsi="Times New Roman"/>
          <w:b/>
          <w:bCs/>
          <w:i/>
          <w:iCs/>
          <w:sz w:val="22"/>
          <w:szCs w:val="22"/>
        </w:rPr>
        <w:t xml:space="preserve">Table A.6. Three-Way Classification Decision Tree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4680"/>
        <w:gridCol w:w="312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Step</w:t>
            </w:r>
          </w:p>
        </w:tc>
        <w:tc>
          <w:tcPr>
            <w:tcW w:type="dxa" w:w="4680"/>
            <w:shd w:fill="D5E8F0" w:color="auto" w:val="clear"/>
            <w:vAlign w:val="center"/>
          </w:tcPr>
          <w:p>
            <w:pPr>
              <w:jc w:val="center"/>
            </w:pPr>
            <w:r>
              <w:rPr>
                <w:rFonts w:ascii="Times New Roman" w:cs="Times New Roman" w:eastAsia="Times New Roman" w:hAnsi="Times New Roman"/>
                <w:b/>
                <w:bCs/>
                <w:sz w:val="22"/>
                <w:szCs w:val="22"/>
              </w:rPr>
              <w:t xml:space="preserve">Condition</w:t>
            </w:r>
          </w:p>
        </w:tc>
        <w:tc>
          <w:tcPr>
            <w:tcW w:type="dxa" w:w="3120"/>
            <w:shd w:fill="D5E8F0" w:color="auto" w:val="clear"/>
            <w:vAlign w:val="center"/>
          </w:tcPr>
          <w:p>
            <w:pPr>
              <w:jc w:val="center"/>
            </w:pPr>
            <w:r>
              <w:rPr>
                <w:rFonts w:ascii="Times New Roman" w:cs="Times New Roman" w:eastAsia="Times New Roman" w:hAnsi="Times New Roman"/>
                <w:b/>
                <w:bCs/>
                <w:sz w:val="22"/>
                <w:szCs w:val="22"/>
              </w:rPr>
              <w:t xml:space="preserve">Classification</w:t>
            </w:r>
          </w:p>
        </w:tc>
      </w:tr>
      <w:tr>
        <w:tc>
          <w:tcPr>
            <w:tcW w:type="dxa" w:w="1560"/>
            <w:vAlign w:val="center"/>
          </w:tcPr>
          <w:p>
            <w:pPr>
              <w:jc w:val="center"/>
            </w:pPr>
            <w:r>
              <w:rPr>
                <w:rFonts w:ascii="Times New Roman" w:cs="Times New Roman" w:eastAsia="Times New Roman" w:hAnsi="Times New Roman"/>
                <w:sz w:val="22"/>
                <w:szCs w:val="22"/>
              </w:rPr>
              <w:t xml:space="preserve">1</w:t>
            </w:r>
          </w:p>
        </w:tc>
        <w:tc>
          <w:tcPr>
            <w:tcW w:type="dxa" w:w="4680"/>
            <w:vAlign w:val="center"/>
          </w:tcPr>
          <w:p>
            <w:pPr>
              <w:jc w:val="center"/>
            </w:pPr>
            <w:r>
              <w:rPr>
                <w:rFonts w:ascii="Times New Roman" w:cs="Times New Roman" w:eastAsia="Times New Roman" w:hAnsi="Times New Roman"/>
                <w:sz w:val="22"/>
                <w:szCs w:val="22"/>
              </w:rPr>
              <w:t xml:space="preserve">Blank, IDK, or too short?</w:t>
            </w:r>
          </w:p>
        </w:tc>
        <w:tc>
          <w:tcPr>
            <w:tcW w:type="dxa" w:w="3120"/>
            <w:vAlign w:val="center"/>
          </w:tcPr>
          <w:p>
            <w:pPr>
              <w:jc w:val="center"/>
            </w:pPr>
            <w:r>
              <w:rPr>
                <w:rFonts w:ascii="Times New Roman" w:cs="Times New Roman" w:eastAsia="Times New Roman" w:hAnsi="Times New Roman"/>
                <w:sz w:val="22"/>
                <w:szCs w:val="22"/>
              </w:rPr>
              <w:t xml:space="preserve">Knowledge gap</w:t>
            </w:r>
          </w:p>
        </w:tc>
      </w:tr>
      <w:tr>
        <w:tc>
          <w:tcPr>
            <w:tcW w:type="dxa" w:w="1560"/>
            <w:vAlign w:val="center"/>
          </w:tcPr>
          <w:p>
            <w:pPr>
              <w:jc w:val="center"/>
            </w:pPr>
            <w:r>
              <w:rPr>
                <w:rFonts w:ascii="Times New Roman" w:cs="Times New Roman" w:eastAsia="Times New Roman" w:hAnsi="Times New Roman"/>
                <w:sz w:val="22"/>
                <w:szCs w:val="22"/>
              </w:rPr>
              <w:t xml:space="preserve">2</w:t>
            </w:r>
          </w:p>
        </w:tc>
        <w:tc>
          <w:tcPr>
            <w:tcW w:type="dxa" w:w="4680"/>
            <w:vAlign w:val="center"/>
          </w:tcPr>
          <w:p>
            <w:pPr>
              <w:jc w:val="center"/>
            </w:pPr>
            <w:r>
              <w:rPr>
                <w:rFonts w:ascii="Times New Roman" w:cs="Times New Roman" w:eastAsia="Times New Roman" w:hAnsi="Times New Roman"/>
                <w:sz w:val="22"/>
                <w:szCs w:val="22"/>
              </w:rPr>
              <w:t xml:space="preserve">Correct reasoning despite wrong answer?</w:t>
            </w:r>
          </w:p>
        </w:tc>
        <w:tc>
          <w:tcPr>
            <w:tcW w:type="dxa" w:w="3120"/>
            <w:vAlign w:val="center"/>
          </w:tcPr>
          <w:p>
            <w:pPr>
              <w:jc w:val="center"/>
            </w:pPr>
            <w:r>
              <w:rPr>
                <w:rFonts w:ascii="Times New Roman" w:cs="Times New Roman" w:eastAsia="Times New Roman" w:hAnsi="Times New Roman"/>
                <w:sz w:val="22"/>
                <w:szCs w:val="22"/>
              </w:rPr>
              <w:t xml:space="preserve">Selection error</w:t>
            </w:r>
          </w:p>
        </w:tc>
      </w:tr>
      <w:tr>
        <w:tc>
          <w:tcPr>
            <w:tcW w:type="dxa" w:w="1560"/>
            <w:vAlign w:val="center"/>
          </w:tcPr>
          <w:p>
            <w:pPr>
              <w:jc w:val="center"/>
            </w:pPr>
            <w:r>
              <w:rPr>
                <w:rFonts w:ascii="Times New Roman" w:cs="Times New Roman" w:eastAsia="Times New Roman" w:hAnsi="Times New Roman"/>
                <w:sz w:val="22"/>
                <w:szCs w:val="22"/>
              </w:rPr>
              <w:t xml:space="preserve">3</w:t>
            </w:r>
          </w:p>
        </w:tc>
        <w:tc>
          <w:tcPr>
            <w:tcW w:type="dxa" w:w="4680"/>
            <w:vAlign w:val="center"/>
          </w:tcPr>
          <w:p>
            <w:pPr>
              <w:jc w:val="center"/>
            </w:pPr>
            <w:r>
              <w:rPr>
                <w:rFonts w:ascii="Times New Roman" w:cs="Times New Roman" w:eastAsia="Times New Roman" w:hAnsi="Times New Roman"/>
                <w:sz w:val="22"/>
                <w:szCs w:val="22"/>
              </w:rPr>
              <w:t xml:space="preserve">Student self-corrects?</w:t>
            </w:r>
          </w:p>
        </w:tc>
        <w:tc>
          <w:tcPr>
            <w:tcW w:type="dxa" w:w="3120"/>
            <w:vAlign w:val="center"/>
          </w:tcPr>
          <w:p>
            <w:pPr>
              <w:jc w:val="center"/>
            </w:pPr>
            <w:r>
              <w:rPr>
                <w:rFonts w:ascii="Times New Roman" w:cs="Times New Roman" w:eastAsia="Times New Roman" w:hAnsi="Times New Roman"/>
                <w:sz w:val="22"/>
                <w:szCs w:val="22"/>
              </w:rPr>
              <w:t xml:space="preserve">Selection error</w:t>
            </w:r>
          </w:p>
        </w:tc>
      </w:tr>
      <w:tr>
        <w:tc>
          <w:tcPr>
            <w:tcW w:type="dxa" w:w="1560"/>
            <w:vAlign w:val="center"/>
          </w:tcPr>
          <w:p>
            <w:pPr>
              <w:jc w:val="center"/>
            </w:pPr>
            <w:r>
              <w:rPr>
                <w:rFonts w:ascii="Times New Roman" w:cs="Times New Roman" w:eastAsia="Times New Roman" w:hAnsi="Times New Roman"/>
                <w:sz w:val="22"/>
                <w:szCs w:val="22"/>
              </w:rPr>
              <w:t xml:space="preserve">4</w:t>
            </w:r>
          </w:p>
        </w:tc>
        <w:tc>
          <w:tcPr>
            <w:tcW w:type="dxa" w:w="4680"/>
            <w:vAlign w:val="center"/>
          </w:tcPr>
          <w:p>
            <w:pPr>
              <w:jc w:val="center"/>
            </w:pPr>
            <w:r>
              <w:rPr>
                <w:rFonts w:ascii="Times New Roman" w:cs="Times New Roman" w:eastAsia="Times New Roman" w:hAnsi="Times New Roman"/>
                <w:sz w:val="22"/>
                <w:szCs w:val="22"/>
              </w:rPr>
              <w:t xml:space="preserve">Specific wrong mental model?</w:t>
            </w:r>
          </w:p>
        </w:tc>
        <w:tc>
          <w:tcPr>
            <w:tcW w:type="dxa" w:w="3120"/>
            <w:vAlign w:val="center"/>
          </w:tcPr>
          <w:p>
            <w:pPr>
              <w:jc w:val="center"/>
            </w:pPr>
            <w:r>
              <w:rPr>
                <w:rFonts w:ascii="Times New Roman" w:cs="Times New Roman" w:eastAsia="Times New Roman" w:hAnsi="Times New Roman"/>
                <w:sz w:val="22"/>
                <w:szCs w:val="22"/>
              </w:rPr>
              <w:t xml:space="preserve">Misconception (Layer 1 + 2)</w:t>
            </w:r>
          </w:p>
        </w:tc>
      </w:tr>
      <w:tr>
        <w:tc>
          <w:tcPr>
            <w:tcW w:type="dxa" w:w="1560"/>
            <w:vAlign w:val="center"/>
          </w:tcPr>
          <w:p>
            <w:pPr>
              <w:jc w:val="center"/>
            </w:pPr>
            <w:r>
              <w:rPr>
                <w:rFonts w:ascii="Times New Roman" w:cs="Times New Roman" w:eastAsia="Times New Roman" w:hAnsi="Times New Roman"/>
                <w:sz w:val="22"/>
                <w:szCs w:val="22"/>
              </w:rPr>
              <w:t xml:space="preserve">5</w:t>
            </w:r>
          </w:p>
        </w:tc>
        <w:tc>
          <w:tcPr>
            <w:tcW w:type="dxa" w:w="4680"/>
            <w:vAlign w:val="center"/>
          </w:tcPr>
          <w:p>
            <w:pPr>
              <w:jc w:val="center"/>
            </w:pPr>
            <w:r>
              <w:rPr>
                <w:rFonts w:ascii="Times New Roman" w:cs="Times New Roman" w:eastAsia="Times New Roman" w:hAnsi="Times New Roman"/>
                <w:sz w:val="22"/>
                <w:szCs w:val="22"/>
              </w:rPr>
              <w:t xml:space="preserve">Vague, no identifiable pattern?</w:t>
            </w:r>
          </w:p>
        </w:tc>
        <w:tc>
          <w:tcPr>
            <w:tcW w:type="dxa" w:w="3120"/>
            <w:vAlign w:val="center"/>
          </w:tcPr>
          <w:p>
            <w:pPr>
              <w:jc w:val="center"/>
            </w:pPr>
            <w:r>
              <w:rPr>
                <w:rFonts w:ascii="Times New Roman" w:cs="Times New Roman" w:eastAsia="Times New Roman" w:hAnsi="Times New Roman"/>
                <w:sz w:val="22"/>
                <w:szCs w:val="22"/>
              </w:rPr>
              <w:t xml:space="preserve">Knowledge gap</w:t>
            </w:r>
          </w:p>
        </w:tc>
      </w:tr>
    </w:tbl>
    <w:p>
      <w:r>
        <w:br w:type="page"/>
      </w:r>
    </w:p>
    <w:p>
      <w:pPr>
        <w:pStyle w:val="Heading1"/>
      </w:pPr>
      <w:r>
        <w:t xml:space="preserve">Appendix B: Assessment Items</w:t>
      </w:r>
    </w:p>
    <w:p>
      <w:pPr>
        <w:spacing w:line="360" w:after="200"/>
        <w:jc w:val="left"/>
      </w:pPr>
      <w:r>
        <w:rPr>
          <w:rFonts w:ascii="Times New Roman" w:cs="Times New Roman" w:eastAsia="Times New Roman" w:hAnsi="Times New Roman"/>
          <w:sz w:val="24"/>
          <w:szCs w:val="24"/>
        </w:rPr>
        <w:t xml:space="preserve">See attached question bank for complete item listing with answer keys.</w:t>
      </w:r>
    </w:p>
    <w:p>
      <w:r>
        <w:br w:type="page"/>
      </w:r>
    </w:p>
    <w:p>
      <w:pPr>
        <w:pStyle w:val="Heading1"/>
      </w:pPr>
      <w:r>
        <w:t xml:space="preserve">Appendix C: Financial Literacy Misconception Taxonomy (Layer 1)</w:t>
      </w:r>
    </w:p>
    <w:p>
      <w:pPr>
        <w:spacing w:line="360" w:after="200"/>
        <w:jc w:val="left"/>
      </w:pPr>
      <w:r>
        <w:rPr>
          <w:rFonts w:ascii="Times New Roman" w:cs="Times New Roman" w:eastAsia="Times New Roman" w:hAnsi="Times New Roman"/>
          <w:sz w:val="24"/>
          <w:szCs w:val="24"/>
        </w:rPr>
        <w:t xml:space="preserve">Layer 1 contains 37 generalizable financial literacy misconception families organized into seven categories. These codes are designed to be reproducible across assessment contexts, student populations, and institutions. Layer 2 item-specific tags (derived from observed student responses) are documented in the supplementary materials.</w:t>
      </w:r>
    </w:p>
    <w:p>
      <w:pPr>
        <w:pStyle w:val="Heading2"/>
      </w:pPr>
      <w:r>
        <w:t xml:space="preserve">C.1 Inflation and Purchasing Power (INF)</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5460"/>
        <w:gridCol w:w="234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Observed</w:t>
            </w:r>
          </w:p>
        </w:tc>
      </w:tr>
      <w:tr>
        <w:tc>
          <w:tcPr>
            <w:tcW w:type="dxa" w:w="1560"/>
            <w:vAlign w:val="center"/>
          </w:tcPr>
          <w:p>
            <w:pPr>
              <w:jc w:val="center"/>
            </w:pPr>
            <w:r>
              <w:rPr>
                <w:rFonts w:ascii="Times New Roman" w:cs="Times New Roman" w:eastAsia="Times New Roman" w:hAnsi="Times New Roman"/>
                <w:sz w:val="22"/>
                <w:szCs w:val="22"/>
              </w:rPr>
              <w:t xml:space="preserve">INF-01</w:t>
            </w:r>
          </w:p>
        </w:tc>
        <w:tc>
          <w:tcPr>
            <w:tcW w:type="dxa" w:w="5460"/>
            <w:vAlign w:val="center"/>
          </w:tcPr>
          <w:p>
            <w:pPr>
              <w:jc w:val="center"/>
            </w:pPr>
            <w:r>
              <w:rPr>
                <w:rFonts w:ascii="Times New Roman" w:cs="Times New Roman" w:eastAsia="Times New Roman" w:hAnsi="Times New Roman"/>
                <w:sz w:val="22"/>
                <w:szCs w:val="22"/>
              </w:rPr>
              <w:t xml:space="preserve">Lower inflation = falling prices</w:t>
            </w:r>
          </w:p>
        </w:tc>
        <w:tc>
          <w:tcPr>
            <w:tcW w:type="dxa" w:w="2340"/>
            <w:vAlign w:val="center"/>
          </w:tcPr>
          <w:p>
            <w:pPr>
              <w:jc w:val="center"/>
            </w:pPr>
            <w:r>
              <w:rPr>
                <w:rFonts w:ascii="Times New Roman" w:cs="Times New Roman" w:eastAsia="Times New Roman" w:hAnsi="Times New Roman"/>
                <w:sz w:val="22"/>
                <w:szCs w:val="22"/>
              </w:rPr>
              <w:t xml:space="preserve">Q6 (55%)</w:t>
            </w:r>
          </w:p>
        </w:tc>
      </w:tr>
      <w:tr>
        <w:tc>
          <w:tcPr>
            <w:tcW w:type="dxa" w:w="1560"/>
            <w:vAlign w:val="center"/>
          </w:tcPr>
          <w:p>
            <w:pPr>
              <w:jc w:val="center"/>
            </w:pPr>
            <w:r>
              <w:rPr>
                <w:rFonts w:ascii="Times New Roman" w:cs="Times New Roman" w:eastAsia="Times New Roman" w:hAnsi="Times New Roman"/>
                <w:sz w:val="22"/>
                <w:szCs w:val="22"/>
              </w:rPr>
              <w:t xml:space="preserve">INF-02</w:t>
            </w:r>
          </w:p>
        </w:tc>
        <w:tc>
          <w:tcPr>
            <w:tcW w:type="dxa" w:w="5460"/>
            <w:vAlign w:val="center"/>
          </w:tcPr>
          <w:p>
            <w:pPr>
              <w:jc w:val="center"/>
            </w:pPr>
            <w:r>
              <w:rPr>
                <w:rFonts w:ascii="Times New Roman" w:cs="Times New Roman" w:eastAsia="Times New Roman" w:hAnsi="Times New Roman"/>
                <w:sz w:val="22"/>
                <w:szCs w:val="22"/>
              </w:rPr>
              <w:t xml:space="preserve">Inflation definition confusion</w:t>
            </w:r>
          </w:p>
        </w:tc>
        <w:tc>
          <w:tcPr>
            <w:tcW w:type="dxa" w:w="2340"/>
            <w:vAlign w:val="center"/>
          </w:tcPr>
          <w:p>
            <w:pPr>
              <w:jc w:val="center"/>
            </w:pPr>
            <w:r>
              <w:rPr>
                <w:rFonts w:ascii="Times New Roman" w:cs="Times New Roman" w:eastAsia="Times New Roman" w:hAnsi="Times New Roman"/>
                <w:sz w:val="22"/>
                <w:szCs w:val="22"/>
              </w:rPr>
              <w:t xml:space="preserve">Q3</w:t>
            </w:r>
          </w:p>
        </w:tc>
      </w:tr>
      <w:tr>
        <w:tc>
          <w:tcPr>
            <w:tcW w:type="dxa" w:w="1560"/>
            <w:vAlign w:val="center"/>
          </w:tcPr>
          <w:p>
            <w:pPr>
              <w:jc w:val="center"/>
            </w:pPr>
            <w:r>
              <w:rPr>
                <w:rFonts w:ascii="Times New Roman" w:cs="Times New Roman" w:eastAsia="Times New Roman" w:hAnsi="Times New Roman"/>
                <w:sz w:val="22"/>
                <w:szCs w:val="22"/>
              </w:rPr>
              <w:t xml:space="preserve">INF-03</w:t>
            </w:r>
          </w:p>
        </w:tc>
        <w:tc>
          <w:tcPr>
            <w:tcW w:type="dxa" w:w="5460"/>
            <w:vAlign w:val="center"/>
          </w:tcPr>
          <w:p>
            <w:pPr>
              <w:jc w:val="center"/>
            </w:pPr>
            <w:r>
              <w:rPr>
                <w:rFonts w:ascii="Times New Roman" w:cs="Times New Roman" w:eastAsia="Times New Roman" w:hAnsi="Times New Roman"/>
                <w:sz w:val="22"/>
                <w:szCs w:val="22"/>
              </w:rPr>
              <w:t xml:space="preserve">Fixed income impact misunderstood</w:t>
            </w:r>
          </w:p>
        </w:tc>
        <w:tc>
          <w:tcPr>
            <w:tcW w:type="dxa" w:w="2340"/>
            <w:vAlign w:val="center"/>
          </w:tcPr>
          <w:p>
            <w:pPr>
              <w:jc w:val="center"/>
            </w:pPr>
            <w:r>
              <w:rPr>
                <w:rFonts w:ascii="Times New Roman" w:cs="Times New Roman" w:eastAsia="Times New Roman" w:hAnsi="Times New Roman"/>
                <w:sz w:val="22"/>
                <w:szCs w:val="22"/>
              </w:rPr>
              <w:t xml:space="preserve">Q7</w:t>
            </w:r>
          </w:p>
        </w:tc>
      </w:tr>
      <w:tr>
        <w:tc>
          <w:tcPr>
            <w:tcW w:type="dxa" w:w="1560"/>
            <w:vAlign w:val="center"/>
          </w:tcPr>
          <w:p>
            <w:pPr>
              <w:jc w:val="center"/>
            </w:pPr>
            <w:r>
              <w:rPr>
                <w:rFonts w:ascii="Times New Roman" w:cs="Times New Roman" w:eastAsia="Times New Roman" w:hAnsi="Times New Roman"/>
                <w:sz w:val="22"/>
                <w:szCs w:val="22"/>
              </w:rPr>
              <w:t xml:space="preserve">INF-04</w:t>
            </w:r>
          </w:p>
        </w:tc>
        <w:tc>
          <w:tcPr>
            <w:tcW w:type="dxa" w:w="5460"/>
            <w:vAlign w:val="center"/>
          </w:tcPr>
          <w:p>
            <w:pPr>
              <w:jc w:val="center"/>
            </w:pPr>
            <w:r>
              <w:rPr>
                <w:rFonts w:ascii="Times New Roman" w:cs="Times New Roman" w:eastAsia="Times New Roman" w:hAnsi="Times New Roman"/>
                <w:sz w:val="22"/>
                <w:szCs w:val="22"/>
              </w:rPr>
              <w:t xml:space="preserve">Inflation protection confusion</w:t>
            </w:r>
          </w:p>
        </w:tc>
        <w:tc>
          <w:tcPr>
            <w:tcW w:type="dxa" w:w="2340"/>
            <w:vAlign w:val="center"/>
          </w:tcPr>
          <w:p>
            <w:pPr>
              <w:jc w:val="center"/>
            </w:pPr>
            <w:r>
              <w:rPr>
                <w:rFonts w:ascii="Times New Roman" w:cs="Times New Roman" w:eastAsia="Times New Roman" w:hAnsi="Times New Roman"/>
                <w:sz w:val="22"/>
                <w:szCs w:val="22"/>
              </w:rPr>
              <w:t xml:space="preserve">Q38</w:t>
            </w:r>
          </w:p>
        </w:tc>
      </w:tr>
      <w:tr>
        <w:tc>
          <w:tcPr>
            <w:tcW w:type="dxa" w:w="1560"/>
            <w:vAlign w:val="center"/>
          </w:tcPr>
          <w:p>
            <w:pPr>
              <w:jc w:val="center"/>
            </w:pPr>
            <w:r>
              <w:rPr>
                <w:rFonts w:ascii="Times New Roman" w:cs="Times New Roman" w:eastAsia="Times New Roman" w:hAnsi="Times New Roman"/>
                <w:sz w:val="22"/>
                <w:szCs w:val="22"/>
              </w:rPr>
              <w:t xml:space="preserve">INF-05</w:t>
            </w:r>
          </w:p>
        </w:tc>
        <w:tc>
          <w:tcPr>
            <w:tcW w:type="dxa" w:w="5460"/>
            <w:vAlign w:val="center"/>
          </w:tcPr>
          <w:p>
            <w:pPr>
              <w:jc w:val="center"/>
            </w:pPr>
            <w:r>
              <w:rPr>
                <w:rFonts w:ascii="Times New Roman" w:cs="Times New Roman" w:eastAsia="Times New Roman" w:hAnsi="Times New Roman"/>
                <w:sz w:val="22"/>
                <w:szCs w:val="22"/>
              </w:rPr>
              <w:t xml:space="preserve">Empathy-driven inflation reasoning</w:t>
            </w:r>
          </w:p>
        </w:tc>
        <w:tc>
          <w:tcPr>
            <w:tcW w:type="dxa" w:w="2340"/>
            <w:vAlign w:val="center"/>
          </w:tcPr>
          <w:p>
            <w:pPr>
              <w:jc w:val="center"/>
            </w:pPr>
            <w:r>
              <w:rPr>
                <w:rFonts w:ascii="Times New Roman" w:cs="Times New Roman" w:eastAsia="Times New Roman" w:hAnsi="Times New Roman"/>
                <w:sz w:val="22"/>
                <w:szCs w:val="22"/>
              </w:rPr>
              <w:t xml:space="preserve">Q7 (33%)</w:t>
            </w:r>
          </w:p>
        </w:tc>
      </w:tr>
    </w:tbl>
    <w:p>
      <w:pPr>
        <w:pStyle w:val="Heading2"/>
      </w:pPr>
      <w:r>
        <w:t xml:space="preserve">C.2 Interest, Compounding, and Time Value of Money (INT)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5460"/>
        <w:gridCol w:w="234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Observed</w:t>
            </w:r>
          </w:p>
        </w:tc>
      </w:tr>
      <w:tr>
        <w:tc>
          <w:tcPr>
            <w:tcW w:type="dxa" w:w="1560"/>
            <w:vAlign w:val="center"/>
          </w:tcPr>
          <w:p>
            <w:pPr>
              <w:jc w:val="center"/>
            </w:pPr>
            <w:r>
              <w:rPr>
                <w:rFonts w:ascii="Times New Roman" w:cs="Times New Roman" w:eastAsia="Times New Roman" w:hAnsi="Times New Roman"/>
                <w:sz w:val="22"/>
                <w:szCs w:val="22"/>
              </w:rPr>
              <w:t xml:space="preserve">INT-01</w:t>
            </w:r>
          </w:p>
        </w:tc>
        <w:tc>
          <w:tcPr>
            <w:tcW w:type="dxa" w:w="5460"/>
            <w:vAlign w:val="center"/>
          </w:tcPr>
          <w:p>
            <w:pPr>
              <w:jc w:val="center"/>
            </w:pPr>
            <w:r>
              <w:rPr>
                <w:rFonts w:ascii="Times New Roman" w:cs="Times New Roman" w:eastAsia="Times New Roman" w:hAnsi="Times New Roman"/>
                <w:sz w:val="22"/>
                <w:szCs w:val="22"/>
              </w:rPr>
              <w:t xml:space="preserve">Interest as a fee to the saver</w:t>
            </w:r>
          </w:p>
        </w:tc>
        <w:tc>
          <w:tcPr>
            <w:tcW w:type="dxa" w:w="2340"/>
            <w:vAlign w:val="center"/>
          </w:tcPr>
          <w:p>
            <w:pPr>
              <w:jc w:val="center"/>
            </w:pPr>
            <w:r>
              <w:rPr>
                <w:rFonts w:ascii="Times New Roman" w:cs="Times New Roman" w:eastAsia="Times New Roman" w:hAnsi="Times New Roman"/>
                <w:sz w:val="22"/>
                <w:szCs w:val="22"/>
              </w:rPr>
              <w:t xml:space="preserve">Q1</w:t>
            </w:r>
          </w:p>
        </w:tc>
      </w:tr>
      <w:tr>
        <w:tc>
          <w:tcPr>
            <w:tcW w:type="dxa" w:w="1560"/>
            <w:vAlign w:val="center"/>
          </w:tcPr>
          <w:p>
            <w:pPr>
              <w:jc w:val="center"/>
            </w:pPr>
            <w:r>
              <w:rPr>
                <w:rFonts w:ascii="Times New Roman" w:cs="Times New Roman" w:eastAsia="Times New Roman" w:hAnsi="Times New Roman"/>
                <w:sz w:val="22"/>
                <w:szCs w:val="22"/>
              </w:rPr>
              <w:t xml:space="preserve">INT-02</w:t>
            </w:r>
          </w:p>
        </w:tc>
        <w:tc>
          <w:tcPr>
            <w:tcW w:type="dxa" w:w="5460"/>
            <w:vAlign w:val="center"/>
          </w:tcPr>
          <w:p>
            <w:pPr>
              <w:jc w:val="center"/>
            </w:pPr>
            <w:r>
              <w:rPr>
                <w:rFonts w:ascii="Times New Roman" w:cs="Times New Roman" w:eastAsia="Times New Roman" w:hAnsi="Times New Roman"/>
                <w:sz w:val="22"/>
                <w:szCs w:val="22"/>
              </w:rPr>
              <w:t xml:space="preserve">No compounding awareness</w:t>
            </w:r>
          </w:p>
        </w:tc>
        <w:tc>
          <w:tcPr>
            <w:tcW w:type="dxa" w:w="2340"/>
            <w:vAlign w:val="center"/>
          </w:tcPr>
          <w:p>
            <w:pPr>
              <w:jc w:val="center"/>
            </w:pPr>
            <w:r>
              <w:rPr>
                <w:rFonts w:ascii="Times New Roman" w:cs="Times New Roman" w:eastAsia="Times New Roman" w:hAnsi="Times New Roman"/>
                <w:sz w:val="22"/>
                <w:szCs w:val="22"/>
              </w:rPr>
              <w:t xml:space="preserve">Q1</w:t>
            </w:r>
          </w:p>
        </w:tc>
      </w:tr>
      <w:tr>
        <w:tc>
          <w:tcPr>
            <w:tcW w:type="dxa" w:w="1560"/>
            <w:vAlign w:val="center"/>
          </w:tcPr>
          <w:p>
            <w:pPr>
              <w:jc w:val="center"/>
            </w:pPr>
            <w:r>
              <w:rPr>
                <w:rFonts w:ascii="Times New Roman" w:cs="Times New Roman" w:eastAsia="Times New Roman" w:hAnsi="Times New Roman"/>
                <w:sz w:val="22"/>
                <w:szCs w:val="22"/>
              </w:rPr>
              <w:t xml:space="preserve">INT-03</w:t>
            </w:r>
          </w:p>
        </w:tc>
        <w:tc>
          <w:tcPr>
            <w:tcW w:type="dxa" w:w="5460"/>
            <w:vAlign w:val="center"/>
          </w:tcPr>
          <w:p>
            <w:pPr>
              <w:jc w:val="center"/>
            </w:pPr>
            <w:r>
              <w:rPr>
                <w:rFonts w:ascii="Times New Roman" w:cs="Times New Roman" w:eastAsia="Times New Roman" w:hAnsi="Times New Roman"/>
                <w:sz w:val="22"/>
                <w:szCs w:val="22"/>
              </w:rPr>
              <w:t xml:space="preserve">Loan term does not affect total interest</w:t>
            </w:r>
          </w:p>
        </w:tc>
        <w:tc>
          <w:tcPr>
            <w:tcW w:type="dxa" w:w="2340"/>
            <w:vAlign w:val="center"/>
          </w:tcPr>
          <w:p>
            <w:pPr>
              <w:jc w:val="center"/>
            </w:pPr>
            <w:r>
              <w:rPr>
                <w:rFonts w:ascii="Times New Roman" w:cs="Times New Roman" w:eastAsia="Times New Roman" w:hAnsi="Times New Roman"/>
                <w:sz w:val="22"/>
                <w:szCs w:val="22"/>
              </w:rPr>
              <w:t xml:space="preserve">Q2</w:t>
            </w:r>
          </w:p>
        </w:tc>
      </w:tr>
      <w:tr>
        <w:tc>
          <w:tcPr>
            <w:tcW w:type="dxa" w:w="1560"/>
            <w:vAlign w:val="center"/>
          </w:tcPr>
          <w:p>
            <w:pPr>
              <w:jc w:val="center"/>
            </w:pPr>
            <w:r>
              <w:rPr>
                <w:rFonts w:ascii="Times New Roman" w:cs="Times New Roman" w:eastAsia="Times New Roman" w:hAnsi="Times New Roman"/>
                <w:sz w:val="22"/>
                <w:szCs w:val="22"/>
              </w:rPr>
              <w:t xml:space="preserve">INT-04</w:t>
            </w:r>
          </w:p>
        </w:tc>
        <w:tc>
          <w:tcPr>
            <w:tcW w:type="dxa" w:w="5460"/>
            <w:vAlign w:val="center"/>
          </w:tcPr>
          <w:p>
            <w:pPr>
              <w:jc w:val="center"/>
            </w:pPr>
            <w:r>
              <w:rPr>
                <w:rFonts w:ascii="Times New Roman" w:cs="Times New Roman" w:eastAsia="Times New Roman" w:hAnsi="Times New Roman"/>
                <w:sz w:val="22"/>
                <w:szCs w:val="22"/>
              </w:rPr>
              <w:t xml:space="preserve">Shorter term = higher total cost</w:t>
            </w:r>
          </w:p>
        </w:tc>
        <w:tc>
          <w:tcPr>
            <w:tcW w:type="dxa" w:w="2340"/>
            <w:vAlign w:val="center"/>
          </w:tcPr>
          <w:p>
            <w:pPr>
              <w:jc w:val="center"/>
            </w:pPr>
            <w:r>
              <w:rPr>
                <w:rFonts w:ascii="Times New Roman" w:cs="Times New Roman" w:eastAsia="Times New Roman" w:hAnsi="Times New Roman"/>
                <w:sz w:val="22"/>
                <w:szCs w:val="22"/>
              </w:rPr>
              <w:t xml:space="preserve">Q2</w:t>
            </w:r>
          </w:p>
        </w:tc>
      </w:tr>
      <w:tr>
        <w:tc>
          <w:tcPr>
            <w:tcW w:type="dxa" w:w="1560"/>
            <w:vAlign w:val="center"/>
          </w:tcPr>
          <w:p>
            <w:pPr>
              <w:jc w:val="center"/>
            </w:pPr>
            <w:r>
              <w:rPr>
                <w:rFonts w:ascii="Times New Roman" w:cs="Times New Roman" w:eastAsia="Times New Roman" w:hAnsi="Times New Roman"/>
                <w:sz w:val="22"/>
                <w:szCs w:val="22"/>
              </w:rPr>
              <w:t xml:space="preserve">INT-05</w:t>
            </w:r>
          </w:p>
        </w:tc>
        <w:tc>
          <w:tcPr>
            <w:tcW w:type="dxa" w:w="5460"/>
            <w:vAlign w:val="center"/>
          </w:tcPr>
          <w:p>
            <w:pPr>
              <w:jc w:val="center"/>
            </w:pPr>
            <w:r>
              <w:rPr>
                <w:rFonts w:ascii="Times New Roman" w:cs="Times New Roman" w:eastAsia="Times New Roman" w:hAnsi="Times New Roman"/>
                <w:sz w:val="22"/>
                <w:szCs w:val="22"/>
              </w:rPr>
              <w:t xml:space="preserve">Interest rates not negotiable</w:t>
            </w:r>
          </w:p>
        </w:tc>
        <w:tc>
          <w:tcPr>
            <w:tcW w:type="dxa" w:w="2340"/>
            <w:vAlign w:val="center"/>
          </w:tcPr>
          <w:p>
            <w:pPr>
              <w:jc w:val="center"/>
            </w:pPr>
            <w:r>
              <w:rPr>
                <w:rFonts w:ascii="Times New Roman" w:cs="Times New Roman" w:eastAsia="Times New Roman" w:hAnsi="Times New Roman"/>
                <w:sz w:val="22"/>
                <w:szCs w:val="22"/>
              </w:rPr>
              <w:t xml:space="preserve">Q8</w:t>
            </w:r>
          </w:p>
        </w:tc>
      </w:tr>
      <w:tr>
        <w:tc>
          <w:tcPr>
            <w:tcW w:type="dxa" w:w="1560"/>
            <w:vAlign w:val="center"/>
          </w:tcPr>
          <w:p>
            <w:pPr>
              <w:jc w:val="center"/>
            </w:pPr>
            <w:r>
              <w:rPr>
                <w:rFonts w:ascii="Times New Roman" w:cs="Times New Roman" w:eastAsia="Times New Roman" w:hAnsi="Times New Roman"/>
                <w:sz w:val="22"/>
                <w:szCs w:val="22"/>
              </w:rPr>
              <w:t xml:space="preserve">INT-06</w:t>
            </w:r>
          </w:p>
        </w:tc>
        <w:tc>
          <w:tcPr>
            <w:tcW w:type="dxa" w:w="5460"/>
            <w:vAlign w:val="center"/>
          </w:tcPr>
          <w:p>
            <w:pPr>
              <w:jc w:val="center"/>
            </w:pPr>
            <w:r>
              <w:rPr>
                <w:rFonts w:ascii="Times New Roman" w:cs="Times New Roman" w:eastAsia="Times New Roman" w:hAnsi="Times New Roman"/>
                <w:sz w:val="22"/>
                <w:szCs w:val="22"/>
              </w:rPr>
              <w:t xml:space="preserve">Bond price-rate relationship reversed</w:t>
            </w:r>
          </w:p>
        </w:tc>
        <w:tc>
          <w:tcPr>
            <w:tcW w:type="dxa" w:w="2340"/>
            <w:vAlign w:val="center"/>
          </w:tcPr>
          <w:p>
            <w:pPr>
              <w:jc w:val="center"/>
            </w:pPr>
            <w:r>
              <w:rPr>
                <w:rFonts w:ascii="Times New Roman" w:cs="Times New Roman" w:eastAsia="Times New Roman" w:hAnsi="Times New Roman"/>
                <w:sz w:val="22"/>
                <w:szCs w:val="22"/>
              </w:rPr>
              <w:t xml:space="preserve">Q29</w:t>
            </w:r>
          </w:p>
        </w:tc>
      </w:tr>
      <w:tr>
        <w:tc>
          <w:tcPr>
            <w:tcW w:type="dxa" w:w="1560"/>
            <w:vAlign w:val="center"/>
          </w:tcPr>
          <w:p>
            <w:pPr>
              <w:jc w:val="center"/>
            </w:pPr>
            <w:r>
              <w:rPr>
                <w:rFonts w:ascii="Times New Roman" w:cs="Times New Roman" w:eastAsia="Times New Roman" w:hAnsi="Times New Roman"/>
                <w:sz w:val="22"/>
                <w:szCs w:val="22"/>
              </w:rPr>
              <w:t xml:space="preserve">INT-07</w:t>
            </w:r>
          </w:p>
        </w:tc>
        <w:tc>
          <w:tcPr>
            <w:tcW w:type="dxa" w:w="5460"/>
            <w:vAlign w:val="center"/>
          </w:tcPr>
          <w:p>
            <w:pPr>
              <w:jc w:val="center"/>
            </w:pPr>
            <w:r>
              <w:rPr>
                <w:rFonts w:ascii="Times New Roman" w:cs="Times New Roman" w:eastAsia="Times New Roman" w:hAnsi="Times New Roman"/>
                <w:sz w:val="22"/>
                <w:szCs w:val="22"/>
              </w:rPr>
              <w:t xml:space="preserve">Zero interest concept confusion</w:t>
            </w:r>
          </w:p>
        </w:tc>
        <w:tc>
          <w:tcPr>
            <w:tcW w:type="dxa" w:w="2340"/>
            <w:vAlign w:val="center"/>
          </w:tcPr>
          <w:p>
            <w:pPr>
              <w:jc w:val="center"/>
            </w:pPr>
            <w:r>
              <w:rPr>
                <w:rFonts w:ascii="Times New Roman" w:cs="Times New Roman" w:eastAsia="Times New Roman" w:hAnsi="Times New Roman"/>
                <w:sz w:val="22"/>
                <w:szCs w:val="22"/>
              </w:rPr>
              <w:t xml:space="preserve">Q4 (small n)</w:t>
            </w:r>
          </w:p>
        </w:tc>
      </w:tr>
    </w:tbl>
    <w:p>
      <w:pPr>
        <w:pStyle w:val="Heading2"/>
      </w:pPr>
      <w:r>
        <w:t xml:space="preserve">C.3 Risk, Return, and Diversification (RISK)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5460"/>
        <w:gridCol w:w="234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Observed</w:t>
            </w:r>
          </w:p>
        </w:tc>
      </w:tr>
      <w:tr>
        <w:tc>
          <w:tcPr>
            <w:tcW w:type="dxa" w:w="1560"/>
            <w:vAlign w:val="center"/>
          </w:tcPr>
          <w:p>
            <w:pPr>
              <w:jc w:val="center"/>
            </w:pPr>
            <w:r>
              <w:rPr>
                <w:rFonts w:ascii="Times New Roman" w:cs="Times New Roman" w:eastAsia="Times New Roman" w:hAnsi="Times New Roman"/>
                <w:sz w:val="22"/>
                <w:szCs w:val="22"/>
              </w:rPr>
              <w:t xml:space="preserve">RISK-01</w:t>
            </w:r>
          </w:p>
        </w:tc>
        <w:tc>
          <w:tcPr>
            <w:tcW w:type="dxa" w:w="5460"/>
            <w:vAlign w:val="center"/>
          </w:tcPr>
          <w:p>
            <w:pPr>
              <w:jc w:val="center"/>
            </w:pPr>
            <w:r>
              <w:rPr>
                <w:rFonts w:ascii="Times New Roman" w:cs="Times New Roman" w:eastAsia="Times New Roman" w:hAnsi="Times New Roman"/>
                <w:sz w:val="22"/>
                <w:szCs w:val="22"/>
              </w:rPr>
              <w:t xml:space="preserve">Safety = highest returns</w:t>
            </w:r>
          </w:p>
        </w:tc>
        <w:tc>
          <w:tcPr>
            <w:tcW w:type="dxa" w:w="2340"/>
            <w:vAlign w:val="center"/>
          </w:tcPr>
          <w:p>
            <w:pPr>
              <w:jc w:val="center"/>
            </w:pPr>
            <w:r>
              <w:rPr>
                <w:rFonts w:ascii="Times New Roman" w:cs="Times New Roman" w:eastAsia="Times New Roman" w:hAnsi="Times New Roman"/>
                <w:sz w:val="22"/>
                <w:szCs w:val="22"/>
              </w:rPr>
              <w:t xml:space="preserve">Q32</w:t>
            </w:r>
          </w:p>
        </w:tc>
      </w:tr>
      <w:tr>
        <w:tc>
          <w:tcPr>
            <w:tcW w:type="dxa" w:w="1560"/>
            <w:vAlign w:val="center"/>
          </w:tcPr>
          <w:p>
            <w:pPr>
              <w:jc w:val="center"/>
            </w:pPr>
            <w:r>
              <w:rPr>
                <w:rFonts w:ascii="Times New Roman" w:cs="Times New Roman" w:eastAsia="Times New Roman" w:hAnsi="Times New Roman"/>
                <w:sz w:val="22"/>
                <w:szCs w:val="22"/>
              </w:rPr>
              <w:t xml:space="preserve">RISK-02</w:t>
            </w:r>
          </w:p>
        </w:tc>
        <w:tc>
          <w:tcPr>
            <w:tcW w:type="dxa" w:w="5460"/>
            <w:vAlign w:val="center"/>
          </w:tcPr>
          <w:p>
            <w:pPr>
              <w:jc w:val="center"/>
            </w:pPr>
            <w:r>
              <w:rPr>
                <w:rFonts w:ascii="Times New Roman" w:cs="Times New Roman" w:eastAsia="Times New Roman" w:hAnsi="Times New Roman"/>
                <w:sz w:val="22"/>
                <w:szCs w:val="22"/>
              </w:rPr>
              <w:t xml:space="preserve">Exceptions disprove general rule</w:t>
            </w:r>
          </w:p>
        </w:tc>
        <w:tc>
          <w:tcPr>
            <w:tcW w:type="dxa" w:w="2340"/>
            <w:vAlign w:val="center"/>
          </w:tcPr>
          <w:p>
            <w:pPr>
              <w:jc w:val="center"/>
            </w:pPr>
            <w:r>
              <w:rPr>
                <w:rFonts w:ascii="Times New Roman" w:cs="Times New Roman" w:eastAsia="Times New Roman" w:hAnsi="Times New Roman"/>
                <w:sz w:val="22"/>
                <w:szCs w:val="22"/>
              </w:rPr>
              <w:t xml:space="preserve">Q30, Q35</w:t>
            </w:r>
          </w:p>
        </w:tc>
      </w:tr>
      <w:tr>
        <w:tc>
          <w:tcPr>
            <w:tcW w:type="dxa" w:w="1560"/>
            <w:vAlign w:val="center"/>
          </w:tcPr>
          <w:p>
            <w:pPr>
              <w:jc w:val="center"/>
            </w:pPr>
            <w:r>
              <w:rPr>
                <w:rFonts w:ascii="Times New Roman" w:cs="Times New Roman" w:eastAsia="Times New Roman" w:hAnsi="Times New Roman"/>
                <w:sz w:val="22"/>
                <w:szCs w:val="22"/>
              </w:rPr>
              <w:t xml:space="preserve">RISK-03</w:t>
            </w:r>
          </w:p>
        </w:tc>
        <w:tc>
          <w:tcPr>
            <w:tcW w:type="dxa" w:w="5460"/>
            <w:vAlign w:val="center"/>
          </w:tcPr>
          <w:p>
            <w:pPr>
              <w:jc w:val="center"/>
            </w:pPr>
            <w:r>
              <w:rPr>
                <w:rFonts w:ascii="Times New Roman" w:cs="Times New Roman" w:eastAsia="Times New Roman" w:hAnsi="Times New Roman"/>
                <w:sz w:val="22"/>
                <w:szCs w:val="22"/>
              </w:rPr>
              <w:t xml:space="preserve">Diversification increases risk</w:t>
            </w:r>
          </w:p>
        </w:tc>
        <w:tc>
          <w:tcPr>
            <w:tcW w:type="dxa" w:w="2340"/>
            <w:vAlign w:val="center"/>
          </w:tcPr>
          <w:p>
            <w:pPr>
              <w:jc w:val="center"/>
            </w:pPr>
            <w:r>
              <w:rPr>
                <w:rFonts w:ascii="Times New Roman" w:cs="Times New Roman" w:eastAsia="Times New Roman" w:hAnsi="Times New Roman"/>
                <w:sz w:val="22"/>
                <w:szCs w:val="22"/>
              </w:rPr>
              <w:t xml:space="preserve">Q14, Q34</w:t>
            </w:r>
          </w:p>
        </w:tc>
      </w:tr>
      <w:tr>
        <w:tc>
          <w:tcPr>
            <w:tcW w:type="dxa" w:w="1560"/>
            <w:vAlign w:val="center"/>
          </w:tcPr>
          <w:p>
            <w:pPr>
              <w:jc w:val="center"/>
            </w:pPr>
            <w:r>
              <w:rPr>
                <w:rFonts w:ascii="Times New Roman" w:cs="Times New Roman" w:eastAsia="Times New Roman" w:hAnsi="Times New Roman"/>
                <w:sz w:val="22"/>
                <w:szCs w:val="22"/>
              </w:rPr>
              <w:t xml:space="preserve">RISK-04</w:t>
            </w:r>
          </w:p>
        </w:tc>
        <w:tc>
          <w:tcPr>
            <w:tcW w:type="dxa" w:w="5460"/>
            <w:vAlign w:val="center"/>
          </w:tcPr>
          <w:p>
            <w:pPr>
              <w:jc w:val="center"/>
            </w:pPr>
            <w:r>
              <w:rPr>
                <w:rFonts w:ascii="Times New Roman" w:cs="Times New Roman" w:eastAsia="Times New Roman" w:hAnsi="Times New Roman"/>
                <w:sz w:val="22"/>
                <w:szCs w:val="22"/>
              </w:rPr>
              <w:t xml:space="preserve">Diversification understood but misapplied</w:t>
            </w:r>
          </w:p>
        </w:tc>
        <w:tc>
          <w:tcPr>
            <w:tcW w:type="dxa" w:w="2340"/>
            <w:vAlign w:val="center"/>
          </w:tcPr>
          <w:p>
            <w:pPr>
              <w:jc w:val="center"/>
            </w:pPr>
            <w:r>
              <w:rPr>
                <w:rFonts w:ascii="Times New Roman" w:cs="Times New Roman" w:eastAsia="Times New Roman" w:hAnsi="Times New Roman"/>
                <w:sz w:val="22"/>
                <w:szCs w:val="22"/>
              </w:rPr>
              <w:t xml:space="preserve">Q36 (62%)</w:t>
            </w:r>
          </w:p>
        </w:tc>
      </w:tr>
      <w:tr>
        <w:tc>
          <w:tcPr>
            <w:tcW w:type="dxa" w:w="1560"/>
            <w:vAlign w:val="center"/>
          </w:tcPr>
          <w:p>
            <w:pPr>
              <w:jc w:val="center"/>
            </w:pPr>
            <w:r>
              <w:rPr>
                <w:rFonts w:ascii="Times New Roman" w:cs="Times New Roman" w:eastAsia="Times New Roman" w:hAnsi="Times New Roman"/>
                <w:sz w:val="22"/>
                <w:szCs w:val="22"/>
              </w:rPr>
              <w:t xml:space="preserve">RISK-05</w:t>
            </w:r>
          </w:p>
        </w:tc>
        <w:tc>
          <w:tcPr>
            <w:tcW w:type="dxa" w:w="5460"/>
            <w:vAlign w:val="center"/>
          </w:tcPr>
          <w:p>
            <w:pPr>
              <w:jc w:val="center"/>
            </w:pPr>
            <w:r>
              <w:rPr>
                <w:rFonts w:ascii="Times New Roman" w:cs="Times New Roman" w:eastAsia="Times New Roman" w:hAnsi="Times New Roman"/>
                <w:sz w:val="22"/>
                <w:szCs w:val="22"/>
              </w:rPr>
              <w:t xml:space="preserve">Single stock safer than mutual fund</w:t>
            </w:r>
          </w:p>
        </w:tc>
        <w:tc>
          <w:tcPr>
            <w:tcW w:type="dxa" w:w="2340"/>
            <w:vAlign w:val="center"/>
          </w:tcPr>
          <w:p>
            <w:pPr>
              <w:jc w:val="center"/>
            </w:pPr>
            <w:r>
              <w:rPr>
                <w:rFonts w:ascii="Times New Roman" w:cs="Times New Roman" w:eastAsia="Times New Roman" w:hAnsi="Times New Roman"/>
                <w:sz w:val="22"/>
                <w:szCs w:val="22"/>
              </w:rPr>
              <w:t xml:space="preserve">Q11</w:t>
            </w:r>
          </w:p>
        </w:tc>
      </w:tr>
      <w:tr>
        <w:tc>
          <w:tcPr>
            <w:tcW w:type="dxa" w:w="1560"/>
            <w:vAlign w:val="center"/>
          </w:tcPr>
          <w:p>
            <w:pPr>
              <w:jc w:val="center"/>
            </w:pPr>
            <w:r>
              <w:rPr>
                <w:rFonts w:ascii="Times New Roman" w:cs="Times New Roman" w:eastAsia="Times New Roman" w:hAnsi="Times New Roman"/>
                <w:sz w:val="22"/>
                <w:szCs w:val="22"/>
              </w:rPr>
              <w:t xml:space="preserve">RISK-06</w:t>
            </w:r>
          </w:p>
        </w:tc>
        <w:tc>
          <w:tcPr>
            <w:tcW w:type="dxa" w:w="5460"/>
            <w:vAlign w:val="center"/>
          </w:tcPr>
          <w:p>
            <w:pPr>
              <w:jc w:val="center"/>
            </w:pPr>
            <w:r>
              <w:rPr>
                <w:rFonts w:ascii="Times New Roman" w:cs="Times New Roman" w:eastAsia="Times New Roman" w:hAnsi="Times New Roman"/>
                <w:sz w:val="22"/>
                <w:szCs w:val="22"/>
              </w:rPr>
              <w:t xml:space="preserve">Mutual fund unfamiliarity</w:t>
            </w:r>
          </w:p>
        </w:tc>
        <w:tc>
          <w:tcPr>
            <w:tcW w:type="dxa" w:w="2340"/>
            <w:vAlign w:val="center"/>
          </w:tcPr>
          <w:p>
            <w:pPr>
              <w:jc w:val="center"/>
            </w:pPr>
            <w:r>
              <w:rPr>
                <w:rFonts w:ascii="Times New Roman" w:cs="Times New Roman" w:eastAsia="Times New Roman" w:hAnsi="Times New Roman"/>
                <w:sz w:val="22"/>
                <w:szCs w:val="22"/>
              </w:rPr>
              <w:t xml:space="preserve">Q11 (KG)</w:t>
            </w:r>
          </w:p>
        </w:tc>
      </w:tr>
      <w:tr>
        <w:tc>
          <w:tcPr>
            <w:tcW w:type="dxa" w:w="1560"/>
            <w:vAlign w:val="center"/>
          </w:tcPr>
          <w:p>
            <w:pPr>
              <w:jc w:val="center"/>
            </w:pPr>
            <w:r>
              <w:rPr>
                <w:rFonts w:ascii="Times New Roman" w:cs="Times New Roman" w:eastAsia="Times New Roman" w:hAnsi="Times New Roman"/>
                <w:sz w:val="22"/>
                <w:szCs w:val="22"/>
              </w:rPr>
              <w:t xml:space="preserve">RISK-07</w:t>
            </w:r>
          </w:p>
        </w:tc>
        <w:tc>
          <w:tcPr>
            <w:tcW w:type="dxa" w:w="5460"/>
            <w:vAlign w:val="center"/>
          </w:tcPr>
          <w:p>
            <w:pPr>
              <w:jc w:val="center"/>
            </w:pPr>
            <w:r>
              <w:rPr>
                <w:rFonts w:ascii="Times New Roman" w:cs="Times New Roman" w:eastAsia="Times New Roman" w:hAnsi="Times New Roman"/>
                <w:sz w:val="22"/>
                <w:szCs w:val="22"/>
              </w:rPr>
              <w:t xml:space="preserve">Stock market guarantees returns</w:t>
            </w:r>
          </w:p>
        </w:tc>
        <w:tc>
          <w:tcPr>
            <w:tcW w:type="dxa" w:w="2340"/>
            <w:vAlign w:val="center"/>
          </w:tcPr>
          <w:p>
            <w:pPr>
              <w:jc w:val="center"/>
            </w:pPr>
            <w:r>
              <w:rPr>
                <w:rFonts w:ascii="Times New Roman" w:cs="Times New Roman" w:eastAsia="Times New Roman" w:hAnsi="Times New Roman"/>
                <w:sz w:val="22"/>
                <w:szCs w:val="22"/>
              </w:rPr>
              <w:t xml:space="preserve">Q31</w:t>
            </w:r>
          </w:p>
        </w:tc>
      </w:tr>
      <w:tr>
        <w:tc>
          <w:tcPr>
            <w:tcW w:type="dxa" w:w="1560"/>
            <w:vAlign w:val="center"/>
          </w:tcPr>
          <w:p>
            <w:pPr>
              <w:jc w:val="center"/>
            </w:pPr>
            <w:r>
              <w:rPr>
                <w:rFonts w:ascii="Times New Roman" w:cs="Times New Roman" w:eastAsia="Times New Roman" w:hAnsi="Times New Roman"/>
                <w:sz w:val="22"/>
                <w:szCs w:val="22"/>
              </w:rPr>
              <w:t xml:space="preserve">RISK-08</w:t>
            </w:r>
          </w:p>
        </w:tc>
        <w:tc>
          <w:tcPr>
            <w:tcW w:type="dxa" w:w="5460"/>
            <w:vAlign w:val="center"/>
          </w:tcPr>
          <w:p>
            <w:pPr>
              <w:jc w:val="center"/>
            </w:pPr>
            <w:r>
              <w:rPr>
                <w:rFonts w:ascii="Times New Roman" w:cs="Times New Roman" w:eastAsia="Times New Roman" w:hAnsi="Times New Roman"/>
                <w:sz w:val="22"/>
                <w:szCs w:val="22"/>
              </w:rPr>
              <w:t xml:space="preserve">Stocks vs. bonds risk confusion</w:t>
            </w:r>
          </w:p>
        </w:tc>
        <w:tc>
          <w:tcPr>
            <w:tcW w:type="dxa" w:w="2340"/>
            <w:vAlign w:val="center"/>
          </w:tcPr>
          <w:p>
            <w:pPr>
              <w:jc w:val="center"/>
            </w:pPr>
            <w:r>
              <w:rPr>
                <w:rFonts w:ascii="Times New Roman" w:cs="Times New Roman" w:eastAsia="Times New Roman" w:hAnsi="Times New Roman"/>
                <w:sz w:val="22"/>
                <w:szCs w:val="22"/>
              </w:rPr>
              <w:t xml:space="preserve">Q39</w:t>
            </w:r>
          </w:p>
        </w:tc>
      </w:tr>
      <w:tr>
        <w:tc>
          <w:tcPr>
            <w:tcW w:type="dxa" w:w="1560"/>
            <w:vAlign w:val="center"/>
          </w:tcPr>
          <w:p>
            <w:pPr>
              <w:jc w:val="center"/>
            </w:pPr>
            <w:r>
              <w:rPr>
                <w:rFonts w:ascii="Times New Roman" w:cs="Times New Roman" w:eastAsia="Times New Roman" w:hAnsi="Times New Roman"/>
                <w:sz w:val="22"/>
                <w:szCs w:val="22"/>
              </w:rPr>
              <w:t xml:space="preserve">RISK-09</w:t>
            </w:r>
          </w:p>
        </w:tc>
        <w:tc>
          <w:tcPr>
            <w:tcW w:type="dxa" w:w="5460"/>
            <w:vAlign w:val="center"/>
          </w:tcPr>
          <w:p>
            <w:pPr>
              <w:jc w:val="center"/>
            </w:pPr>
            <w:r>
              <w:rPr>
                <w:rFonts w:ascii="Times New Roman" w:cs="Times New Roman" w:eastAsia="Times New Roman" w:hAnsi="Times New Roman"/>
                <w:sz w:val="22"/>
                <w:szCs w:val="22"/>
              </w:rPr>
              <w:t xml:space="preserve">Long-term asset return confusion</w:t>
            </w:r>
          </w:p>
        </w:tc>
        <w:tc>
          <w:tcPr>
            <w:tcW w:type="dxa" w:w="2340"/>
            <w:vAlign w:val="center"/>
          </w:tcPr>
          <w:p>
            <w:pPr>
              <w:jc w:val="center"/>
            </w:pPr>
            <w:r>
              <w:rPr>
                <w:rFonts w:ascii="Times New Roman" w:cs="Times New Roman" w:eastAsia="Times New Roman" w:hAnsi="Times New Roman"/>
                <w:sz w:val="22"/>
                <w:szCs w:val="22"/>
              </w:rPr>
              <w:t xml:space="preserve">Q32</w:t>
            </w:r>
          </w:p>
        </w:tc>
      </w:tr>
      <w:tr>
        <w:tc>
          <w:tcPr>
            <w:tcW w:type="dxa" w:w="1560"/>
            <w:vAlign w:val="center"/>
          </w:tcPr>
          <w:p>
            <w:pPr>
              <w:jc w:val="center"/>
            </w:pPr>
            <w:r>
              <w:rPr>
                <w:rFonts w:ascii="Times New Roman" w:cs="Times New Roman" w:eastAsia="Times New Roman" w:hAnsi="Times New Roman"/>
                <w:sz w:val="22"/>
                <w:szCs w:val="22"/>
              </w:rPr>
              <w:t xml:space="preserve">RISK-10</w:t>
            </w:r>
          </w:p>
        </w:tc>
        <w:tc>
          <w:tcPr>
            <w:tcW w:type="dxa" w:w="5460"/>
            <w:vAlign w:val="center"/>
          </w:tcPr>
          <w:p>
            <w:pPr>
              <w:jc w:val="center"/>
            </w:pPr>
            <w:r>
              <w:rPr>
                <w:rFonts w:ascii="Times New Roman" w:cs="Times New Roman" w:eastAsia="Times New Roman" w:hAnsi="Times New Roman"/>
                <w:sz w:val="22"/>
                <w:szCs w:val="22"/>
              </w:rPr>
              <w:t xml:space="preserve">Real-world counterexamples applied</w:t>
            </w:r>
          </w:p>
        </w:tc>
        <w:tc>
          <w:tcPr>
            <w:tcW w:type="dxa" w:w="2340"/>
            <w:vAlign w:val="center"/>
          </w:tcPr>
          <w:p>
            <w:pPr>
              <w:jc w:val="center"/>
            </w:pPr>
            <w:r>
              <w:rPr>
                <w:rFonts w:ascii="Times New Roman" w:cs="Times New Roman" w:eastAsia="Times New Roman" w:hAnsi="Times New Roman"/>
                <w:sz w:val="22"/>
                <w:szCs w:val="22"/>
              </w:rPr>
              <w:t xml:space="preserve">Q35</w:t>
            </w:r>
          </w:p>
        </w:tc>
      </w:tr>
    </w:tbl>
    <w:p>
      <w:pPr>
        <w:pStyle w:val="Heading2"/>
      </w:pPr>
      <w:r>
        <w:t xml:space="preserve">C.4 Insurance and Risk Management (INS)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5460"/>
        <w:gridCol w:w="234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Observed</w:t>
            </w:r>
          </w:p>
        </w:tc>
      </w:tr>
      <w:tr>
        <w:tc>
          <w:tcPr>
            <w:tcW w:type="dxa" w:w="1560"/>
            <w:vAlign w:val="center"/>
          </w:tcPr>
          <w:p>
            <w:pPr>
              <w:jc w:val="center"/>
            </w:pPr>
            <w:r>
              <w:rPr>
                <w:rFonts w:ascii="Times New Roman" w:cs="Times New Roman" w:eastAsia="Times New Roman" w:hAnsi="Times New Roman"/>
                <w:sz w:val="22"/>
                <w:szCs w:val="22"/>
              </w:rPr>
              <w:t xml:space="preserve">INS-01</w:t>
            </w:r>
          </w:p>
        </w:tc>
        <w:tc>
          <w:tcPr>
            <w:tcW w:type="dxa" w:w="5460"/>
            <w:vAlign w:val="center"/>
          </w:tcPr>
          <w:p>
            <w:pPr>
              <w:jc w:val="center"/>
            </w:pPr>
            <w:r>
              <w:rPr>
                <w:rFonts w:ascii="Times New Roman" w:cs="Times New Roman" w:eastAsia="Times New Roman" w:hAnsi="Times New Roman"/>
                <w:sz w:val="22"/>
                <w:szCs w:val="22"/>
              </w:rPr>
              <w:t xml:space="preserve">Insurance for routine care</w:t>
            </w:r>
          </w:p>
        </w:tc>
        <w:tc>
          <w:tcPr>
            <w:tcW w:type="dxa" w:w="2340"/>
            <w:vAlign w:val="center"/>
          </w:tcPr>
          <w:p>
            <w:pPr>
              <w:jc w:val="center"/>
            </w:pPr>
            <w:r>
              <w:rPr>
                <w:rFonts w:ascii="Times New Roman" w:cs="Times New Roman" w:eastAsia="Times New Roman" w:hAnsi="Times New Roman"/>
                <w:sz w:val="22"/>
                <w:szCs w:val="22"/>
              </w:rPr>
              <w:t xml:space="preserve">Q12 (67%)</w:t>
            </w:r>
          </w:p>
        </w:tc>
      </w:tr>
      <w:tr>
        <w:tc>
          <w:tcPr>
            <w:tcW w:type="dxa" w:w="1560"/>
            <w:vAlign w:val="center"/>
          </w:tcPr>
          <w:p>
            <w:pPr>
              <w:jc w:val="center"/>
            </w:pPr>
            <w:r>
              <w:rPr>
                <w:rFonts w:ascii="Times New Roman" w:cs="Times New Roman" w:eastAsia="Times New Roman" w:hAnsi="Times New Roman"/>
                <w:sz w:val="22"/>
                <w:szCs w:val="22"/>
              </w:rPr>
              <w:t xml:space="preserve">INS-02</w:t>
            </w:r>
          </w:p>
        </w:tc>
        <w:tc>
          <w:tcPr>
            <w:tcW w:type="dxa" w:w="5460"/>
            <w:vAlign w:val="center"/>
          </w:tcPr>
          <w:p>
            <w:pPr>
              <w:jc w:val="center"/>
            </w:pPr>
            <w:r>
              <w:rPr>
                <w:rFonts w:ascii="Times New Roman" w:cs="Times New Roman" w:eastAsia="Times New Roman" w:hAnsi="Times New Roman"/>
                <w:sz w:val="22"/>
                <w:szCs w:val="22"/>
              </w:rPr>
              <w:t xml:space="preserve">Frequency = purpose reasoning</w:t>
            </w:r>
          </w:p>
        </w:tc>
        <w:tc>
          <w:tcPr>
            <w:tcW w:type="dxa" w:w="2340"/>
            <w:vAlign w:val="center"/>
          </w:tcPr>
          <w:p>
            <w:pPr>
              <w:jc w:val="center"/>
            </w:pPr>
            <w:r>
              <w:rPr>
                <w:rFonts w:ascii="Times New Roman" w:cs="Times New Roman" w:eastAsia="Times New Roman" w:hAnsi="Times New Roman"/>
                <w:sz w:val="22"/>
                <w:szCs w:val="22"/>
              </w:rPr>
              <w:t xml:space="preserve">Q12</w:t>
            </w:r>
          </w:p>
        </w:tc>
      </w:tr>
      <w:tr>
        <w:tc>
          <w:tcPr>
            <w:tcW w:type="dxa" w:w="1560"/>
            <w:vAlign w:val="center"/>
          </w:tcPr>
          <w:p>
            <w:pPr>
              <w:jc w:val="center"/>
            </w:pPr>
            <w:r>
              <w:rPr>
                <w:rFonts w:ascii="Times New Roman" w:cs="Times New Roman" w:eastAsia="Times New Roman" w:hAnsi="Times New Roman"/>
                <w:sz w:val="22"/>
                <w:szCs w:val="22"/>
              </w:rPr>
              <w:t xml:space="preserve">INS-03</w:t>
            </w:r>
          </w:p>
        </w:tc>
        <w:tc>
          <w:tcPr>
            <w:tcW w:type="dxa" w:w="5460"/>
            <w:vAlign w:val="center"/>
          </w:tcPr>
          <w:p>
            <w:pPr>
              <w:jc w:val="center"/>
            </w:pPr>
            <w:r>
              <w:rPr>
                <w:rFonts w:ascii="Times New Roman" w:cs="Times New Roman" w:eastAsia="Times New Roman" w:hAnsi="Times New Roman"/>
                <w:sz w:val="22"/>
                <w:szCs w:val="22"/>
              </w:rPr>
              <w:t xml:space="preserve">Deductible definition wrong</w:t>
            </w:r>
          </w:p>
        </w:tc>
        <w:tc>
          <w:tcPr>
            <w:tcW w:type="dxa" w:w="2340"/>
            <w:vAlign w:val="center"/>
          </w:tcPr>
          <w:p>
            <w:pPr>
              <w:jc w:val="center"/>
            </w:pPr>
            <w:r>
              <w:rPr>
                <w:rFonts w:ascii="Times New Roman" w:cs="Times New Roman" w:eastAsia="Times New Roman" w:hAnsi="Times New Roman"/>
                <w:sz w:val="22"/>
                <w:szCs w:val="22"/>
              </w:rPr>
              <w:t xml:space="preserve">Q13</w:t>
            </w:r>
          </w:p>
        </w:tc>
      </w:tr>
      <w:tr>
        <w:tc>
          <w:tcPr>
            <w:tcW w:type="dxa" w:w="1560"/>
            <w:vAlign w:val="center"/>
          </w:tcPr>
          <w:p>
            <w:pPr>
              <w:jc w:val="center"/>
            </w:pPr>
            <w:r>
              <w:rPr>
                <w:rFonts w:ascii="Times New Roman" w:cs="Times New Roman" w:eastAsia="Times New Roman" w:hAnsi="Times New Roman"/>
                <w:sz w:val="22"/>
                <w:szCs w:val="22"/>
              </w:rPr>
              <w:t xml:space="preserve">INS-04</w:t>
            </w:r>
          </w:p>
        </w:tc>
        <w:tc>
          <w:tcPr>
            <w:tcW w:type="dxa" w:w="5460"/>
            <w:vAlign w:val="center"/>
          </w:tcPr>
          <w:p>
            <w:pPr>
              <w:jc w:val="center"/>
            </w:pPr>
            <w:r>
              <w:rPr>
                <w:rFonts w:ascii="Times New Roman" w:cs="Times New Roman" w:eastAsia="Times New Roman" w:hAnsi="Times New Roman"/>
                <w:sz w:val="22"/>
                <w:szCs w:val="22"/>
              </w:rPr>
              <w:t xml:space="preserve">Liability coverage scope wrong</w:t>
            </w:r>
          </w:p>
        </w:tc>
        <w:tc>
          <w:tcPr>
            <w:tcW w:type="dxa" w:w="2340"/>
            <w:vAlign w:val="center"/>
          </w:tcPr>
          <w:p>
            <w:pPr>
              <w:jc w:val="center"/>
            </w:pPr>
            <w:r>
              <w:rPr>
                <w:rFonts w:ascii="Times New Roman" w:cs="Times New Roman" w:eastAsia="Times New Roman" w:hAnsi="Times New Roman"/>
                <w:sz w:val="22"/>
                <w:szCs w:val="22"/>
              </w:rPr>
              <w:t xml:space="preserve">Q37</w:t>
            </w:r>
          </w:p>
        </w:tc>
      </w:tr>
      <w:tr>
        <w:tc>
          <w:tcPr>
            <w:tcW w:type="dxa" w:w="1560"/>
            <w:vAlign w:val="center"/>
          </w:tcPr>
          <w:p>
            <w:pPr>
              <w:jc w:val="center"/>
            </w:pPr>
            <w:r>
              <w:rPr>
                <w:rFonts w:ascii="Times New Roman" w:cs="Times New Roman" w:eastAsia="Times New Roman" w:hAnsi="Times New Roman"/>
                <w:sz w:val="22"/>
                <w:szCs w:val="22"/>
              </w:rPr>
              <w:t xml:space="preserve">INS-05</w:t>
            </w:r>
          </w:p>
        </w:tc>
        <w:tc>
          <w:tcPr>
            <w:tcW w:type="dxa" w:w="5460"/>
            <w:vAlign w:val="center"/>
          </w:tcPr>
          <w:p>
            <w:pPr>
              <w:jc w:val="center"/>
            </w:pPr>
            <w:r>
              <w:rPr>
                <w:rFonts w:ascii="Times New Roman" w:cs="Times New Roman" w:eastAsia="Times New Roman" w:hAnsi="Times New Roman"/>
                <w:sz w:val="22"/>
                <w:szCs w:val="22"/>
              </w:rPr>
              <w:t xml:space="preserve">Insurance excludes large bills</w:t>
            </w:r>
          </w:p>
        </w:tc>
        <w:tc>
          <w:tcPr>
            <w:tcW w:type="dxa" w:w="2340"/>
            <w:vAlign w:val="center"/>
          </w:tcPr>
          <w:p>
            <w:pPr>
              <w:jc w:val="center"/>
            </w:pPr>
            <w:r>
              <w:rPr>
                <w:rFonts w:ascii="Times New Roman" w:cs="Times New Roman" w:eastAsia="Times New Roman" w:hAnsi="Times New Roman"/>
                <w:sz w:val="22"/>
                <w:szCs w:val="22"/>
              </w:rPr>
              <w:t xml:space="preserve">Q12</w:t>
            </w:r>
          </w:p>
        </w:tc>
      </w:tr>
    </w:tbl>
    <w:p>
      <w:pPr>
        <w:pStyle w:val="Heading2"/>
      </w:pPr>
      <w:r>
        <w:t xml:space="preserve">C.5 Borrowing, Credit, and Personal Finance (BORROW)</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5460"/>
        <w:gridCol w:w="234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Observed</w:t>
            </w:r>
          </w:p>
        </w:tc>
      </w:tr>
      <w:tr>
        <w:tc>
          <w:tcPr>
            <w:tcW w:type="dxa" w:w="1560"/>
            <w:vAlign w:val="center"/>
          </w:tcPr>
          <w:p>
            <w:pPr>
              <w:jc w:val="center"/>
            </w:pPr>
            <w:r>
              <w:rPr>
                <w:rFonts w:ascii="Times New Roman" w:cs="Times New Roman" w:eastAsia="Times New Roman" w:hAnsi="Times New Roman"/>
                <w:sz w:val="22"/>
                <w:szCs w:val="22"/>
              </w:rPr>
              <w:t xml:space="preserve">BORROW-01</w:t>
            </w:r>
          </w:p>
        </w:tc>
        <w:tc>
          <w:tcPr>
            <w:tcW w:type="dxa" w:w="5460"/>
            <w:vAlign w:val="center"/>
          </w:tcPr>
          <w:p>
            <w:pPr>
              <w:jc w:val="center"/>
            </w:pPr>
            <w:r>
              <w:rPr>
                <w:rFonts w:ascii="Times New Roman" w:cs="Times New Roman" w:eastAsia="Times New Roman" w:hAnsi="Times New Roman"/>
                <w:sz w:val="22"/>
                <w:szCs w:val="22"/>
              </w:rPr>
              <w:t xml:space="preserve">Credit report vs. score confusion</w:t>
            </w:r>
          </w:p>
        </w:tc>
        <w:tc>
          <w:tcPr>
            <w:tcW w:type="dxa" w:w="2340"/>
            <w:vAlign w:val="center"/>
          </w:tcPr>
          <w:p>
            <w:pPr>
              <w:jc w:val="center"/>
            </w:pPr>
            <w:r>
              <w:rPr>
                <w:rFonts w:ascii="Times New Roman" w:cs="Times New Roman" w:eastAsia="Times New Roman" w:hAnsi="Times New Roman"/>
                <w:sz w:val="22"/>
                <w:szCs w:val="22"/>
              </w:rPr>
              <w:t xml:space="preserve">Q10</w:t>
            </w:r>
          </w:p>
        </w:tc>
      </w:tr>
      <w:tr>
        <w:tc>
          <w:tcPr>
            <w:tcW w:type="dxa" w:w="1560"/>
            <w:vAlign w:val="center"/>
          </w:tcPr>
          <w:p>
            <w:pPr>
              <w:jc w:val="center"/>
            </w:pPr>
            <w:r>
              <w:rPr>
                <w:rFonts w:ascii="Times New Roman" w:cs="Times New Roman" w:eastAsia="Times New Roman" w:hAnsi="Times New Roman"/>
                <w:sz w:val="22"/>
                <w:szCs w:val="22"/>
              </w:rPr>
              <w:t xml:space="preserve">BORROW-02</w:t>
            </w:r>
          </w:p>
        </w:tc>
        <w:tc>
          <w:tcPr>
            <w:tcW w:type="dxa" w:w="5460"/>
            <w:vAlign w:val="center"/>
          </w:tcPr>
          <w:p>
            <w:pPr>
              <w:jc w:val="center"/>
            </w:pPr>
            <w:r>
              <w:rPr>
                <w:rFonts w:ascii="Times New Roman" w:cs="Times New Roman" w:eastAsia="Times New Roman" w:hAnsi="Times New Roman"/>
                <w:sz w:val="22"/>
                <w:szCs w:val="22"/>
              </w:rPr>
              <w:t xml:space="preserve">Single credit source belief</w:t>
            </w:r>
          </w:p>
        </w:tc>
        <w:tc>
          <w:tcPr>
            <w:tcW w:type="dxa" w:w="2340"/>
            <w:vAlign w:val="center"/>
          </w:tcPr>
          <w:p>
            <w:pPr>
              <w:jc w:val="center"/>
            </w:pPr>
            <w:r>
              <w:rPr>
                <w:rFonts w:ascii="Times New Roman" w:cs="Times New Roman" w:eastAsia="Times New Roman" w:hAnsi="Times New Roman"/>
                <w:sz w:val="22"/>
                <w:szCs w:val="22"/>
              </w:rPr>
              <w:t xml:space="preserve">Q10</w:t>
            </w:r>
          </w:p>
        </w:tc>
      </w:tr>
      <w:tr>
        <w:tc>
          <w:tcPr>
            <w:tcW w:type="dxa" w:w="1560"/>
            <w:vAlign w:val="center"/>
          </w:tcPr>
          <w:p>
            <w:pPr>
              <w:jc w:val="center"/>
            </w:pPr>
            <w:r>
              <w:rPr>
                <w:rFonts w:ascii="Times New Roman" w:cs="Times New Roman" w:eastAsia="Times New Roman" w:hAnsi="Times New Roman"/>
                <w:sz w:val="22"/>
                <w:szCs w:val="22"/>
              </w:rPr>
              <w:t xml:space="preserve">BORROW-03</w:t>
            </w:r>
          </w:p>
        </w:tc>
        <w:tc>
          <w:tcPr>
            <w:tcW w:type="dxa" w:w="5460"/>
            <w:vAlign w:val="center"/>
          </w:tcPr>
          <w:p>
            <w:pPr>
              <w:jc w:val="center"/>
            </w:pPr>
            <w:r>
              <w:rPr>
                <w:rFonts w:ascii="Times New Roman" w:cs="Times New Roman" w:eastAsia="Times New Roman" w:hAnsi="Times New Roman"/>
                <w:sz w:val="22"/>
                <w:szCs w:val="22"/>
              </w:rPr>
              <w:t xml:space="preserve">Employer credit check unknown</w:t>
            </w:r>
          </w:p>
        </w:tc>
        <w:tc>
          <w:tcPr>
            <w:tcW w:type="dxa" w:w="2340"/>
            <w:vAlign w:val="center"/>
          </w:tcPr>
          <w:p>
            <w:pPr>
              <w:jc w:val="center"/>
            </w:pPr>
            <w:r>
              <w:rPr>
                <w:rFonts w:ascii="Times New Roman" w:cs="Times New Roman" w:eastAsia="Times New Roman" w:hAnsi="Times New Roman"/>
                <w:sz w:val="22"/>
                <w:szCs w:val="22"/>
              </w:rPr>
              <w:t xml:space="preserve">Q10</w:t>
            </w:r>
          </w:p>
        </w:tc>
      </w:tr>
      <w:tr>
        <w:tc>
          <w:tcPr>
            <w:tcW w:type="dxa" w:w="1560"/>
            <w:vAlign w:val="center"/>
          </w:tcPr>
          <w:p>
            <w:pPr>
              <w:jc w:val="center"/>
            </w:pPr>
            <w:r>
              <w:rPr>
                <w:rFonts w:ascii="Times New Roman" w:cs="Times New Roman" w:eastAsia="Times New Roman" w:hAnsi="Times New Roman"/>
                <w:sz w:val="22"/>
                <w:szCs w:val="22"/>
              </w:rPr>
              <w:t xml:space="preserve">BORROW-04</w:t>
            </w:r>
          </w:p>
        </w:tc>
        <w:tc>
          <w:tcPr>
            <w:tcW w:type="dxa" w:w="5460"/>
            <w:vAlign w:val="center"/>
          </w:tcPr>
          <w:p>
            <w:pPr>
              <w:jc w:val="center"/>
            </w:pPr>
            <w:r>
              <w:rPr>
                <w:rFonts w:ascii="Times New Roman" w:cs="Times New Roman" w:eastAsia="Times New Roman" w:hAnsi="Times New Roman"/>
                <w:sz w:val="22"/>
                <w:szCs w:val="22"/>
              </w:rPr>
              <w:t xml:space="preserve">Emergency fund based on income</w:t>
            </w:r>
          </w:p>
        </w:tc>
        <w:tc>
          <w:tcPr>
            <w:tcW w:type="dxa" w:w="2340"/>
            <w:vAlign w:val="center"/>
          </w:tcPr>
          <w:p>
            <w:pPr>
              <w:jc w:val="center"/>
            </w:pPr>
            <w:r>
              <w:rPr>
                <w:rFonts w:ascii="Times New Roman" w:cs="Times New Roman" w:eastAsia="Times New Roman" w:hAnsi="Times New Roman"/>
                <w:sz w:val="22"/>
                <w:szCs w:val="22"/>
              </w:rPr>
              <w:t xml:space="preserve">Q5</w:t>
            </w:r>
          </w:p>
        </w:tc>
      </w:tr>
      <w:tr>
        <w:tc>
          <w:tcPr>
            <w:tcW w:type="dxa" w:w="1560"/>
            <w:vAlign w:val="center"/>
          </w:tcPr>
          <w:p>
            <w:pPr>
              <w:jc w:val="center"/>
            </w:pPr>
            <w:r>
              <w:rPr>
                <w:rFonts w:ascii="Times New Roman" w:cs="Times New Roman" w:eastAsia="Times New Roman" w:hAnsi="Times New Roman"/>
                <w:sz w:val="22"/>
                <w:szCs w:val="22"/>
              </w:rPr>
              <w:t xml:space="preserve">BORROW-05</w:t>
            </w:r>
          </w:p>
        </w:tc>
        <w:tc>
          <w:tcPr>
            <w:tcW w:type="dxa" w:w="5460"/>
            <w:vAlign w:val="center"/>
          </w:tcPr>
          <w:p>
            <w:pPr>
              <w:jc w:val="center"/>
            </w:pPr>
            <w:r>
              <w:rPr>
                <w:rFonts w:ascii="Times New Roman" w:cs="Times New Roman" w:eastAsia="Times New Roman" w:hAnsi="Times New Roman"/>
                <w:sz w:val="22"/>
                <w:szCs w:val="22"/>
              </w:rPr>
              <w:t xml:space="preserve">Emergency fund amount too low</w:t>
            </w:r>
          </w:p>
        </w:tc>
        <w:tc>
          <w:tcPr>
            <w:tcW w:type="dxa" w:w="2340"/>
            <w:vAlign w:val="center"/>
          </w:tcPr>
          <w:p>
            <w:pPr>
              <w:jc w:val="center"/>
            </w:pPr>
            <w:r>
              <w:rPr>
                <w:rFonts w:ascii="Times New Roman" w:cs="Times New Roman" w:eastAsia="Times New Roman" w:hAnsi="Times New Roman"/>
                <w:sz w:val="22"/>
                <w:szCs w:val="22"/>
              </w:rPr>
              <w:t xml:space="preserve">Q5</w:t>
            </w:r>
          </w:p>
        </w:tc>
      </w:tr>
      <w:tr>
        <w:tc>
          <w:tcPr>
            <w:tcW w:type="dxa" w:w="1560"/>
            <w:vAlign w:val="center"/>
          </w:tcPr>
          <w:p>
            <w:pPr>
              <w:jc w:val="center"/>
            </w:pPr>
            <w:r>
              <w:rPr>
                <w:rFonts w:ascii="Times New Roman" w:cs="Times New Roman" w:eastAsia="Times New Roman" w:hAnsi="Times New Roman"/>
                <w:sz w:val="22"/>
                <w:szCs w:val="22"/>
              </w:rPr>
              <w:t xml:space="preserve">BORROW-06</w:t>
            </w:r>
          </w:p>
        </w:tc>
        <w:tc>
          <w:tcPr>
            <w:tcW w:type="dxa" w:w="5460"/>
            <w:vAlign w:val="center"/>
          </w:tcPr>
          <w:p>
            <w:pPr>
              <w:jc w:val="center"/>
            </w:pPr>
            <w:r>
              <w:rPr>
                <w:rFonts w:ascii="Times New Roman" w:cs="Times New Roman" w:eastAsia="Times New Roman" w:hAnsi="Times New Roman"/>
                <w:sz w:val="22"/>
                <w:szCs w:val="22"/>
              </w:rPr>
              <w:t xml:space="preserve">Budgeting purpose misunderstood</w:t>
            </w:r>
          </w:p>
        </w:tc>
        <w:tc>
          <w:tcPr>
            <w:tcW w:type="dxa" w:w="2340"/>
            <w:vAlign w:val="center"/>
          </w:tcPr>
          <w:p>
            <w:pPr>
              <w:jc w:val="center"/>
            </w:pPr>
            <w:r>
              <w:rPr>
                <w:rFonts w:ascii="Times New Roman" w:cs="Times New Roman" w:eastAsia="Times New Roman" w:hAnsi="Times New Roman"/>
                <w:sz w:val="22"/>
                <w:szCs w:val="22"/>
              </w:rPr>
              <w:t xml:space="preserve">Q9 (small n)</w:t>
            </w:r>
          </w:p>
        </w:tc>
      </w:tr>
    </w:tbl>
    <w:p>
      <w:pPr>
        <w:pStyle w:val="Heading2"/>
      </w:pPr>
      <w:r>
        <w:t xml:space="preserve">C.6 Financial Crises and Systemic Risk (CRISIS)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5460"/>
        <w:gridCol w:w="234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Observed</w:t>
            </w:r>
          </w:p>
        </w:tc>
      </w:tr>
      <w:tr>
        <w:tc>
          <w:tcPr>
            <w:tcW w:type="dxa" w:w="1560"/>
            <w:vAlign w:val="center"/>
          </w:tcPr>
          <w:p>
            <w:pPr>
              <w:jc w:val="center"/>
            </w:pPr>
            <w:r>
              <w:rPr>
                <w:rFonts w:ascii="Times New Roman" w:cs="Times New Roman" w:eastAsia="Times New Roman" w:hAnsi="Times New Roman"/>
                <w:sz w:val="22"/>
                <w:szCs w:val="22"/>
              </w:rPr>
              <w:t xml:space="preserve">CRISIS-01</w:t>
            </w:r>
          </w:p>
        </w:tc>
        <w:tc>
          <w:tcPr>
            <w:tcW w:type="dxa" w:w="5460"/>
            <w:vAlign w:val="center"/>
          </w:tcPr>
          <w:p>
            <w:pPr>
              <w:jc w:val="center"/>
            </w:pPr>
            <w:r>
              <w:rPr>
                <w:rFonts w:ascii="Times New Roman" w:cs="Times New Roman" w:eastAsia="Times New Roman" w:hAnsi="Times New Roman"/>
                <w:sz w:val="22"/>
                <w:szCs w:val="22"/>
              </w:rPr>
              <w:t xml:space="preserve">2008 crisis cause reversed</w:t>
            </w:r>
          </w:p>
        </w:tc>
        <w:tc>
          <w:tcPr>
            <w:tcW w:type="dxa" w:w="2340"/>
            <w:vAlign w:val="center"/>
          </w:tcPr>
          <w:p>
            <w:pPr>
              <w:jc w:val="center"/>
            </w:pPr>
            <w:r>
              <w:rPr>
                <w:rFonts w:ascii="Times New Roman" w:cs="Times New Roman" w:eastAsia="Times New Roman" w:hAnsi="Times New Roman"/>
                <w:sz w:val="22"/>
                <w:szCs w:val="22"/>
              </w:rPr>
              <w:t xml:space="preserve">Q40</w:t>
            </w:r>
          </w:p>
        </w:tc>
      </w:tr>
      <w:tr>
        <w:tc>
          <w:tcPr>
            <w:tcW w:type="dxa" w:w="1560"/>
            <w:vAlign w:val="center"/>
          </w:tcPr>
          <w:p>
            <w:pPr>
              <w:jc w:val="center"/>
            </w:pPr>
            <w:r>
              <w:rPr>
                <w:rFonts w:ascii="Times New Roman" w:cs="Times New Roman" w:eastAsia="Times New Roman" w:hAnsi="Times New Roman"/>
                <w:sz w:val="22"/>
                <w:szCs w:val="22"/>
              </w:rPr>
              <w:t xml:space="preserve">CRISIS-02</w:t>
            </w:r>
          </w:p>
        </w:tc>
        <w:tc>
          <w:tcPr>
            <w:tcW w:type="dxa" w:w="5460"/>
            <w:vAlign w:val="center"/>
          </w:tcPr>
          <w:p>
            <w:pPr>
              <w:jc w:val="center"/>
            </w:pPr>
            <w:r>
              <w:rPr>
                <w:rFonts w:ascii="Times New Roman" w:cs="Times New Roman" w:eastAsia="Times New Roman" w:hAnsi="Times New Roman"/>
                <w:sz w:val="22"/>
                <w:szCs w:val="22"/>
              </w:rPr>
              <w:t xml:space="preserve">Crisis attributed to savings risk</w:t>
            </w:r>
          </w:p>
        </w:tc>
        <w:tc>
          <w:tcPr>
            <w:tcW w:type="dxa" w:w="2340"/>
            <w:vAlign w:val="center"/>
          </w:tcPr>
          <w:p>
            <w:pPr>
              <w:jc w:val="center"/>
            </w:pPr>
            <w:r>
              <w:rPr>
                <w:rFonts w:ascii="Times New Roman" w:cs="Times New Roman" w:eastAsia="Times New Roman" w:hAnsi="Times New Roman"/>
                <w:sz w:val="22"/>
                <w:szCs w:val="22"/>
              </w:rPr>
              <w:t xml:space="preserve">Q40</w:t>
            </w:r>
          </w:p>
        </w:tc>
      </w:tr>
      <w:tr>
        <w:tc>
          <w:tcPr>
            <w:tcW w:type="dxa" w:w="1560"/>
            <w:vAlign w:val="center"/>
          </w:tcPr>
          <w:p>
            <w:pPr>
              <w:jc w:val="center"/>
            </w:pPr>
            <w:r>
              <w:rPr>
                <w:rFonts w:ascii="Times New Roman" w:cs="Times New Roman" w:eastAsia="Times New Roman" w:hAnsi="Times New Roman"/>
                <w:sz w:val="22"/>
                <w:szCs w:val="22"/>
              </w:rPr>
              <w:t xml:space="preserve">CRISIS-03</w:t>
            </w:r>
          </w:p>
        </w:tc>
        <w:tc>
          <w:tcPr>
            <w:tcW w:type="dxa" w:w="5460"/>
            <w:vAlign w:val="center"/>
          </w:tcPr>
          <w:p>
            <w:pPr>
              <w:jc w:val="center"/>
            </w:pPr>
            <w:r>
              <w:rPr>
                <w:rFonts w:ascii="Times New Roman" w:cs="Times New Roman" w:eastAsia="Times New Roman" w:hAnsi="Times New Roman"/>
                <w:sz w:val="22"/>
                <w:szCs w:val="22"/>
              </w:rPr>
              <w:t xml:space="preserve">Risk management role misunderstood</w:t>
            </w:r>
          </w:p>
        </w:tc>
        <w:tc>
          <w:tcPr>
            <w:tcW w:type="dxa" w:w="2340"/>
            <w:vAlign w:val="center"/>
          </w:tcPr>
          <w:p>
            <w:pPr>
              <w:jc w:val="center"/>
            </w:pPr>
            <w:r>
              <w:rPr>
                <w:rFonts w:ascii="Times New Roman" w:cs="Times New Roman" w:eastAsia="Times New Roman" w:hAnsi="Times New Roman"/>
                <w:sz w:val="22"/>
                <w:szCs w:val="22"/>
              </w:rPr>
              <w:t xml:space="preserve">Q40</w:t>
            </w:r>
          </w:p>
        </w:tc>
      </w:tr>
    </w:tbl>
    <w:p>
      <w:pPr>
        <w:pStyle w:val="Heading2"/>
      </w:pPr>
      <w:r>
        <w:t xml:space="preserve">C.7 Numeracy and Quantitative Reasoning (NUM)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5460"/>
        <w:gridCol w:w="234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Observed</w:t>
            </w:r>
          </w:p>
        </w:tc>
      </w:tr>
      <w:tr>
        <w:tc>
          <w:tcPr>
            <w:tcW w:type="dxa" w:w="1560"/>
            <w:vAlign w:val="center"/>
          </w:tcPr>
          <w:p>
            <w:pPr>
              <w:jc w:val="center"/>
            </w:pPr>
            <w:r>
              <w:rPr>
                <w:rFonts w:ascii="Times New Roman" w:cs="Times New Roman" w:eastAsia="Times New Roman" w:hAnsi="Times New Roman"/>
                <w:sz w:val="22"/>
                <w:szCs w:val="22"/>
              </w:rPr>
              <w:t xml:space="preserve">NUM-01</w:t>
            </w:r>
          </w:p>
        </w:tc>
        <w:tc>
          <w:tcPr>
            <w:tcW w:type="dxa" w:w="5460"/>
            <w:vAlign w:val="center"/>
          </w:tcPr>
          <w:p>
            <w:pPr>
              <w:jc w:val="center"/>
            </w:pPr>
            <w:r>
              <w:rPr>
                <w:rFonts w:ascii="Times New Roman" w:cs="Times New Roman" w:eastAsia="Times New Roman" w:hAnsi="Times New Roman"/>
                <w:sz w:val="22"/>
                <w:szCs w:val="22"/>
              </w:rPr>
              <w:t xml:space="preserve">Percentage to count conversion error</w:t>
            </w:r>
          </w:p>
        </w:tc>
        <w:tc>
          <w:tcPr>
            <w:tcW w:type="dxa" w:w="2340"/>
            <w:vAlign w:val="center"/>
          </w:tcPr>
          <w:p>
            <w:pPr>
              <w:jc w:val="center"/>
            </w:pPr>
            <w:r>
              <w:rPr>
                <w:rFonts w:ascii="Times New Roman" w:cs="Times New Roman" w:eastAsia="Times New Roman" w:hAnsi="Times New Roman"/>
                <w:sz w:val="22"/>
                <w:szCs w:val="22"/>
              </w:rPr>
              <w:t xml:space="preserve">Q33 (small n)</w:t>
            </w:r>
          </w:p>
        </w:tc>
      </w:tr>
    </w:tbl>
    <w:p>
      <w:pPr>
        <w:pStyle w:val="Heading2"/>
      </w:pPr>
      <w:r>
        <w:t xml:space="preserve">C.8 Cross-Cutting Response Types (Not Misconceptions)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560"/>
        <w:gridCol w:w="2340"/>
        <w:gridCol w:w="5460"/>
      </w:tblGrid>
      <w:tr>
        <w:trPr>
          <w:tblHeader/>
        </w:trPr>
        <w:tc>
          <w:tcPr>
            <w:tcW w:type="dxa" w:w="1560"/>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shd w:fill="D5E8F0" w:color="auto" w:val="clear"/>
            <w:vAlign w:val="center"/>
          </w:tcPr>
          <w:p>
            <w:pPr>
              <w:jc w:val="center"/>
            </w:pPr>
            <w:r>
              <w:rPr>
                <w:rFonts w:ascii="Times New Roman" w:cs="Times New Roman" w:eastAsia="Times New Roman" w:hAnsi="Times New Roman"/>
                <w:b/>
                <w:bCs/>
                <w:sz w:val="22"/>
                <w:szCs w:val="22"/>
              </w:rPr>
              <w:t xml:space="preserve">Type</w:t>
            </w:r>
          </w:p>
        </w:tc>
        <w:tc>
          <w:tcPr>
            <w:tcW w:type="dxa" w:w="5460"/>
            <w:shd w:fill="D5E8F0" w:color="auto"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1560"/>
            <w:vAlign w:val="center"/>
          </w:tcPr>
          <w:p>
            <w:pPr>
              <w:jc w:val="center"/>
            </w:pPr>
            <w:r>
              <w:rPr>
                <w:rFonts w:ascii="Times New Roman" w:cs="Times New Roman" w:eastAsia="Times New Roman" w:hAnsi="Times New Roman"/>
                <w:sz w:val="22"/>
                <w:szCs w:val="22"/>
              </w:rPr>
              <w:t xml:space="preserve">KG</w:t>
            </w:r>
          </w:p>
        </w:tc>
        <w:tc>
          <w:tcPr>
            <w:tcW w:type="dxa" w:w="2340"/>
            <w:vAlign w:val="center"/>
          </w:tcPr>
          <w:p>
            <w:pPr>
              <w:jc w:val="center"/>
            </w:pPr>
            <w:r>
              <w:rPr>
                <w:rFonts w:ascii="Times New Roman" w:cs="Times New Roman" w:eastAsia="Times New Roman" w:hAnsi="Times New Roman"/>
                <w:sz w:val="22"/>
                <w:szCs w:val="22"/>
              </w:rPr>
              <w:t xml:space="preserve">Knowledge Gap</w:t>
            </w:r>
          </w:p>
        </w:tc>
        <w:tc>
          <w:tcPr>
            <w:tcW w:type="dxa" w:w="5460"/>
            <w:vAlign w:val="center"/>
          </w:tcPr>
          <w:p>
            <w:pPr>
              <w:jc w:val="center"/>
            </w:pPr>
            <w:r>
              <w:rPr>
                <w:rFonts w:ascii="Times New Roman" w:cs="Times New Roman" w:eastAsia="Times New Roman" w:hAnsi="Times New Roman"/>
                <w:sz w:val="22"/>
                <w:szCs w:val="22"/>
              </w:rPr>
              <w:t xml:space="preserve">No knowledge (IDK, blank, unfamiliar with terms)</w:t>
            </w:r>
          </w:p>
        </w:tc>
      </w:tr>
      <w:tr>
        <w:tc>
          <w:tcPr>
            <w:tcW w:type="dxa" w:w="1560"/>
            <w:vAlign w:val="center"/>
          </w:tcPr>
          <w:p>
            <w:pPr>
              <w:jc w:val="center"/>
            </w:pPr>
            <w:r>
              <w:rPr>
                <w:rFonts w:ascii="Times New Roman" w:cs="Times New Roman" w:eastAsia="Times New Roman" w:hAnsi="Times New Roman"/>
                <w:sz w:val="22"/>
                <w:szCs w:val="22"/>
              </w:rPr>
              <w:t xml:space="preserve">SE</w:t>
            </w:r>
          </w:p>
        </w:tc>
        <w:tc>
          <w:tcPr>
            <w:tcW w:type="dxa" w:w="2340"/>
            <w:vAlign w:val="center"/>
          </w:tcPr>
          <w:p>
            <w:pPr>
              <w:jc w:val="center"/>
            </w:pPr>
            <w:r>
              <w:rPr>
                <w:rFonts w:ascii="Times New Roman" w:cs="Times New Roman" w:eastAsia="Times New Roman" w:hAnsi="Times New Roman"/>
                <w:sz w:val="22"/>
                <w:szCs w:val="22"/>
              </w:rPr>
              <w:t xml:space="preserve">Selection Error</w:t>
            </w:r>
          </w:p>
        </w:tc>
        <w:tc>
          <w:tcPr>
            <w:tcW w:type="dxa" w:w="5460"/>
            <w:vAlign w:val="center"/>
          </w:tcPr>
          <w:p>
            <w:pPr>
              <w:jc w:val="center"/>
            </w:pPr>
            <w:r>
              <w:rPr>
                <w:rFonts w:ascii="Times New Roman" w:cs="Times New Roman" w:eastAsia="Times New Roman" w:hAnsi="Times New Roman"/>
                <w:sz w:val="22"/>
                <w:szCs w:val="22"/>
              </w:rPr>
              <w:t xml:space="preserve">Correct understanding but wrong answer selected</w:t>
            </w:r>
          </w:p>
        </w:tc>
      </w:tr>
    </w:tbl>
    <w:p>
      <w:pPr>
        <w:spacing w:line="360" w:after="200"/>
        <w:jc w:val="left"/>
      </w:pPr>
      <w:r>
        <w:rPr>
          <w:rFonts w:ascii="Times New Roman" w:cs="Times New Roman" w:eastAsia="Times New Roman" w:hAnsi="Times New Roman"/>
          <w:sz w:val="24"/>
          <w:szCs w:val="24"/>
        </w:rPr>
        <w:t xml:space="preserve">These cross-cutting codes combine with category codes: INF-01 = inflation misconception, INF-KG = inflation knowledge gap, INF-SE = inflation selection error.</w:t>
      </w:r>
    </w:p>
    <w:p>
      <w:r>
        <w:br w:type="page"/>
      </w:r>
    </w:p>
    <w:p>
      <w:pPr>
        <w:pStyle w:val="Heading1"/>
      </w:pPr>
      <w:r>
        <w:rPr>
          <w:rFonts w:ascii="Times New Roman" w:cs="Times New Roman" w:eastAsia="Times New Roman" w:hAnsi="Times New Roman"/>
          <w:b/>
          <w:bCs/>
          <w:sz w:val="28"/>
          <w:szCs w:val="28"/>
        </w:rPr>
        <w:t xml:space="preserve">Appendix D: AI Scorer Model Selection Protocol</w:t>
      </w:r>
    </w:p>
    <w:p>
      <w:pPr>
        <w:spacing w:line="360" w:after="200"/>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To select the scoring model for the AI-assisted classification pipeline (Section 4.2.3), we conducted a multi-model concordance evaluation. Twenty identical open-ended student responses (11 diagnose, 9 confirm) were scored by 11 large language models from seven providers, accessed via the OpenRouter API. Models were evaluated on five criteria: (1) JSON schema compliance (whether diagnose items returned the correct diagnose-format output), (2) parse/API error rate, (3) classification nuance (use of partial credit, confidence variation, and balanced classification distributions), (4) throughput (wall-clock time for 20 responses), and (5) estimated cost for the full corpus of 953 responses.</w:t>
      </w:r>
    </w:p>
    <w:p>
      <w:pPr>
        <w:spacing w:before="240" w:after="120"/>
        <w:jc w:val="center"/>
      </w:pPr>
      <w:r>
        <w:rPr>
          <w:rFonts w:ascii="Times New Roman" w:cs="Times New Roman" w:eastAsia="Times New Roman" w:hAnsi="Times New Roman"/>
          <w:b/>
          <w:bCs/>
          <w:i/>
          <w:iCs/>
          <w:sz w:val="22"/>
          <w:szCs w:val="22"/>
        </w:rPr>
        <w:t xml:space="preserve">Table D.1: Multi-Model Concordance Results (n = 20 identical responses)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1200"/>
        <w:gridCol w:w="800"/>
        <w:gridCol w:w="700"/>
        <w:gridCol w:w="700"/>
        <w:gridCol w:w="600"/>
        <w:gridCol w:w="700"/>
        <w:gridCol w:w="900"/>
        <w:gridCol w:w="800"/>
        <w:gridCol w:w="960"/>
      </w:tblGrid>
      <w:tr>
        <w:trPr>
          <w:tblHeader/>
        </w:trPr>
        <w:tc>
          <w:tcPr>
            <w:tcW w:type="dxa" w:w="1200"/>
            <w:shd w:fill="D5E8F0" w:color="auto" w:val="clear"/>
            <w:vAlign w:val="center"/>
          </w:tcPr>
          <w:p>
            <w:pPr>
              <w:jc w:val="center"/>
            </w:pPr>
            <w:r>
              <w:rPr>
                <w:rFonts w:ascii="Times New Roman" w:cs="Times New Roman" w:eastAsia="Times New Roman" w:hAnsi="Times New Roman"/>
                <w:b/>
                <w:bCs/>
                <w:sz w:val="22"/>
                <w:szCs w:val="22"/>
              </w:rPr>
              <w:t xml:space="preserve">Model</w:t>
            </w:r>
          </w:p>
        </w:tc>
        <w:tc>
          <w:tcPr>
            <w:tcW w:type="dxa" w:w="800"/>
            <w:shd w:fill="D5E8F0" w:color="auto" w:val="clear"/>
            <w:vAlign w:val="center"/>
          </w:tcPr>
          <w:p>
            <w:pPr>
              <w:jc w:val="center"/>
            </w:pPr>
            <w:r>
              <w:rPr>
                <w:rFonts w:ascii="Times New Roman" w:cs="Times New Roman" w:eastAsia="Times New Roman" w:hAnsi="Times New Roman"/>
                <w:b/>
                <w:bCs/>
                <w:sz w:val="22"/>
                <w:szCs w:val="22"/>
              </w:rPr>
              <w:t xml:space="preserve">Provider</w:t>
            </w:r>
          </w:p>
        </w:tc>
        <w:tc>
          <w:tcPr>
            <w:tcW w:type="dxa" w:w="700"/>
            <w:shd w:fill="D5E8F0" w:color="auto" w:val="clear"/>
            <w:vAlign w:val="center"/>
          </w:tcPr>
          <w:p>
            <w:pPr>
              <w:jc w:val="center"/>
            </w:pPr>
            <w:r>
              <w:rPr>
                <w:rFonts w:ascii="Times New Roman" w:cs="Times New Roman" w:eastAsia="Times New Roman" w:hAnsi="Times New Roman"/>
                <w:b/>
                <w:bCs/>
                <w:sz w:val="22"/>
                <w:szCs w:val="22"/>
              </w:rPr>
              <w:t xml:space="preserve">Schema Err</w:t>
            </w:r>
          </w:p>
        </w:tc>
        <w:tc>
          <w:tcPr>
            <w:tcW w:type="dxa" w:w="700"/>
            <w:shd w:fill="D5E8F0" w:color="auto" w:val="clear"/>
            <w:vAlign w:val="center"/>
          </w:tcPr>
          <w:p>
            <w:pPr>
              <w:jc w:val="center"/>
            </w:pPr>
            <w:r>
              <w:rPr>
                <w:rFonts w:ascii="Times New Roman" w:cs="Times New Roman" w:eastAsia="Times New Roman" w:hAnsi="Times New Roman"/>
                <w:b/>
                <w:bCs/>
                <w:sz w:val="22"/>
                <w:szCs w:val="22"/>
              </w:rPr>
              <w:t xml:space="preserve">Errors</w:t>
            </w:r>
          </w:p>
        </w:tc>
        <w:tc>
          <w:tcPr>
            <w:tcW w:type="dxa" w:w="600"/>
            <w:shd w:fill="D5E8F0" w:color="auto" w:val="clear"/>
            <w:vAlign w:val="center"/>
          </w:tcPr>
          <w:p>
            <w:pPr>
              <w:jc w:val="center"/>
            </w:pPr>
            <w:r>
              <w:rPr>
                <w:rFonts w:ascii="Times New Roman" w:cs="Times New Roman" w:eastAsia="Times New Roman" w:hAnsi="Times New Roman"/>
                <w:b/>
                <w:bCs/>
                <w:sz w:val="22"/>
                <w:szCs w:val="22"/>
              </w:rPr>
              <w:t xml:space="preserve">Time</w:t>
            </w:r>
          </w:p>
        </w:tc>
        <w:tc>
          <w:tcPr>
            <w:tcW w:type="dxa" w:w="700"/>
            <w:shd w:fill="D5E8F0" w:color="auto" w:val="clear"/>
            <w:vAlign w:val="center"/>
          </w:tcPr>
          <w:p>
            <w:pPr>
              <w:jc w:val="center"/>
            </w:pPr>
            <w:r>
              <w:rPr>
                <w:rFonts w:ascii="Times New Roman" w:cs="Times New Roman" w:eastAsia="Times New Roman" w:hAnsi="Times New Roman"/>
                <w:b/>
                <w:bCs/>
                <w:sz w:val="22"/>
                <w:szCs w:val="22"/>
              </w:rPr>
              <w:t xml:space="preserve">credit=50</w:t>
            </w:r>
          </w:p>
        </w:tc>
        <w:tc>
          <w:tcPr>
            <w:tcW w:type="dxa" w:w="900"/>
            <w:shd w:fill="D5E8F0" w:color="auto" w:val="clear"/>
            <w:vAlign w:val="center"/>
          </w:tcPr>
          <w:p>
            <w:pPr>
              <w:jc w:val="center"/>
            </w:pPr>
            <w:r>
              <w:rPr>
                <w:rFonts w:ascii="Times New Roman" w:cs="Times New Roman" w:eastAsia="Times New Roman" w:hAnsi="Times New Roman"/>
                <w:b/>
                <w:bCs/>
                <w:sz w:val="22"/>
                <w:szCs w:val="22"/>
              </w:rPr>
              <w:t xml:space="preserve">Conf. Var.</w:t>
            </w:r>
          </w:p>
        </w:tc>
        <w:tc>
          <w:tcPr>
            <w:tcW w:type="dxa" w:w="800"/>
            <w:shd w:fill="D5E8F0" w:color="auto" w:val="clear"/>
            <w:vAlign w:val="center"/>
          </w:tcPr>
          <w:p>
            <w:pPr>
              <w:jc w:val="center"/>
            </w:pPr>
            <w:r>
              <w:rPr>
                <w:rFonts w:ascii="Times New Roman" w:cs="Times New Roman" w:eastAsia="Times New Roman" w:hAnsi="Times New Roman"/>
                <w:b/>
                <w:bCs/>
                <w:sz w:val="22"/>
                <w:szCs w:val="22"/>
              </w:rPr>
              <w:t xml:space="preserve">Cost (953)</w:t>
            </w:r>
          </w:p>
        </w:tc>
        <w:tc>
          <w:tcPr>
            <w:tcW w:type="dxa" w:w="960"/>
            <w:shd w:fill="D5E8F0" w:color="auto" w:val="clear"/>
            <w:vAlign w:val="center"/>
          </w:tcPr>
          <w:p>
            <w:pPr>
              <w:jc w:val="center"/>
            </w:pPr>
            <w:r>
              <w:rPr>
                <w:rFonts w:ascii="Times New Roman" w:cs="Times New Roman" w:eastAsia="Times New Roman" w:hAnsi="Times New Roman"/>
                <w:b/>
                <w:bCs/>
                <w:sz w:val="22"/>
                <w:szCs w:val="22"/>
              </w:rPr>
              <w:t xml:space="preserve">Verdict</w:t>
            </w:r>
          </w:p>
        </w:tc>
      </w:tr>
      <w:tr>
        <w:tc>
          <w:tcPr>
            <w:tcW w:type="dxa" w:w="1200"/>
            <w:vAlign w:val="center"/>
          </w:tcPr>
          <w:p>
            <w:pPr>
              <w:jc w:val="center"/>
            </w:pPr>
            <w:r>
              <w:rPr>
                <w:rFonts w:ascii="Times New Roman" w:cs="Times New Roman" w:eastAsia="Times New Roman" w:hAnsi="Times New Roman"/>
                <w:sz w:val="22"/>
                <w:szCs w:val="22"/>
              </w:rPr>
              <w:t xml:space="preserve">GPT-4.1</w:t>
            </w:r>
          </w:p>
        </w:tc>
        <w:tc>
          <w:tcPr>
            <w:tcW w:type="dxa" w:w="800"/>
            <w:vAlign w:val="center"/>
          </w:tcPr>
          <w:p>
            <w:pPr>
              <w:jc w:val="center"/>
            </w:pPr>
            <w:r>
              <w:rPr>
                <w:rFonts w:ascii="Times New Roman" w:cs="Times New Roman" w:eastAsia="Times New Roman" w:hAnsi="Times New Roman"/>
                <w:sz w:val="22"/>
                <w:szCs w:val="22"/>
              </w:rPr>
              <w:t xml:space="preserve">OpenAI</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600"/>
            <w:vAlign w:val="center"/>
          </w:tcPr>
          <w:p>
            <w:pPr>
              <w:jc w:val="center"/>
            </w:pPr>
            <w:r>
              <w:rPr>
                <w:rFonts w:ascii="Times New Roman" w:cs="Times New Roman" w:eastAsia="Times New Roman" w:hAnsi="Times New Roman"/>
                <w:sz w:val="22"/>
                <w:szCs w:val="22"/>
              </w:rPr>
              <w:t xml:space="preserve">41 s</w:t>
            </w:r>
          </w:p>
        </w:tc>
        <w:tc>
          <w:tcPr>
            <w:tcW w:type="dxa" w:w="700"/>
            <w:vAlign w:val="center"/>
          </w:tcPr>
          <w:p>
            <w:pPr>
              <w:jc w:val="center"/>
            </w:pPr>
            <w:r>
              <w:rPr>
                <w:rFonts w:ascii="Times New Roman" w:cs="Times New Roman" w:eastAsia="Times New Roman" w:hAnsi="Times New Roman"/>
                <w:sz w:val="22"/>
                <w:szCs w:val="22"/>
              </w:rPr>
              <w:t xml:space="preserve">Yes</w:t>
            </w:r>
          </w:p>
        </w:tc>
        <w:tc>
          <w:tcPr>
            <w:tcW w:type="dxa" w:w="900"/>
            <w:vAlign w:val="center"/>
          </w:tcPr>
          <w:p>
            <w:pPr>
              <w:jc w:val="center"/>
            </w:pPr>
            <w:r>
              <w:rPr>
                <w:rFonts w:ascii="Times New Roman" w:cs="Times New Roman" w:eastAsia="Times New Roman" w:hAnsi="Times New Roman"/>
                <w:sz w:val="22"/>
                <w:szCs w:val="22"/>
              </w:rPr>
              <w:t xml:space="preserve">19H / 1M</w:t>
            </w:r>
          </w:p>
        </w:tc>
        <w:tc>
          <w:tcPr>
            <w:tcW w:type="dxa" w:w="800"/>
            <w:vAlign w:val="center"/>
          </w:tcPr>
          <w:p>
            <w:pPr>
              <w:jc w:val="center"/>
            </w:pPr>
            <w:r>
              <w:rPr>
                <w:rFonts w:ascii="Times New Roman" w:cs="Times New Roman" w:eastAsia="Times New Roman" w:hAnsi="Times New Roman"/>
                <w:sz w:val="22"/>
                <w:szCs w:val="22"/>
              </w:rPr>
              <w:t xml:space="preserve">$2.86</w:t>
            </w:r>
          </w:p>
        </w:tc>
        <w:tc>
          <w:tcPr>
            <w:tcW w:type="dxa" w:w="960"/>
            <w:vAlign w:val="center"/>
          </w:tcPr>
          <w:p>
            <w:pPr>
              <w:jc w:val="center"/>
            </w:pPr>
            <w:r>
              <w:rPr>
                <w:rFonts w:ascii="Times New Roman" w:cs="Times New Roman" w:eastAsia="Times New Roman" w:hAnsi="Times New Roman"/>
                <w:sz w:val="22"/>
                <w:szCs w:val="22"/>
              </w:rPr>
              <w:t xml:space="preserve">Selected</w:t>
            </w:r>
          </w:p>
        </w:tc>
      </w:tr>
      <w:tr>
        <w:tc>
          <w:tcPr>
            <w:tcW w:type="dxa" w:w="1200"/>
            <w:vAlign w:val="center"/>
          </w:tcPr>
          <w:p>
            <w:pPr>
              <w:jc w:val="center"/>
            </w:pPr>
            <w:r>
              <w:rPr>
                <w:rFonts w:ascii="Times New Roman" w:cs="Times New Roman" w:eastAsia="Times New Roman" w:hAnsi="Times New Roman"/>
                <w:sz w:val="22"/>
                <w:szCs w:val="22"/>
              </w:rPr>
              <w:t xml:space="preserve">DeepSeek V3.2</w:t>
            </w:r>
          </w:p>
        </w:tc>
        <w:tc>
          <w:tcPr>
            <w:tcW w:type="dxa" w:w="800"/>
            <w:vAlign w:val="center"/>
          </w:tcPr>
          <w:p>
            <w:pPr>
              <w:jc w:val="center"/>
            </w:pPr>
            <w:r>
              <w:rPr>
                <w:rFonts w:ascii="Times New Roman" w:cs="Times New Roman" w:eastAsia="Times New Roman" w:hAnsi="Times New Roman"/>
                <w:sz w:val="22"/>
                <w:szCs w:val="22"/>
              </w:rPr>
              <w:t xml:space="preserve">DeepSeek</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600"/>
            <w:vAlign w:val="center"/>
          </w:tcPr>
          <w:p>
            <w:pPr>
              <w:jc w:val="center"/>
            </w:pPr>
            <w:r>
              <w:rPr>
                <w:rFonts w:ascii="Times New Roman" w:cs="Times New Roman" w:eastAsia="Times New Roman" w:hAnsi="Times New Roman"/>
                <w:sz w:val="22"/>
                <w:szCs w:val="22"/>
              </w:rPr>
              <w:t xml:space="preserve">266 s</w:t>
            </w:r>
          </w:p>
        </w:tc>
        <w:tc>
          <w:tcPr>
            <w:tcW w:type="dxa" w:w="700"/>
            <w:vAlign w:val="center"/>
          </w:tcPr>
          <w:p>
            <w:pPr>
              <w:jc w:val="center"/>
            </w:pPr>
            <w:r>
              <w:rPr>
                <w:rFonts w:ascii="Times New Roman" w:cs="Times New Roman" w:eastAsia="Times New Roman" w:hAnsi="Times New Roman"/>
                <w:sz w:val="22"/>
                <w:szCs w:val="22"/>
              </w:rPr>
              <w:t xml:space="preserve">Yes</w:t>
            </w:r>
          </w:p>
        </w:tc>
        <w:tc>
          <w:tcPr>
            <w:tcW w:type="dxa" w:w="900"/>
            <w:vAlign w:val="center"/>
          </w:tcPr>
          <w:p>
            <w:pPr>
              <w:jc w:val="center"/>
            </w:pPr>
            <w:r>
              <w:rPr>
                <w:rFonts w:ascii="Times New Roman" w:cs="Times New Roman" w:eastAsia="Times New Roman" w:hAnsi="Times New Roman"/>
                <w:sz w:val="22"/>
                <w:szCs w:val="22"/>
              </w:rPr>
              <w:t xml:space="preserve">18H / 2M</w:t>
            </w:r>
          </w:p>
        </w:tc>
        <w:tc>
          <w:tcPr>
            <w:tcW w:type="dxa" w:w="800"/>
            <w:vAlign w:val="center"/>
          </w:tcPr>
          <w:p>
            <w:pPr>
              <w:jc w:val="center"/>
            </w:pPr>
            <w:r>
              <w:rPr>
                <w:rFonts w:ascii="Times New Roman" w:cs="Times New Roman" w:eastAsia="Times New Roman" w:hAnsi="Times New Roman"/>
                <w:sz w:val="22"/>
                <w:szCs w:val="22"/>
              </w:rPr>
              <w:t xml:space="preserve">$0.24</w:t>
            </w:r>
          </w:p>
        </w:tc>
        <w:tc>
          <w:tcPr>
            <w:tcW w:type="dxa" w:w="960"/>
            <w:vAlign w:val="center"/>
          </w:tcPr>
          <w:p>
            <w:pPr>
              <w:jc w:val="center"/>
            </w:pPr>
            <w:r>
              <w:rPr>
                <w:rFonts w:ascii="Times New Roman" w:cs="Times New Roman" w:eastAsia="Times New Roman" w:hAnsi="Times New Roman"/>
                <w:sz w:val="22"/>
                <w:szCs w:val="22"/>
              </w:rPr>
              <w:t xml:space="preserve">Too slow</w:t>
            </w:r>
          </w:p>
        </w:tc>
      </w:tr>
      <w:tr>
        <w:tc>
          <w:tcPr>
            <w:tcW w:type="dxa" w:w="1200"/>
            <w:vAlign w:val="center"/>
          </w:tcPr>
          <w:p>
            <w:pPr>
              <w:jc w:val="center"/>
            </w:pPr>
            <w:r>
              <w:rPr>
                <w:rFonts w:ascii="Times New Roman" w:cs="Times New Roman" w:eastAsia="Times New Roman" w:hAnsi="Times New Roman"/>
                <w:sz w:val="22"/>
                <w:szCs w:val="22"/>
              </w:rPr>
              <w:t xml:space="preserve">Grok 4.1 Fast</w:t>
            </w:r>
          </w:p>
        </w:tc>
        <w:tc>
          <w:tcPr>
            <w:tcW w:type="dxa" w:w="800"/>
            <w:vAlign w:val="center"/>
          </w:tcPr>
          <w:p>
            <w:pPr>
              <w:jc w:val="center"/>
            </w:pPr>
            <w:r>
              <w:rPr>
                <w:rFonts w:ascii="Times New Roman" w:cs="Times New Roman" w:eastAsia="Times New Roman" w:hAnsi="Times New Roman"/>
                <w:sz w:val="22"/>
                <w:szCs w:val="22"/>
              </w:rPr>
              <w:t xml:space="preserve">xAI</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700"/>
            <w:vAlign w:val="center"/>
          </w:tcPr>
          <w:p>
            <w:pPr>
              <w:jc w:val="center"/>
            </w:pPr>
            <w:r>
              <w:rPr>
                <w:rFonts w:ascii="Times New Roman" w:cs="Times New Roman" w:eastAsia="Times New Roman" w:hAnsi="Times New Roman"/>
                <w:sz w:val="22"/>
                <w:szCs w:val="22"/>
              </w:rPr>
              <w:t xml:space="preserve">1 parse</w:t>
            </w:r>
          </w:p>
        </w:tc>
        <w:tc>
          <w:tcPr>
            <w:tcW w:type="dxa" w:w="600"/>
            <w:vAlign w:val="center"/>
          </w:tcPr>
          <w:p>
            <w:pPr>
              <w:jc w:val="center"/>
            </w:pPr>
            <w:r>
              <w:rPr>
                <w:rFonts w:ascii="Times New Roman" w:cs="Times New Roman" w:eastAsia="Times New Roman" w:hAnsi="Times New Roman"/>
                <w:sz w:val="22"/>
                <w:szCs w:val="22"/>
              </w:rPr>
              <w:t xml:space="preserve">144 s</w:t>
            </w:r>
          </w:p>
        </w:tc>
        <w:tc>
          <w:tcPr>
            <w:tcW w:type="dxa" w:w="700"/>
            <w:vAlign w:val="center"/>
          </w:tcPr>
          <w:p>
            <w:pPr>
              <w:jc w:val="center"/>
            </w:pPr>
            <w:r>
              <w:rPr>
                <w:rFonts w:ascii="Times New Roman" w:cs="Times New Roman" w:eastAsia="Times New Roman" w:hAnsi="Times New Roman"/>
                <w:sz w:val="22"/>
                <w:szCs w:val="22"/>
              </w:rPr>
              <w:t xml:space="preserve">Yes</w:t>
            </w:r>
          </w:p>
        </w:tc>
        <w:tc>
          <w:tcPr>
            <w:tcW w:type="dxa" w:w="900"/>
            <w:vAlign w:val="center"/>
          </w:tcPr>
          <w:p>
            <w:pPr>
              <w:jc w:val="center"/>
            </w:pPr>
            <w:r>
              <w:rPr>
                <w:rFonts w:ascii="Times New Roman" w:cs="Times New Roman" w:eastAsia="Times New Roman" w:hAnsi="Times New Roman"/>
                <w:sz w:val="22"/>
                <w:szCs w:val="22"/>
              </w:rPr>
              <w:t xml:space="preserve">18H / 1M</w:t>
            </w:r>
          </w:p>
        </w:tc>
        <w:tc>
          <w:tcPr>
            <w:tcW w:type="dxa" w:w="800"/>
            <w:vAlign w:val="center"/>
          </w:tcPr>
          <w:p>
            <w:pPr>
              <w:jc w:val="center"/>
            </w:pPr>
            <w:r>
              <w:rPr>
                <w:rFonts w:ascii="Times New Roman" w:cs="Times New Roman" w:eastAsia="Times New Roman" w:hAnsi="Times New Roman"/>
                <w:sz w:val="22"/>
                <w:szCs w:val="22"/>
              </w:rPr>
              <w:t xml:space="preserve">$0.22</w:t>
            </w:r>
          </w:p>
        </w:tc>
        <w:tc>
          <w:tcPr>
            <w:tcW w:type="dxa" w:w="960"/>
            <w:vAlign w:val="center"/>
          </w:tcPr>
          <w:p>
            <w:pPr>
              <w:jc w:val="center"/>
            </w:pPr>
            <w:r>
              <w:rPr>
                <w:rFonts w:ascii="Times New Roman" w:cs="Times New Roman" w:eastAsia="Times New Roman" w:hAnsi="Times New Roman"/>
                <w:sz w:val="22"/>
                <w:szCs w:val="22"/>
              </w:rPr>
              <w:t xml:space="preserve">5% errors</w:t>
            </w:r>
          </w:p>
        </w:tc>
      </w:tr>
      <w:tr>
        <w:tc>
          <w:tcPr>
            <w:tcW w:type="dxa" w:w="1200"/>
            <w:vAlign w:val="center"/>
          </w:tcPr>
          <w:p>
            <w:pPr>
              <w:jc w:val="center"/>
            </w:pPr>
            <w:r>
              <w:rPr>
                <w:rFonts w:ascii="Times New Roman" w:cs="Times New Roman" w:eastAsia="Times New Roman" w:hAnsi="Times New Roman"/>
                <w:sz w:val="22"/>
                <w:szCs w:val="22"/>
              </w:rPr>
              <w:t xml:space="preserve">Qwen3-235B</w:t>
            </w:r>
          </w:p>
        </w:tc>
        <w:tc>
          <w:tcPr>
            <w:tcW w:type="dxa" w:w="800"/>
            <w:vAlign w:val="center"/>
          </w:tcPr>
          <w:p>
            <w:pPr>
              <w:jc w:val="center"/>
            </w:pPr>
            <w:r>
              <w:rPr>
                <w:rFonts w:ascii="Times New Roman" w:cs="Times New Roman" w:eastAsia="Times New Roman" w:hAnsi="Times New Roman"/>
                <w:sz w:val="22"/>
                <w:szCs w:val="22"/>
              </w:rPr>
              <w:t xml:space="preserve">Alibaba</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600"/>
            <w:vAlign w:val="center"/>
          </w:tcPr>
          <w:p>
            <w:pPr>
              <w:jc w:val="center"/>
            </w:pPr>
            <w:r>
              <w:rPr>
                <w:rFonts w:ascii="Times New Roman" w:cs="Times New Roman" w:eastAsia="Times New Roman" w:hAnsi="Times New Roman"/>
                <w:sz w:val="22"/>
                <w:szCs w:val="22"/>
              </w:rPr>
              <w:t xml:space="preserve">84 s</w:t>
            </w:r>
          </w:p>
        </w:tc>
        <w:tc>
          <w:tcPr>
            <w:tcW w:type="dxa" w:w="700"/>
            <w:vAlign w:val="center"/>
          </w:tcPr>
          <w:p>
            <w:pPr>
              <w:jc w:val="center"/>
            </w:pPr>
            <w:r>
              <w:rPr>
                <w:rFonts w:ascii="Times New Roman" w:cs="Times New Roman" w:eastAsia="Times New Roman" w:hAnsi="Times New Roman"/>
                <w:sz w:val="22"/>
                <w:szCs w:val="22"/>
              </w:rPr>
              <w:t xml:space="preserve">No</w:t>
            </w:r>
          </w:p>
        </w:tc>
        <w:tc>
          <w:tcPr>
            <w:tcW w:type="dxa" w:w="900"/>
            <w:vAlign w:val="center"/>
          </w:tcPr>
          <w:p>
            <w:pPr>
              <w:jc w:val="center"/>
            </w:pPr>
            <w:r>
              <w:rPr>
                <w:rFonts w:ascii="Times New Roman" w:cs="Times New Roman" w:eastAsia="Times New Roman" w:hAnsi="Times New Roman"/>
                <w:sz w:val="22"/>
                <w:szCs w:val="22"/>
              </w:rPr>
              <w:t xml:space="preserve">20H / 0M</w:t>
            </w:r>
          </w:p>
        </w:tc>
        <w:tc>
          <w:tcPr>
            <w:tcW w:type="dxa" w:w="800"/>
            <w:vAlign w:val="center"/>
          </w:tcPr>
          <w:p>
            <w:pPr>
              <w:jc w:val="center"/>
            </w:pPr>
            <w:r>
              <w:rPr>
                <w:rFonts w:ascii="Times New Roman" w:cs="Times New Roman" w:eastAsia="Times New Roman" w:hAnsi="Times New Roman"/>
                <w:sz w:val="22"/>
                <w:szCs w:val="22"/>
              </w:rPr>
              <w:t xml:space="preserve">$0.07</w:t>
            </w:r>
          </w:p>
        </w:tc>
        <w:tc>
          <w:tcPr>
            <w:tcW w:type="dxa" w:w="960"/>
            <w:vAlign w:val="center"/>
          </w:tcPr>
          <w:p>
            <w:pPr>
              <w:jc w:val="center"/>
            </w:pPr>
            <w:r>
              <w:rPr>
                <w:rFonts w:ascii="Times New Roman" w:cs="Times New Roman" w:eastAsia="Times New Roman" w:hAnsi="Times New Roman"/>
                <w:sz w:val="22"/>
                <w:szCs w:val="22"/>
              </w:rPr>
              <w:t xml:space="preserve">No partial</w:t>
            </w:r>
          </w:p>
        </w:tc>
      </w:tr>
      <w:tr>
        <w:tc>
          <w:tcPr>
            <w:tcW w:type="dxa" w:w="1200"/>
            <w:vAlign w:val="center"/>
          </w:tcPr>
          <w:p>
            <w:pPr>
              <w:jc w:val="center"/>
            </w:pPr>
            <w:r>
              <w:rPr>
                <w:rFonts w:ascii="Times New Roman" w:cs="Times New Roman" w:eastAsia="Times New Roman" w:hAnsi="Times New Roman"/>
                <w:sz w:val="22"/>
                <w:szCs w:val="22"/>
              </w:rPr>
              <w:t xml:space="preserve">GPT-4o-mini</w:t>
            </w:r>
          </w:p>
        </w:tc>
        <w:tc>
          <w:tcPr>
            <w:tcW w:type="dxa" w:w="800"/>
            <w:vAlign w:val="center"/>
          </w:tcPr>
          <w:p>
            <w:pPr>
              <w:jc w:val="center"/>
            </w:pPr>
            <w:r>
              <w:rPr>
                <w:rFonts w:ascii="Times New Roman" w:cs="Times New Roman" w:eastAsia="Times New Roman" w:hAnsi="Times New Roman"/>
                <w:sz w:val="22"/>
                <w:szCs w:val="22"/>
              </w:rPr>
              <w:t xml:space="preserve">OpenAI</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600"/>
            <w:vAlign w:val="center"/>
          </w:tcPr>
          <w:p>
            <w:pPr>
              <w:jc w:val="center"/>
            </w:pPr>
            <w:r>
              <w:rPr>
                <w:rFonts w:ascii="Times New Roman" w:cs="Times New Roman" w:eastAsia="Times New Roman" w:hAnsi="Times New Roman"/>
                <w:sz w:val="22"/>
                <w:szCs w:val="22"/>
              </w:rPr>
              <w:t xml:space="preserve">37 s</w:t>
            </w:r>
          </w:p>
        </w:tc>
        <w:tc>
          <w:tcPr>
            <w:tcW w:type="dxa" w:w="700"/>
            <w:vAlign w:val="center"/>
          </w:tcPr>
          <w:p>
            <w:pPr>
              <w:jc w:val="center"/>
            </w:pPr>
            <w:r>
              <w:rPr>
                <w:rFonts w:ascii="Times New Roman" w:cs="Times New Roman" w:eastAsia="Times New Roman" w:hAnsi="Times New Roman"/>
                <w:sz w:val="22"/>
                <w:szCs w:val="22"/>
              </w:rPr>
              <w:t xml:space="preserve">No</w:t>
            </w:r>
          </w:p>
        </w:tc>
        <w:tc>
          <w:tcPr>
            <w:tcW w:type="dxa" w:w="900"/>
            <w:vAlign w:val="center"/>
          </w:tcPr>
          <w:p>
            <w:pPr>
              <w:jc w:val="center"/>
            </w:pPr>
            <w:r>
              <w:rPr>
                <w:rFonts w:ascii="Times New Roman" w:cs="Times New Roman" w:eastAsia="Times New Roman" w:hAnsi="Times New Roman"/>
                <w:sz w:val="22"/>
                <w:szCs w:val="22"/>
              </w:rPr>
              <w:t xml:space="preserve">18H / 2M</w:t>
            </w:r>
          </w:p>
        </w:tc>
        <w:tc>
          <w:tcPr>
            <w:tcW w:type="dxa" w:w="800"/>
            <w:vAlign w:val="center"/>
          </w:tcPr>
          <w:p>
            <w:pPr>
              <w:jc w:val="center"/>
            </w:pPr>
            <w:r>
              <w:rPr>
                <w:rFonts w:ascii="Times New Roman" w:cs="Times New Roman" w:eastAsia="Times New Roman" w:hAnsi="Times New Roman"/>
                <w:sz w:val="22"/>
                <w:szCs w:val="22"/>
              </w:rPr>
              <w:t xml:space="preserve">$0.22</w:t>
            </w:r>
          </w:p>
        </w:tc>
        <w:tc>
          <w:tcPr>
            <w:tcW w:type="dxa" w:w="960"/>
            <w:vAlign w:val="center"/>
          </w:tcPr>
          <w:p>
            <w:pPr>
              <w:jc w:val="center"/>
            </w:pPr>
            <w:r>
              <w:rPr>
                <w:rFonts w:ascii="Times New Roman" w:cs="Times New Roman" w:eastAsia="Times New Roman" w:hAnsi="Times New Roman"/>
                <w:sz w:val="22"/>
                <w:szCs w:val="22"/>
              </w:rPr>
              <w:t xml:space="preserve">Overly strict</w:t>
            </w:r>
          </w:p>
        </w:tc>
      </w:tr>
      <w:tr>
        <w:tc>
          <w:tcPr>
            <w:tcW w:type="dxa" w:w="1200"/>
            <w:vAlign w:val="center"/>
          </w:tcPr>
          <w:p>
            <w:pPr>
              <w:jc w:val="center"/>
            </w:pPr>
            <w:r>
              <w:rPr>
                <w:rFonts w:ascii="Times New Roman" w:cs="Times New Roman" w:eastAsia="Times New Roman" w:hAnsi="Times New Roman"/>
                <w:sz w:val="22"/>
                <w:szCs w:val="22"/>
              </w:rPr>
              <w:t xml:space="preserve">Haiku 4.5</w:t>
            </w:r>
          </w:p>
        </w:tc>
        <w:tc>
          <w:tcPr>
            <w:tcW w:type="dxa" w:w="800"/>
            <w:vAlign w:val="center"/>
          </w:tcPr>
          <w:p>
            <w:pPr>
              <w:jc w:val="center"/>
            </w:pPr>
            <w:r>
              <w:rPr>
                <w:rFonts w:ascii="Times New Roman" w:cs="Times New Roman" w:eastAsia="Times New Roman" w:hAnsi="Times New Roman"/>
                <w:sz w:val="22"/>
                <w:szCs w:val="22"/>
              </w:rPr>
              <w:t xml:space="preserve">Anthropic</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600"/>
            <w:vAlign w:val="center"/>
          </w:tcPr>
          <w:p>
            <w:pPr>
              <w:jc w:val="center"/>
            </w:pPr>
            <w:r>
              <w:rPr>
                <w:rFonts w:ascii="Times New Roman" w:cs="Times New Roman" w:eastAsia="Times New Roman" w:hAnsi="Times New Roman"/>
                <w:sz w:val="22"/>
                <w:szCs w:val="22"/>
              </w:rPr>
              <w:t xml:space="preserve">56 s</w:t>
            </w:r>
          </w:p>
        </w:tc>
        <w:tc>
          <w:tcPr>
            <w:tcW w:type="dxa" w:w="700"/>
            <w:vAlign w:val="center"/>
          </w:tcPr>
          <w:p>
            <w:pPr>
              <w:jc w:val="center"/>
            </w:pPr>
            <w:r>
              <w:rPr>
                <w:rFonts w:ascii="Times New Roman" w:cs="Times New Roman" w:eastAsia="Times New Roman" w:hAnsi="Times New Roman"/>
                <w:sz w:val="22"/>
                <w:szCs w:val="22"/>
              </w:rPr>
              <w:t xml:space="preserve">No</w:t>
            </w:r>
          </w:p>
        </w:tc>
        <w:tc>
          <w:tcPr>
            <w:tcW w:type="dxa" w:w="900"/>
            <w:vAlign w:val="center"/>
          </w:tcPr>
          <w:p>
            <w:pPr>
              <w:jc w:val="center"/>
            </w:pPr>
            <w:r>
              <w:rPr>
                <w:rFonts w:ascii="Times New Roman" w:cs="Times New Roman" w:eastAsia="Times New Roman" w:hAnsi="Times New Roman"/>
                <w:sz w:val="22"/>
                <w:szCs w:val="22"/>
              </w:rPr>
              <w:t xml:space="preserve">20H / 0M</w:t>
            </w:r>
          </w:p>
        </w:tc>
        <w:tc>
          <w:tcPr>
            <w:tcW w:type="dxa" w:w="800"/>
            <w:vAlign w:val="center"/>
          </w:tcPr>
          <w:p>
            <w:pPr>
              <w:jc w:val="center"/>
            </w:pPr>
            <w:r>
              <w:rPr>
                <w:rFonts w:ascii="Times New Roman" w:cs="Times New Roman" w:eastAsia="Times New Roman" w:hAnsi="Times New Roman"/>
                <w:sz w:val="22"/>
                <w:szCs w:val="22"/>
              </w:rPr>
              <w:t xml:space="preserve">$1.58</w:t>
            </w:r>
          </w:p>
        </w:tc>
        <w:tc>
          <w:tcPr>
            <w:tcW w:type="dxa" w:w="960"/>
            <w:vAlign w:val="center"/>
          </w:tcPr>
          <w:p>
            <w:pPr>
              <w:jc w:val="center"/>
            </w:pPr>
            <w:r>
              <w:rPr>
                <w:rFonts w:ascii="Times New Roman" w:cs="Times New Roman" w:eastAsia="Times New Roman" w:hAnsi="Times New Roman"/>
                <w:sz w:val="22"/>
                <w:szCs w:val="22"/>
              </w:rPr>
              <w:t xml:space="preserve">Over-detects SE</w:t>
            </w:r>
          </w:p>
        </w:tc>
      </w:tr>
      <w:tr>
        <w:tc>
          <w:tcPr>
            <w:tcW w:type="dxa" w:w="1200"/>
            <w:vAlign w:val="center"/>
          </w:tcPr>
          <w:p>
            <w:pPr>
              <w:jc w:val="center"/>
            </w:pPr>
            <w:r>
              <w:rPr>
                <w:rFonts w:ascii="Times New Roman" w:cs="Times New Roman" w:eastAsia="Times New Roman" w:hAnsi="Times New Roman"/>
                <w:sz w:val="22"/>
                <w:szCs w:val="22"/>
              </w:rPr>
              <w:t xml:space="preserve">Gemini 3 Flash</w:t>
            </w:r>
          </w:p>
        </w:tc>
        <w:tc>
          <w:tcPr>
            <w:tcW w:type="dxa" w:w="800"/>
            <w:vAlign w:val="center"/>
          </w:tcPr>
          <w:p>
            <w:pPr>
              <w:jc w:val="center"/>
            </w:pPr>
            <w:r>
              <w:rPr>
                <w:rFonts w:ascii="Times New Roman" w:cs="Times New Roman" w:eastAsia="Times New Roman" w:hAnsi="Times New Roman"/>
                <w:sz w:val="22"/>
                <w:szCs w:val="22"/>
              </w:rPr>
              <w:t xml:space="preserve">Google</w:t>
            </w:r>
          </w:p>
        </w:tc>
        <w:tc>
          <w:tcPr>
            <w:tcW w:type="dxa" w:w="700"/>
            <w:vAlign w:val="center"/>
          </w:tcPr>
          <w:p>
            <w:pPr>
              <w:jc w:val="center"/>
            </w:pPr>
            <w:r>
              <w:rPr>
                <w:rFonts w:ascii="Times New Roman" w:cs="Times New Roman" w:eastAsia="Times New Roman" w:hAnsi="Times New Roman"/>
                <w:sz w:val="22"/>
                <w:szCs w:val="22"/>
              </w:rPr>
              <w:t xml:space="preserve">1</w:t>
            </w:r>
          </w:p>
        </w:tc>
        <w:tc>
          <w:tcPr>
            <w:tcW w:type="dxa" w:w="700"/>
            <w:vAlign w:val="center"/>
          </w:tcPr>
          <w:p>
            <w:pPr>
              <w:jc w:val="center"/>
            </w:pPr>
            <w:r>
              <w:rPr>
                <w:rFonts w:ascii="Times New Roman" w:cs="Times New Roman" w:eastAsia="Times New Roman" w:hAnsi="Times New Roman"/>
                <w:sz w:val="22"/>
                <w:szCs w:val="22"/>
              </w:rPr>
              <w:t xml:space="preserve">1 (429)</w:t>
            </w:r>
          </w:p>
        </w:tc>
        <w:tc>
          <w:tcPr>
            <w:tcW w:type="dxa" w:w="600"/>
            <w:vAlign w:val="center"/>
          </w:tcPr>
          <w:p>
            <w:pPr>
              <w:jc w:val="center"/>
            </w:pPr>
            <w:r>
              <w:rPr>
                <w:rFonts w:ascii="Times New Roman" w:cs="Times New Roman" w:eastAsia="Times New Roman" w:hAnsi="Times New Roman"/>
                <w:sz w:val="22"/>
                <w:szCs w:val="22"/>
              </w:rPr>
              <w:t xml:space="preserve">42 s</w:t>
            </w:r>
          </w:p>
        </w:tc>
        <w:tc>
          <w:tcPr>
            <w:tcW w:type="dxa" w:w="700"/>
            <w:vAlign w:val="center"/>
          </w:tcPr>
          <w:p>
            <w:pPr>
              <w:jc w:val="center"/>
            </w:pPr>
            <w:r>
              <w:rPr>
                <w:rFonts w:ascii="Times New Roman" w:cs="Times New Roman" w:eastAsia="Times New Roman" w:hAnsi="Times New Roman"/>
                <w:sz w:val="22"/>
                <w:szCs w:val="22"/>
              </w:rPr>
              <w:t xml:space="preserve">Yes</w:t>
            </w:r>
          </w:p>
        </w:tc>
        <w:tc>
          <w:tcPr>
            <w:tcW w:type="dxa" w:w="900"/>
            <w:vAlign w:val="center"/>
          </w:tcPr>
          <w:p>
            <w:pPr>
              <w:jc w:val="center"/>
            </w:pPr>
            <w:r>
              <w:rPr>
                <w:rFonts w:ascii="Times New Roman" w:cs="Times New Roman" w:eastAsia="Times New Roman" w:hAnsi="Times New Roman"/>
                <w:sz w:val="22"/>
                <w:szCs w:val="22"/>
              </w:rPr>
              <w:t xml:space="preserve">18H / 1M</w:t>
            </w:r>
          </w:p>
        </w:tc>
        <w:tc>
          <w:tcPr>
            <w:tcW w:type="dxa" w:w="800"/>
            <w:vAlign w:val="center"/>
          </w:tcPr>
          <w:p>
            <w:pPr>
              <w:jc w:val="center"/>
            </w:pPr>
            <w:r>
              <w:rPr>
                <w:rFonts w:ascii="Times New Roman" w:cs="Times New Roman" w:eastAsia="Times New Roman" w:hAnsi="Times New Roman"/>
                <w:sz w:val="22"/>
                <w:szCs w:val="22"/>
              </w:rPr>
              <w:t xml:space="preserve">$0.80</w:t>
            </w:r>
          </w:p>
        </w:tc>
        <w:tc>
          <w:tcPr>
            <w:tcW w:type="dxa" w:w="960"/>
            <w:vAlign w:val="center"/>
          </w:tcPr>
          <w:p>
            <w:pPr>
              <w:jc w:val="center"/>
            </w:pPr>
            <w:r>
              <w:rPr>
                <w:rFonts w:ascii="Times New Roman" w:cs="Times New Roman" w:eastAsia="Times New Roman" w:hAnsi="Times New Roman"/>
                <w:sz w:val="22"/>
                <w:szCs w:val="22"/>
              </w:rPr>
              <w:t xml:space="preserve">Schema err</w:t>
            </w:r>
          </w:p>
        </w:tc>
      </w:tr>
      <w:tr>
        <w:tc>
          <w:tcPr>
            <w:tcW w:type="dxa" w:w="1200"/>
            <w:vAlign w:val="center"/>
          </w:tcPr>
          <w:p>
            <w:pPr>
              <w:jc w:val="center"/>
            </w:pPr>
            <w:r>
              <w:rPr>
                <w:rFonts w:ascii="Times New Roman" w:cs="Times New Roman" w:eastAsia="Times New Roman" w:hAnsi="Times New Roman"/>
                <w:sz w:val="22"/>
                <w:szCs w:val="22"/>
              </w:rPr>
              <w:t xml:space="preserve">Sonnet 4.5</w:t>
            </w:r>
          </w:p>
        </w:tc>
        <w:tc>
          <w:tcPr>
            <w:tcW w:type="dxa" w:w="800"/>
            <w:vAlign w:val="center"/>
          </w:tcPr>
          <w:p>
            <w:pPr>
              <w:jc w:val="center"/>
            </w:pPr>
            <w:r>
              <w:rPr>
                <w:rFonts w:ascii="Times New Roman" w:cs="Times New Roman" w:eastAsia="Times New Roman" w:hAnsi="Times New Roman"/>
                <w:sz w:val="22"/>
                <w:szCs w:val="22"/>
              </w:rPr>
              <w:t xml:space="preserve">Anthropic</w:t>
            </w:r>
          </w:p>
        </w:tc>
        <w:tc>
          <w:tcPr>
            <w:tcW w:type="dxa" w:w="700"/>
            <w:vAlign w:val="center"/>
          </w:tcPr>
          <w:p>
            <w:pPr>
              <w:jc w:val="center"/>
            </w:pPr>
            <w:r>
              <w:rPr>
                <w:rFonts w:ascii="Times New Roman" w:cs="Times New Roman" w:eastAsia="Times New Roman" w:hAnsi="Times New Roman"/>
                <w:sz w:val="22"/>
                <w:szCs w:val="22"/>
              </w:rPr>
              <w:t xml:space="preserve">1</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600"/>
            <w:vAlign w:val="center"/>
          </w:tcPr>
          <w:p>
            <w:pPr>
              <w:jc w:val="center"/>
            </w:pPr>
            <w:r>
              <w:rPr>
                <w:rFonts w:ascii="Times New Roman" w:cs="Times New Roman" w:eastAsia="Times New Roman" w:hAnsi="Times New Roman"/>
                <w:sz w:val="22"/>
                <w:szCs w:val="22"/>
              </w:rPr>
              <w:t xml:space="preserve">71 s</w:t>
            </w:r>
          </w:p>
        </w:tc>
        <w:tc>
          <w:tcPr>
            <w:tcW w:type="dxa" w:w="700"/>
            <w:vAlign w:val="center"/>
          </w:tcPr>
          <w:p>
            <w:pPr>
              <w:jc w:val="center"/>
            </w:pPr>
            <w:r>
              <w:rPr>
                <w:rFonts w:ascii="Times New Roman" w:cs="Times New Roman" w:eastAsia="Times New Roman" w:hAnsi="Times New Roman"/>
                <w:sz w:val="22"/>
                <w:szCs w:val="22"/>
              </w:rPr>
              <w:t xml:space="preserve">Yes</w:t>
            </w:r>
          </w:p>
        </w:tc>
        <w:tc>
          <w:tcPr>
            <w:tcW w:type="dxa" w:w="900"/>
            <w:vAlign w:val="center"/>
          </w:tcPr>
          <w:p>
            <w:pPr>
              <w:jc w:val="center"/>
            </w:pPr>
            <w:r>
              <w:rPr>
                <w:rFonts w:ascii="Times New Roman" w:cs="Times New Roman" w:eastAsia="Times New Roman" w:hAnsi="Times New Roman"/>
                <w:sz w:val="22"/>
                <w:szCs w:val="22"/>
              </w:rPr>
              <w:t xml:space="preserve">19H / 1M</w:t>
            </w:r>
          </w:p>
        </w:tc>
        <w:tc>
          <w:tcPr>
            <w:tcW w:type="dxa" w:w="800"/>
            <w:vAlign w:val="center"/>
          </w:tcPr>
          <w:p>
            <w:pPr>
              <w:jc w:val="center"/>
            </w:pPr>
            <w:r>
              <w:rPr>
                <w:rFonts w:ascii="Times New Roman" w:cs="Times New Roman" w:eastAsia="Times New Roman" w:hAnsi="Times New Roman"/>
                <w:sz w:val="22"/>
                <w:szCs w:val="22"/>
              </w:rPr>
              <w:t xml:space="preserve">$4.72</w:t>
            </w:r>
          </w:p>
        </w:tc>
        <w:tc>
          <w:tcPr>
            <w:tcW w:type="dxa" w:w="960"/>
            <w:vAlign w:val="center"/>
          </w:tcPr>
          <w:p>
            <w:pPr>
              <w:jc w:val="center"/>
            </w:pPr>
            <w:r>
              <w:rPr>
                <w:rFonts w:ascii="Times New Roman" w:cs="Times New Roman" w:eastAsia="Times New Roman" w:hAnsi="Times New Roman"/>
                <w:sz w:val="22"/>
                <w:szCs w:val="22"/>
              </w:rPr>
              <w:t xml:space="preserve">Schema err</w:t>
            </w:r>
          </w:p>
        </w:tc>
      </w:tr>
      <w:tr>
        <w:tc>
          <w:tcPr>
            <w:tcW w:type="dxa" w:w="1200"/>
            <w:vAlign w:val="center"/>
          </w:tcPr>
          <w:p>
            <w:pPr>
              <w:jc w:val="center"/>
            </w:pPr>
            <w:r>
              <w:rPr>
                <w:rFonts w:ascii="Times New Roman" w:cs="Times New Roman" w:eastAsia="Times New Roman" w:hAnsi="Times New Roman"/>
                <w:sz w:val="22"/>
                <w:szCs w:val="22"/>
              </w:rPr>
              <w:t xml:space="preserve">Gemini 2.0 Flash</w:t>
            </w:r>
          </w:p>
        </w:tc>
        <w:tc>
          <w:tcPr>
            <w:tcW w:type="dxa" w:w="800"/>
            <w:vAlign w:val="center"/>
          </w:tcPr>
          <w:p>
            <w:pPr>
              <w:jc w:val="center"/>
            </w:pPr>
            <w:r>
              <w:rPr>
                <w:rFonts w:ascii="Times New Roman" w:cs="Times New Roman" w:eastAsia="Times New Roman" w:hAnsi="Times New Roman"/>
                <w:sz w:val="22"/>
                <w:szCs w:val="22"/>
              </w:rPr>
              <w:t xml:space="preserve">Google</w:t>
            </w:r>
          </w:p>
        </w:tc>
        <w:tc>
          <w:tcPr>
            <w:tcW w:type="dxa" w:w="700"/>
            <w:vAlign w:val="center"/>
          </w:tcPr>
          <w:p>
            <w:pPr>
              <w:jc w:val="center"/>
            </w:pPr>
            <w:r>
              <w:rPr>
                <w:rFonts w:ascii="Times New Roman" w:cs="Times New Roman" w:eastAsia="Times New Roman" w:hAnsi="Times New Roman"/>
                <w:sz w:val="22"/>
                <w:szCs w:val="22"/>
              </w:rPr>
              <w:t xml:space="preserve">2</w:t>
            </w:r>
          </w:p>
        </w:tc>
        <w:tc>
          <w:tcPr>
            <w:tcW w:type="dxa" w:w="700"/>
            <w:vAlign w:val="center"/>
          </w:tcPr>
          <w:p>
            <w:pPr>
              <w:jc w:val="center"/>
            </w:pPr>
            <w:r>
              <w:rPr>
                <w:rFonts w:ascii="Times New Roman" w:cs="Times New Roman" w:eastAsia="Times New Roman" w:hAnsi="Times New Roman"/>
                <w:sz w:val="22"/>
                <w:szCs w:val="22"/>
              </w:rPr>
              <w:t xml:space="preserve">0</w:t>
            </w:r>
          </w:p>
        </w:tc>
        <w:tc>
          <w:tcPr>
            <w:tcW w:type="dxa" w:w="600"/>
            <w:vAlign w:val="center"/>
          </w:tcPr>
          <w:p>
            <w:pPr>
              <w:jc w:val="center"/>
            </w:pPr>
            <w:r>
              <w:rPr>
                <w:rFonts w:ascii="Times New Roman" w:cs="Times New Roman" w:eastAsia="Times New Roman" w:hAnsi="Times New Roman"/>
                <w:sz w:val="22"/>
                <w:szCs w:val="22"/>
              </w:rPr>
              <w:t xml:space="preserve">34 s</w:t>
            </w:r>
          </w:p>
        </w:tc>
        <w:tc>
          <w:tcPr>
            <w:tcW w:type="dxa" w:w="700"/>
            <w:vAlign w:val="center"/>
          </w:tcPr>
          <w:p>
            <w:pPr>
              <w:jc w:val="center"/>
            </w:pPr>
            <w:r>
              <w:rPr>
                <w:rFonts w:ascii="Times New Roman" w:cs="Times New Roman" w:eastAsia="Times New Roman" w:hAnsi="Times New Roman"/>
                <w:sz w:val="22"/>
                <w:szCs w:val="22"/>
              </w:rPr>
              <w:t xml:space="preserve">No</w:t>
            </w:r>
          </w:p>
        </w:tc>
        <w:tc>
          <w:tcPr>
            <w:tcW w:type="dxa" w:w="900"/>
            <w:vAlign w:val="center"/>
          </w:tcPr>
          <w:p>
            <w:pPr>
              <w:jc w:val="center"/>
            </w:pPr>
            <w:r>
              <w:rPr>
                <w:rFonts w:ascii="Times New Roman" w:cs="Times New Roman" w:eastAsia="Times New Roman" w:hAnsi="Times New Roman"/>
                <w:sz w:val="22"/>
                <w:szCs w:val="22"/>
              </w:rPr>
              <w:t xml:space="preserve">20H / 0M</w:t>
            </w:r>
          </w:p>
        </w:tc>
        <w:tc>
          <w:tcPr>
            <w:tcW w:type="dxa" w:w="800"/>
            <w:vAlign w:val="center"/>
          </w:tcPr>
          <w:p>
            <w:pPr>
              <w:jc w:val="center"/>
            </w:pPr>
            <w:r>
              <w:rPr>
                <w:rFonts w:ascii="Times New Roman" w:cs="Times New Roman" w:eastAsia="Times New Roman" w:hAnsi="Times New Roman"/>
                <w:sz w:val="22"/>
                <w:szCs w:val="22"/>
              </w:rPr>
              <w:t xml:space="preserve">$0.15</w:t>
            </w:r>
          </w:p>
        </w:tc>
        <w:tc>
          <w:tcPr>
            <w:tcW w:type="dxa" w:w="960"/>
            <w:vAlign w:val="center"/>
          </w:tcPr>
          <w:p>
            <w:pPr>
              <w:jc w:val="center"/>
            </w:pPr>
            <w:r>
              <w:rPr>
                <w:rFonts w:ascii="Times New Roman" w:cs="Times New Roman" w:eastAsia="Times New Roman" w:hAnsi="Times New Roman"/>
                <w:sz w:val="22"/>
                <w:szCs w:val="22"/>
              </w:rPr>
              <w:t xml:space="preserve">Disqualified</w:t>
            </w:r>
          </w:p>
        </w:tc>
      </w:tr>
      <w:tr>
        <w:tc>
          <w:tcPr>
            <w:tcW w:type="dxa" w:w="1200"/>
            <w:vAlign w:val="center"/>
          </w:tcPr>
          <w:p>
            <w:pPr>
              <w:jc w:val="center"/>
            </w:pPr>
            <w:r>
              <w:rPr>
                <w:rFonts w:ascii="Times New Roman" w:cs="Times New Roman" w:eastAsia="Times New Roman" w:hAnsi="Times New Roman"/>
                <w:sz w:val="22"/>
                <w:szCs w:val="22"/>
              </w:rPr>
              <w:t xml:space="preserve">Minimax M2.1</w:t>
            </w:r>
          </w:p>
        </w:tc>
        <w:tc>
          <w:tcPr>
            <w:tcW w:type="dxa" w:w="800"/>
            <w:vAlign w:val="center"/>
          </w:tcPr>
          <w:p>
            <w:pPr>
              <w:jc w:val="center"/>
            </w:pPr>
            <w:r>
              <w:rPr>
                <w:rFonts w:ascii="Times New Roman" w:cs="Times New Roman" w:eastAsia="Times New Roman" w:hAnsi="Times New Roman"/>
                <w:sz w:val="22"/>
                <w:szCs w:val="22"/>
              </w:rPr>
              <w:t xml:space="preserve">Minimax</w:t>
            </w:r>
          </w:p>
        </w:tc>
        <w:tc>
          <w:tcPr>
            <w:tcW w:type="dxa" w:w="700"/>
            <w:vAlign w:val="center"/>
          </w:tcPr>
          <w:p>
            <w:pPr>
              <w:jc w:val="center"/>
            </w:pPr>
            <w:r>
              <w:rPr>
                <w:rFonts w:ascii="Times New Roman" w:cs="Times New Roman" w:eastAsia="Times New Roman" w:hAnsi="Times New Roman"/>
                <w:sz w:val="22"/>
                <w:szCs w:val="22"/>
              </w:rPr>
              <w:t xml:space="preserve">—</w:t>
            </w:r>
          </w:p>
        </w:tc>
        <w:tc>
          <w:tcPr>
            <w:tcW w:type="dxa" w:w="700"/>
            <w:vAlign w:val="center"/>
          </w:tcPr>
          <w:p>
            <w:pPr>
              <w:jc w:val="center"/>
            </w:pPr>
            <w:r>
              <w:rPr>
                <w:rFonts w:ascii="Times New Roman" w:cs="Times New Roman" w:eastAsia="Times New Roman" w:hAnsi="Times New Roman"/>
                <w:sz w:val="22"/>
                <w:szCs w:val="22"/>
              </w:rPr>
              <w:t xml:space="preserve">19/20</w:t>
            </w:r>
          </w:p>
        </w:tc>
        <w:tc>
          <w:tcPr>
            <w:tcW w:type="dxa" w:w="600"/>
            <w:vAlign w:val="center"/>
          </w:tcPr>
          <w:p>
            <w:pPr>
              <w:jc w:val="center"/>
            </w:pPr>
            <w:r>
              <w:rPr>
                <w:rFonts w:ascii="Times New Roman" w:cs="Times New Roman" w:eastAsia="Times New Roman" w:hAnsi="Times New Roman"/>
                <w:sz w:val="22"/>
                <w:szCs w:val="22"/>
              </w:rPr>
              <w:t xml:space="preserve">83 s</w:t>
            </w:r>
          </w:p>
        </w:tc>
        <w:tc>
          <w:tcPr>
            <w:tcW w:type="dxa" w:w="700"/>
            <w:vAlign w:val="center"/>
          </w:tcPr>
          <w:p>
            <w:pPr>
              <w:jc w:val="center"/>
            </w:pPr>
            <w:r>
              <w:rPr>
                <w:rFonts w:ascii="Times New Roman" w:cs="Times New Roman" w:eastAsia="Times New Roman" w:hAnsi="Times New Roman"/>
                <w:sz w:val="22"/>
                <w:szCs w:val="22"/>
              </w:rPr>
              <w:t xml:space="preserve">—</w:t>
            </w:r>
          </w:p>
        </w:tc>
        <w:tc>
          <w:tcPr>
            <w:tcW w:type="dxa" w:w="900"/>
            <w:vAlign w:val="center"/>
          </w:tcPr>
          <w:p>
            <w:pPr>
              <w:jc w:val="center"/>
            </w:pPr>
            <w:r>
              <w:rPr>
                <w:rFonts w:ascii="Times New Roman" w:cs="Times New Roman" w:eastAsia="Times New Roman" w:hAnsi="Times New Roman"/>
                <w:sz w:val="22"/>
                <w:szCs w:val="22"/>
              </w:rPr>
              <w:t xml:space="preserve">—</w:t>
            </w:r>
          </w:p>
        </w:tc>
        <w:tc>
          <w:tcPr>
            <w:tcW w:type="dxa" w:w="800"/>
            <w:vAlign w:val="center"/>
          </w:tcPr>
          <w:p>
            <w:pPr>
              <w:jc w:val="center"/>
            </w:pPr>
            <w:r>
              <w:rPr>
                <w:rFonts w:ascii="Times New Roman" w:cs="Times New Roman" w:eastAsia="Times New Roman" w:hAnsi="Times New Roman"/>
                <w:sz w:val="22"/>
                <w:szCs w:val="22"/>
              </w:rPr>
              <w:t xml:space="preserve">—</w:t>
            </w:r>
          </w:p>
        </w:tc>
        <w:tc>
          <w:tcPr>
            <w:tcW w:type="dxa" w:w="960"/>
            <w:vAlign w:val="center"/>
          </w:tcPr>
          <w:p>
            <w:pPr>
              <w:jc w:val="center"/>
            </w:pPr>
            <w:r>
              <w:rPr>
                <w:rFonts w:ascii="Times New Roman" w:cs="Times New Roman" w:eastAsia="Times New Roman" w:hAnsi="Times New Roman"/>
                <w:sz w:val="22"/>
                <w:szCs w:val="22"/>
              </w:rPr>
              <w:t xml:space="preserve">Disqualified</w:t>
            </w:r>
          </w:p>
        </w:tc>
      </w:tr>
      <w:tr>
        <w:tc>
          <w:tcPr>
            <w:tcW w:type="dxa" w:w="1200"/>
            <w:vAlign w:val="center"/>
          </w:tcPr>
          <w:p>
            <w:pPr>
              <w:jc w:val="center"/>
            </w:pPr>
            <w:r>
              <w:rPr>
                <w:rFonts w:ascii="Times New Roman" w:cs="Times New Roman" w:eastAsia="Times New Roman" w:hAnsi="Times New Roman"/>
                <w:sz w:val="22"/>
                <w:szCs w:val="22"/>
              </w:rPr>
              <w:t xml:space="preserve">Kimi K2.5</w:t>
            </w:r>
          </w:p>
        </w:tc>
        <w:tc>
          <w:tcPr>
            <w:tcW w:type="dxa" w:w="800"/>
            <w:vAlign w:val="center"/>
          </w:tcPr>
          <w:p>
            <w:pPr>
              <w:jc w:val="center"/>
            </w:pPr>
            <w:r>
              <w:rPr>
                <w:rFonts w:ascii="Times New Roman" w:cs="Times New Roman" w:eastAsia="Times New Roman" w:hAnsi="Times New Roman"/>
                <w:sz w:val="22"/>
                <w:szCs w:val="22"/>
              </w:rPr>
              <w:t xml:space="preserve">Moonshot</w:t>
            </w:r>
          </w:p>
        </w:tc>
        <w:tc>
          <w:tcPr>
            <w:tcW w:type="dxa" w:w="700"/>
            <w:vAlign w:val="center"/>
          </w:tcPr>
          <w:p>
            <w:pPr>
              <w:jc w:val="center"/>
            </w:pPr>
            <w:r>
              <w:rPr>
                <w:rFonts w:ascii="Times New Roman" w:cs="Times New Roman" w:eastAsia="Times New Roman" w:hAnsi="Times New Roman"/>
                <w:sz w:val="22"/>
                <w:szCs w:val="22"/>
              </w:rPr>
              <w:t xml:space="preserve">—</w:t>
            </w:r>
          </w:p>
        </w:tc>
        <w:tc>
          <w:tcPr>
            <w:tcW w:type="dxa" w:w="700"/>
            <w:vAlign w:val="center"/>
          </w:tcPr>
          <w:p>
            <w:pPr>
              <w:jc w:val="center"/>
            </w:pPr>
            <w:r>
              <w:rPr>
                <w:rFonts w:ascii="Times New Roman" w:cs="Times New Roman" w:eastAsia="Times New Roman" w:hAnsi="Times New Roman"/>
                <w:sz w:val="22"/>
                <w:szCs w:val="22"/>
              </w:rPr>
              <w:t xml:space="preserve">20/20</w:t>
            </w:r>
          </w:p>
        </w:tc>
        <w:tc>
          <w:tcPr>
            <w:tcW w:type="dxa" w:w="600"/>
            <w:vAlign w:val="center"/>
          </w:tcPr>
          <w:p>
            <w:pPr>
              <w:jc w:val="center"/>
            </w:pPr>
            <w:r>
              <w:rPr>
                <w:rFonts w:ascii="Times New Roman" w:cs="Times New Roman" w:eastAsia="Times New Roman" w:hAnsi="Times New Roman"/>
                <w:sz w:val="22"/>
                <w:szCs w:val="22"/>
              </w:rPr>
              <w:t xml:space="preserve">173 s</w:t>
            </w:r>
          </w:p>
        </w:tc>
        <w:tc>
          <w:tcPr>
            <w:tcW w:type="dxa" w:w="700"/>
            <w:vAlign w:val="center"/>
          </w:tcPr>
          <w:p>
            <w:pPr>
              <w:jc w:val="center"/>
            </w:pPr>
            <w:r>
              <w:rPr>
                <w:rFonts w:ascii="Times New Roman" w:cs="Times New Roman" w:eastAsia="Times New Roman" w:hAnsi="Times New Roman"/>
                <w:sz w:val="22"/>
                <w:szCs w:val="22"/>
              </w:rPr>
              <w:t xml:space="preserve">—</w:t>
            </w:r>
          </w:p>
        </w:tc>
        <w:tc>
          <w:tcPr>
            <w:tcW w:type="dxa" w:w="900"/>
            <w:vAlign w:val="center"/>
          </w:tcPr>
          <w:p>
            <w:pPr>
              <w:jc w:val="center"/>
            </w:pPr>
            <w:r>
              <w:rPr>
                <w:rFonts w:ascii="Times New Roman" w:cs="Times New Roman" w:eastAsia="Times New Roman" w:hAnsi="Times New Roman"/>
                <w:sz w:val="22"/>
                <w:szCs w:val="22"/>
              </w:rPr>
              <w:t xml:space="preserve">—</w:t>
            </w:r>
          </w:p>
        </w:tc>
        <w:tc>
          <w:tcPr>
            <w:tcW w:type="dxa" w:w="800"/>
            <w:vAlign w:val="center"/>
          </w:tcPr>
          <w:p>
            <w:pPr>
              <w:jc w:val="center"/>
            </w:pPr>
            <w:r>
              <w:rPr>
                <w:rFonts w:ascii="Times New Roman" w:cs="Times New Roman" w:eastAsia="Times New Roman" w:hAnsi="Times New Roman"/>
                <w:sz w:val="22"/>
                <w:szCs w:val="22"/>
              </w:rPr>
              <w:t xml:space="preserve">—</w:t>
            </w:r>
          </w:p>
        </w:tc>
        <w:tc>
          <w:tcPr>
            <w:tcW w:type="dxa" w:w="960"/>
            <w:vAlign w:val="center"/>
          </w:tcPr>
          <w:p>
            <w:pPr>
              <w:jc w:val="center"/>
            </w:pPr>
            <w:r>
              <w:rPr>
                <w:rFonts w:ascii="Times New Roman" w:cs="Times New Roman" w:eastAsia="Times New Roman" w:hAnsi="Times New Roman"/>
                <w:sz w:val="22"/>
                <w:szCs w:val="22"/>
              </w:rPr>
              <w:t xml:space="preserve">Disqualified</w:t>
            </w:r>
          </w:p>
        </w:tc>
      </w:tr>
    </w:tbl>
    <w:p>
      <w:pPr>
        <w:spacing w:line="360" w:after="200"/>
        <w:jc w:val="left"/>
      </w:pPr>
      <w:r>
        <w:rPr>
          <w:rFonts w:ascii="Times New Roman" w:cs="Times New Roman" w:eastAsia="Times New Roman" w:hAnsi="Times New Roman"/>
          <w:sz w:val="24"/>
          <w:szCs w:val="24"/>
        </w:rPr>
        <w:t xml:space="preserve">Schema violations occur when a diagnose item returns the confirm-format JSON (e.g., understanding_level instead of diagnosis_type). Three models were disqualified: Minimax M2.1 and Kimi K2.5 returned empty or unparseable responses on nearly all items; Gemini 2.0 Flash produced two schema violations and lacked any partial-credit classifications.</w:t>
      </w:r>
    </w:p>
    <w:p>
      <w:pPr>
        <w:spacing w:before="240" w:after="120"/>
        <w:jc w:val="center"/>
      </w:pPr>
      <w:r>
        <w:rPr>
          <w:rFonts w:ascii="Times New Roman" w:cs="Times New Roman" w:eastAsia="Times New Roman" w:hAnsi="Times New Roman"/>
          <w:b/>
          <w:bCs/>
          <w:i/>
          <w:iCs/>
          <w:sz w:val="22"/>
          <w:szCs w:val="22"/>
        </w:rPr>
        <w:t xml:space="preserve">Table D.2: Inter-Model Agreement on Disputed Classifications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CellMar>
          <w:top w:type="dxa" w:w="60"/>
          <w:left w:type="dxa" w:w="120"/>
          <w:bottom w:type="dxa" w:w="60"/>
          <w:right w:type="dxa" w:w="120"/>
        </w:tblCellMar>
      </w:tblPr>
      <w:tblGrid>
        <w:gridCol w:w="900"/>
        <w:gridCol w:w="1260"/>
        <w:gridCol w:w="1200"/>
        <w:gridCol w:w="1200"/>
        <w:gridCol w:w="1200"/>
        <w:gridCol w:w="1200"/>
        <w:gridCol w:w="1200"/>
      </w:tblGrid>
      <w:tr>
        <w:trPr>
          <w:tblHeader/>
        </w:trPr>
        <w:tc>
          <w:tcPr>
            <w:tcW w:type="dxa" w:w="900"/>
            <w:shd w:fill="D5E8F0" w:color="auto" w:val="clear"/>
            <w:vAlign w:val="center"/>
          </w:tcPr>
          <w:p>
            <w:pPr>
              <w:jc w:val="center"/>
            </w:pPr>
            <w:r>
              <w:rPr>
                <w:rFonts w:ascii="Times New Roman" w:cs="Times New Roman" w:eastAsia="Times New Roman" w:hAnsi="Times New Roman"/>
                <w:b/>
                <w:bCs/>
                <w:sz w:val="22"/>
                <w:szCs w:val="22"/>
              </w:rPr>
              <w:t xml:space="preserve">Response</w:t>
            </w:r>
          </w:p>
        </w:tc>
        <w:tc>
          <w:tcPr>
            <w:tcW w:type="dxa" w:w="1260"/>
            <w:shd w:fill="D5E8F0" w:color="auto" w:val="clear"/>
            <w:vAlign w:val="center"/>
          </w:tcPr>
          <w:p>
            <w:pPr>
              <w:jc w:val="center"/>
            </w:pPr>
            <w:r>
              <w:rPr>
                <w:rFonts w:ascii="Times New Roman" w:cs="Times New Roman" w:eastAsia="Times New Roman" w:hAnsi="Times New Roman"/>
                <w:b/>
                <w:bCs/>
                <w:sz w:val="22"/>
                <w:szCs w:val="22"/>
              </w:rPr>
              <w:t xml:space="preserve">Student Text</w:t>
            </w:r>
          </w:p>
        </w:tc>
        <w:tc>
          <w:tcPr>
            <w:tcW w:type="dxa" w:w="1200"/>
            <w:shd w:fill="D5E8F0" w:color="auto" w:val="clear"/>
            <w:vAlign w:val="center"/>
          </w:tcPr>
          <w:p>
            <w:pPr>
              <w:jc w:val="center"/>
            </w:pPr>
            <w:r>
              <w:rPr>
                <w:rFonts w:ascii="Times New Roman" w:cs="Times New Roman" w:eastAsia="Times New Roman" w:hAnsi="Times New Roman"/>
                <w:b/>
                <w:bCs/>
                <w:sz w:val="22"/>
                <w:szCs w:val="22"/>
              </w:rPr>
              <w:t xml:space="preserve">GPT-4.1</w:t>
            </w:r>
          </w:p>
        </w:tc>
        <w:tc>
          <w:tcPr>
            <w:tcW w:type="dxa" w:w="1200"/>
            <w:shd w:fill="D5E8F0" w:color="auto" w:val="clear"/>
            <w:vAlign w:val="center"/>
          </w:tcPr>
          <w:p>
            <w:pPr>
              <w:jc w:val="center"/>
            </w:pPr>
            <w:r>
              <w:rPr>
                <w:rFonts w:ascii="Times New Roman" w:cs="Times New Roman" w:eastAsia="Times New Roman" w:hAnsi="Times New Roman"/>
                <w:b/>
                <w:bCs/>
                <w:sz w:val="22"/>
                <w:szCs w:val="22"/>
              </w:rPr>
              <w:t xml:space="preserve">DeepSeek V3.2</w:t>
            </w:r>
          </w:p>
        </w:tc>
        <w:tc>
          <w:tcPr>
            <w:tcW w:type="dxa" w:w="1200"/>
            <w:shd w:fill="D5E8F0" w:color="auto" w:val="clear"/>
            <w:vAlign w:val="center"/>
          </w:tcPr>
          <w:p>
            <w:pPr>
              <w:jc w:val="center"/>
            </w:pPr>
            <w:r>
              <w:rPr>
                <w:rFonts w:ascii="Times New Roman" w:cs="Times New Roman" w:eastAsia="Times New Roman" w:hAnsi="Times New Roman"/>
                <w:b/>
                <w:bCs/>
                <w:sz w:val="22"/>
                <w:szCs w:val="22"/>
              </w:rPr>
              <w:t xml:space="preserve">Grok 4.1 Fast</w:t>
            </w:r>
          </w:p>
        </w:tc>
        <w:tc>
          <w:tcPr>
            <w:tcW w:type="dxa" w:w="1200"/>
            <w:shd w:fill="D5E8F0" w:color="auto" w:val="clear"/>
            <w:vAlign w:val="center"/>
          </w:tcPr>
          <w:p>
            <w:pPr>
              <w:jc w:val="center"/>
            </w:pPr>
            <w:r>
              <w:rPr>
                <w:rFonts w:ascii="Times New Roman" w:cs="Times New Roman" w:eastAsia="Times New Roman" w:hAnsi="Times New Roman"/>
                <w:b/>
                <w:bCs/>
                <w:sz w:val="22"/>
                <w:szCs w:val="22"/>
              </w:rPr>
              <w:t xml:space="preserve">Haiku 4.5</w:t>
            </w:r>
          </w:p>
        </w:tc>
        <w:tc>
          <w:tcPr>
            <w:tcW w:type="dxa" w:w="1200"/>
            <w:shd w:fill="D5E8F0" w:color="auto" w:val="clear"/>
            <w:vAlign w:val="center"/>
          </w:tcPr>
          <w:p>
            <w:pPr>
              <w:jc w:val="center"/>
            </w:pPr>
            <w:r>
              <w:rPr>
                <w:rFonts w:ascii="Times New Roman" w:cs="Times New Roman" w:eastAsia="Times New Roman" w:hAnsi="Times New Roman"/>
                <w:b/>
                <w:bCs/>
                <w:sz w:val="22"/>
                <w:szCs w:val="22"/>
              </w:rPr>
              <w:t xml:space="preserve">Qwen3-235B</w:t>
            </w:r>
          </w:p>
        </w:tc>
      </w:tr>
      <w:tr>
        <w:tc>
          <w:tcPr>
            <w:tcW w:type="dxa" w:w="900"/>
            <w:vAlign w:val="center"/>
          </w:tcPr>
          <w:p>
            <w:pPr>
              <w:jc w:val="center"/>
            </w:pPr>
            <w:r>
              <w:rPr>
                <w:rFonts w:ascii="Times New Roman" w:cs="Times New Roman" w:eastAsia="Times New Roman" w:hAnsi="Times New Roman"/>
                <w:sz w:val="22"/>
                <w:szCs w:val="22"/>
              </w:rPr>
              <w:t xml:space="preserve">Q9 Diagnose</w:t>
            </w:r>
          </w:p>
        </w:tc>
        <w:tc>
          <w:tcPr>
            <w:tcW w:type="dxa" w:w="1260"/>
            <w:vAlign w:val="center"/>
          </w:tcPr>
          <w:p>
            <w:pPr>
              <w:jc w:val="center"/>
            </w:pPr>
            <w:r>
              <w:rPr>
                <w:rFonts w:ascii="Times New Roman" w:cs="Times New Roman" w:eastAsia="Times New Roman" w:hAnsi="Times New Roman"/>
                <w:sz w:val="22"/>
                <w:szCs w:val="22"/>
              </w:rPr>
              <w:t xml:space="preserve">“safety net… preventing interest rates”</w:t>
            </w:r>
          </w:p>
        </w:tc>
        <w:tc>
          <w:tcPr>
            <w:tcW w:type="dxa" w:w="1200"/>
            <w:vAlign w:val="center"/>
          </w:tcPr>
          <w:p>
            <w:pPr>
              <w:jc w:val="center"/>
            </w:pPr>
            <w:r>
              <w:rPr>
                <w:rFonts w:ascii="Times New Roman" w:cs="Times New Roman" w:eastAsia="Times New Roman" w:hAnsi="Times New Roman"/>
                <w:sz w:val="22"/>
                <w:szCs w:val="22"/>
              </w:rPr>
              <w:t xml:space="preserve">SE (selfcorrect)</w:t>
            </w:r>
          </w:p>
        </w:tc>
        <w:tc>
          <w:tcPr>
            <w:tcW w:type="dxa" w:w="1200"/>
            <w:vAlign w:val="center"/>
          </w:tcPr>
          <w:p>
            <w:pPr>
              <w:jc w:val="center"/>
            </w:pPr>
            <w:r>
              <w:rPr>
                <w:rFonts w:ascii="Times New Roman" w:cs="Times New Roman" w:eastAsia="Times New Roman" w:hAnsi="Times New Roman"/>
                <w:sz w:val="22"/>
                <w:szCs w:val="22"/>
              </w:rPr>
              <w:t xml:space="preserve">SE (selfcorrect)</w:t>
            </w:r>
          </w:p>
        </w:tc>
        <w:tc>
          <w:tcPr>
            <w:tcW w:type="dxa" w:w="1200"/>
            <w:vAlign w:val="center"/>
          </w:tcPr>
          <w:p>
            <w:pPr>
              <w:jc w:val="center"/>
            </w:pPr>
            <w:r>
              <w:rPr>
                <w:rFonts w:ascii="Times New Roman" w:cs="Times New Roman" w:eastAsia="Times New Roman" w:hAnsi="Times New Roman"/>
                <w:sz w:val="22"/>
                <w:szCs w:val="22"/>
              </w:rPr>
              <w:t xml:space="preserve">misconc. (BORROW-06)</w:t>
            </w:r>
          </w:p>
        </w:tc>
        <w:tc>
          <w:tcPr>
            <w:tcW w:type="dxa" w:w="1200"/>
            <w:vAlign w:val="center"/>
          </w:tcPr>
          <w:p>
            <w:pPr>
              <w:jc w:val="center"/>
            </w:pPr>
            <w:r>
              <w:rPr>
                <w:rFonts w:ascii="Times New Roman" w:cs="Times New Roman" w:eastAsia="Times New Roman" w:hAnsi="Times New Roman"/>
                <w:sz w:val="22"/>
                <w:szCs w:val="22"/>
              </w:rPr>
              <w:t xml:space="preserve">SE (selfcorrect)</w:t>
            </w:r>
          </w:p>
        </w:tc>
        <w:tc>
          <w:tcPr>
            <w:tcW w:type="dxa" w:w="1200"/>
            <w:vAlign w:val="center"/>
          </w:tcPr>
          <w:p>
            <w:pPr>
              <w:jc w:val="center"/>
            </w:pPr>
            <w:r>
              <w:rPr>
                <w:rFonts w:ascii="Times New Roman" w:cs="Times New Roman" w:eastAsia="Times New Roman" w:hAnsi="Times New Roman"/>
                <w:sz w:val="22"/>
                <w:szCs w:val="22"/>
              </w:rPr>
              <w:t xml:space="preserve">misconc. (BORROW-06)</w:t>
            </w:r>
          </w:p>
        </w:tc>
      </w:tr>
      <w:tr>
        <w:tc>
          <w:tcPr>
            <w:tcW w:type="dxa" w:w="900"/>
            <w:vAlign w:val="center"/>
          </w:tcPr>
          <w:p>
            <w:pPr>
              <w:jc w:val="center"/>
            </w:pPr>
            <w:r>
              <w:rPr>
                <w:rFonts w:ascii="Times New Roman" w:cs="Times New Roman" w:eastAsia="Times New Roman" w:hAnsi="Times New Roman"/>
                <w:sz w:val="22"/>
                <w:szCs w:val="22"/>
              </w:rPr>
              <w:t xml:space="preserve">Q5 Diagnose</w:t>
            </w:r>
          </w:p>
        </w:tc>
        <w:tc>
          <w:tcPr>
            <w:tcW w:type="dxa" w:w="1260"/>
            <w:vAlign w:val="center"/>
          </w:tcPr>
          <w:p>
            <w:pPr>
              <w:jc w:val="center"/>
            </w:pPr>
            <w:r>
              <w:rPr>
                <w:rFonts w:ascii="Times New Roman" w:cs="Times New Roman" w:eastAsia="Times New Roman" w:hAnsi="Times New Roman"/>
                <w:sz w:val="22"/>
                <w:szCs w:val="22"/>
              </w:rPr>
              <w:t xml:space="preserve">“having a little extra cash is safe enough”</w:t>
            </w:r>
          </w:p>
        </w:tc>
        <w:tc>
          <w:tcPr>
            <w:tcW w:type="dxa" w:w="1200"/>
            <w:vAlign w:val="center"/>
          </w:tcPr>
          <w:p>
            <w:pPr>
              <w:jc w:val="center"/>
            </w:pPr>
            <w:r>
              <w:rPr>
                <w:rFonts w:ascii="Times New Roman" w:cs="Times New Roman" w:eastAsia="Times New Roman" w:hAnsi="Times New Roman"/>
                <w:sz w:val="22"/>
                <w:szCs w:val="22"/>
              </w:rPr>
              <w:t xml:space="preserve">misconc., cr=50</w:t>
            </w:r>
          </w:p>
        </w:tc>
        <w:tc>
          <w:tcPr>
            <w:tcW w:type="dxa" w:w="1200"/>
            <w:vAlign w:val="center"/>
          </w:tcPr>
          <w:p>
            <w:pPr>
              <w:jc w:val="center"/>
            </w:pPr>
            <w:r>
              <w:rPr>
                <w:rFonts w:ascii="Times New Roman" w:cs="Times New Roman" w:eastAsia="Times New Roman" w:hAnsi="Times New Roman"/>
                <w:sz w:val="22"/>
                <w:szCs w:val="22"/>
              </w:rPr>
              <w:t xml:space="preserve">misconc., cr=50</w:t>
            </w:r>
          </w:p>
        </w:tc>
        <w:tc>
          <w:tcPr>
            <w:tcW w:type="dxa" w:w="1200"/>
            <w:vAlign w:val="center"/>
          </w:tcPr>
          <w:p>
            <w:pPr>
              <w:jc w:val="center"/>
            </w:pPr>
            <w:r>
              <w:rPr>
                <w:rFonts w:ascii="Times New Roman" w:cs="Times New Roman" w:eastAsia="Times New Roman" w:hAnsi="Times New Roman"/>
                <w:sz w:val="22"/>
                <w:szCs w:val="22"/>
              </w:rPr>
              <w:t xml:space="preserve">misconc., cr=100</w:t>
            </w:r>
          </w:p>
        </w:tc>
        <w:tc>
          <w:tcPr>
            <w:tcW w:type="dxa" w:w="1200"/>
            <w:vAlign w:val="center"/>
          </w:tcPr>
          <w:p>
            <w:pPr>
              <w:jc w:val="center"/>
            </w:pPr>
            <w:r>
              <w:rPr>
                <w:rFonts w:ascii="Times New Roman" w:cs="Times New Roman" w:eastAsia="Times New Roman" w:hAnsi="Times New Roman"/>
                <w:sz w:val="22"/>
                <w:szCs w:val="22"/>
              </w:rPr>
              <w:t xml:space="preserve">KG (idk), cr=0</w:t>
            </w:r>
          </w:p>
        </w:tc>
        <w:tc>
          <w:tcPr>
            <w:tcW w:type="dxa" w:w="1200"/>
            <w:vAlign w:val="center"/>
          </w:tcPr>
          <w:p>
            <w:pPr>
              <w:jc w:val="center"/>
            </w:pPr>
            <w:r>
              <w:rPr>
                <w:rFonts w:ascii="Times New Roman" w:cs="Times New Roman" w:eastAsia="Times New Roman" w:hAnsi="Times New Roman"/>
                <w:sz w:val="22"/>
                <w:szCs w:val="22"/>
              </w:rPr>
              <w:t xml:space="preserve">KG (idk), cr=0</w:t>
            </w:r>
          </w:p>
        </w:tc>
      </w:tr>
      <w:tr>
        <w:tc>
          <w:tcPr>
            <w:tcW w:type="dxa" w:w="900"/>
            <w:vAlign w:val="center"/>
          </w:tcPr>
          <w:p>
            <w:pPr>
              <w:jc w:val="center"/>
            </w:pPr>
            <w:r>
              <w:rPr>
                <w:rFonts w:ascii="Times New Roman" w:cs="Times New Roman" w:eastAsia="Times New Roman" w:hAnsi="Times New Roman"/>
                <w:sz w:val="22"/>
                <w:szCs w:val="22"/>
              </w:rPr>
              <w:t xml:space="preserve">Q13 Diagnose</w:t>
            </w:r>
          </w:p>
        </w:tc>
        <w:tc>
          <w:tcPr>
            <w:tcW w:type="dxa" w:w="1260"/>
            <w:vAlign w:val="center"/>
          </w:tcPr>
          <w:p>
            <w:pPr>
              <w:jc w:val="center"/>
            </w:pPr>
            <w:r>
              <w:rPr>
                <w:rFonts w:ascii="Times New Roman" w:cs="Times New Roman" w:eastAsia="Times New Roman" w:hAnsi="Times New Roman"/>
                <w:sz w:val="22"/>
                <w:szCs w:val="22"/>
              </w:rPr>
              <w:t xml:space="preserve">“deductible is $500… insurance pays rest”</w:t>
            </w:r>
          </w:p>
        </w:tc>
        <w:tc>
          <w:tcPr>
            <w:tcW w:type="dxa" w:w="1200"/>
            <w:vAlign w:val="center"/>
          </w:tcPr>
          <w:p>
            <w:pPr>
              <w:jc w:val="center"/>
            </w:pPr>
            <w:r>
              <w:rPr>
                <w:rFonts w:ascii="Times New Roman" w:cs="Times New Roman" w:eastAsia="Times New Roman" w:hAnsi="Times New Roman"/>
                <w:sz w:val="22"/>
                <w:szCs w:val="22"/>
              </w:rPr>
              <w:t xml:space="preserve">SE (selfcorrect)</w:t>
            </w:r>
          </w:p>
        </w:tc>
        <w:tc>
          <w:tcPr>
            <w:tcW w:type="dxa" w:w="1200"/>
            <w:vAlign w:val="center"/>
          </w:tcPr>
          <w:p>
            <w:pPr>
              <w:jc w:val="center"/>
            </w:pPr>
            <w:r>
              <w:rPr>
                <w:rFonts w:ascii="Times New Roman" w:cs="Times New Roman" w:eastAsia="Times New Roman" w:hAnsi="Times New Roman"/>
                <w:sz w:val="22"/>
                <w:szCs w:val="22"/>
              </w:rPr>
              <w:t xml:space="preserve">misconc. (INS-03), cr=50</w:t>
            </w:r>
          </w:p>
        </w:tc>
        <w:tc>
          <w:tcPr>
            <w:tcW w:type="dxa" w:w="1200"/>
            <w:vAlign w:val="center"/>
          </w:tcPr>
          <w:p>
            <w:pPr>
              <w:jc w:val="center"/>
            </w:pPr>
            <w:r>
              <w:rPr>
                <w:rFonts w:ascii="Times New Roman" w:cs="Times New Roman" w:eastAsia="Times New Roman" w:hAnsi="Times New Roman"/>
                <w:sz w:val="22"/>
                <w:szCs w:val="22"/>
              </w:rPr>
              <w:t xml:space="preserve">SE (selfcorrect)</w:t>
            </w:r>
          </w:p>
        </w:tc>
        <w:tc>
          <w:tcPr>
            <w:tcW w:type="dxa" w:w="1200"/>
            <w:vAlign w:val="center"/>
          </w:tcPr>
          <w:p>
            <w:pPr>
              <w:jc w:val="center"/>
            </w:pPr>
            <w:r>
              <w:rPr>
                <w:rFonts w:ascii="Times New Roman" w:cs="Times New Roman" w:eastAsia="Times New Roman" w:hAnsi="Times New Roman"/>
                <w:sz w:val="22"/>
                <w:szCs w:val="22"/>
              </w:rPr>
              <w:t xml:space="preserve">SE (INS-03)</w:t>
            </w:r>
          </w:p>
        </w:tc>
        <w:tc>
          <w:tcPr>
            <w:tcW w:type="dxa" w:w="1200"/>
            <w:vAlign w:val="center"/>
          </w:tcPr>
          <w:p>
            <w:pPr>
              <w:jc w:val="center"/>
            </w:pPr>
            <w:r>
              <w:rPr>
                <w:rFonts w:ascii="Times New Roman" w:cs="Times New Roman" w:eastAsia="Times New Roman" w:hAnsi="Times New Roman"/>
                <w:sz w:val="22"/>
                <w:szCs w:val="22"/>
              </w:rPr>
              <w:t xml:space="preserve">misconc. (INS-03)</w:t>
            </w:r>
          </w:p>
        </w:tc>
      </w:tr>
      <w:tr>
        <w:tc>
          <w:tcPr>
            <w:tcW w:type="dxa" w:w="900"/>
            <w:vAlign w:val="center"/>
          </w:tcPr>
          <w:p>
            <w:pPr>
              <w:jc w:val="center"/>
            </w:pPr>
            <w:r>
              <w:rPr>
                <w:rFonts w:ascii="Times New Roman" w:cs="Times New Roman" w:eastAsia="Times New Roman" w:hAnsi="Times New Roman"/>
                <w:sz w:val="22"/>
                <w:szCs w:val="22"/>
              </w:rPr>
              <w:t xml:space="preserve">Q37 Confirm</w:t>
            </w:r>
          </w:p>
        </w:tc>
        <w:tc>
          <w:tcPr>
            <w:tcW w:type="dxa" w:w="1260"/>
            <w:vAlign w:val="center"/>
          </w:tcPr>
          <w:p>
            <w:pPr>
              <w:jc w:val="center"/>
            </w:pPr>
            <w:r>
              <w:rPr>
                <w:rFonts w:ascii="Times New Roman" w:cs="Times New Roman" w:eastAsia="Times New Roman" w:hAnsi="Times New Roman"/>
                <w:sz w:val="22"/>
                <w:szCs w:val="22"/>
              </w:rPr>
              <w:t xml:space="preserve">“Liability coverage protects you…”</w:t>
            </w:r>
          </w:p>
        </w:tc>
        <w:tc>
          <w:tcPr>
            <w:tcW w:type="dxa" w:w="1200"/>
            <w:vAlign w:val="center"/>
          </w:tcPr>
          <w:p>
            <w:pPr>
              <w:jc w:val="center"/>
            </w:pPr>
            <w:r>
              <w:rPr>
                <w:rFonts w:ascii="Times New Roman" w:cs="Times New Roman" w:eastAsia="Times New Roman" w:hAnsi="Times New Roman"/>
                <w:sz w:val="22"/>
                <w:szCs w:val="22"/>
              </w:rPr>
              <w:t xml:space="preserve">verified, cr=100</w:t>
            </w:r>
          </w:p>
        </w:tc>
        <w:tc>
          <w:tcPr>
            <w:tcW w:type="dxa" w:w="1200"/>
            <w:vAlign w:val="center"/>
          </w:tcPr>
          <w:p>
            <w:pPr>
              <w:jc w:val="center"/>
            </w:pPr>
            <w:r>
              <w:rPr>
                <w:rFonts w:ascii="Times New Roman" w:cs="Times New Roman" w:eastAsia="Times New Roman" w:hAnsi="Times New Roman"/>
                <w:sz w:val="22"/>
                <w:szCs w:val="22"/>
              </w:rPr>
              <w:t xml:space="preserve">verified, cr=100</w:t>
            </w:r>
          </w:p>
        </w:tc>
        <w:tc>
          <w:tcPr>
            <w:tcW w:type="dxa" w:w="1200"/>
            <w:vAlign w:val="center"/>
          </w:tcPr>
          <w:p>
            <w:pPr>
              <w:jc w:val="center"/>
            </w:pPr>
            <w:r>
              <w:rPr>
                <w:rFonts w:ascii="Times New Roman" w:cs="Times New Roman" w:eastAsia="Times New Roman" w:hAnsi="Times New Roman"/>
                <w:sz w:val="22"/>
                <w:szCs w:val="22"/>
              </w:rPr>
              <w:t xml:space="preserve">verified, cr=100</w:t>
            </w:r>
          </w:p>
        </w:tc>
        <w:tc>
          <w:tcPr>
            <w:tcW w:type="dxa" w:w="1200"/>
            <w:vAlign w:val="center"/>
          </w:tcPr>
          <w:p>
            <w:pPr>
              <w:jc w:val="center"/>
            </w:pPr>
            <w:r>
              <w:rPr>
                <w:rFonts w:ascii="Times New Roman" w:cs="Times New Roman" w:eastAsia="Times New Roman" w:hAnsi="Times New Roman"/>
                <w:sz w:val="22"/>
                <w:szCs w:val="22"/>
              </w:rPr>
              <w:t xml:space="preserve">partial, cr=50</w:t>
            </w:r>
          </w:p>
        </w:tc>
        <w:tc>
          <w:tcPr>
            <w:tcW w:type="dxa" w:w="1200"/>
            <w:vAlign w:val="center"/>
          </w:tcPr>
          <w:p>
            <w:pPr>
              <w:jc w:val="center"/>
            </w:pPr>
            <w:r>
              <w:rPr>
                <w:rFonts w:ascii="Times New Roman" w:cs="Times New Roman" w:eastAsia="Times New Roman" w:hAnsi="Times New Roman"/>
                <w:sz w:val="22"/>
                <w:szCs w:val="22"/>
              </w:rPr>
              <w:t xml:space="preserve">verified, cr=100</w:t>
            </w:r>
          </w:p>
        </w:tc>
      </w:tr>
    </w:tbl>
    <w:p>
      <w:pPr>
        <w:spacing w:line="360" w:after="200"/>
      </w:pPr>
      <w:r>
        <w:rPr>
          <w:rFonts w:ascii="Times New Roman" w:cs="Times New Roman" w:eastAsia="Times New Roman" w:hAnsi="Times New Roman"/>
          <w:b/>
          <w:bCs/>
          <w:sz w:val="24"/>
          <w:szCs w:val="24"/>
        </w:rPr>
        <w:t xml:space="preserve">Selection Rationale. </w:t>
      </w:r>
      <w:r>
        <w:rPr>
          <w:rFonts w:ascii="Times New Roman" w:cs="Times New Roman" w:eastAsia="Times New Roman" w:hAnsi="Times New Roman"/>
          <w:sz w:val="24"/>
          <w:szCs w:val="24"/>
        </w:rPr>
        <w:t xml:space="preserve">GPT-4.1 was selected as the production scorer based on the following criteria: (a) zero schema violations across all 20 test items, (b) zero parse or API errors, (c) appropriate use of credit=50 for borderline misconceptions (e.g., Q5, where the student’s reasoning was directionally aligned with a misconception but lacked specificity), (d) balanced classification distributions that were neither overly lenient (as with Gemini 2.0 Flash, which classified 66.7% of confirm items as “verified”) nor overly strict (as with GPT-4o-mini, which classified only 11.1% as “verified”), and (e) reasonable throughput and cost for the full corpus (~33 minutes, ~$2.86 for 953 responses). On the disputed items, GPT-4.1’s classifications aligned with the majority of the zero-error models in three of four cases (Q9, Q5, Q37), supporting its position as a concordant central scorer.</w:t>
      </w:r>
    </w:p>
    <w:sectPr>
      <w:headerReference w:type="default" r:id="rId6"/>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Pre-Course Financial Literacy Assessment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b6fe25ffa323170dc4ce9b7bd716b916ee9a8db.png"/><Relationship Id="rId9" Type="http://schemas.openxmlformats.org/officeDocument/2006/relationships/image" Target="media/0a2b849edc804f65e3c6bff571fb8bd51b09c574.png"/><Relationship Id="rId10" Type="http://schemas.openxmlformats.org/officeDocument/2006/relationships/image" Target="media/a2ded5315995609fcf1cc70a7f7a979402eaf036.png"/><Relationship Id="rId11" Type="http://schemas.openxmlformats.org/officeDocument/2006/relationships/image" Target="media/1dd102a4ef1d5ee1253ce89081466c70eb774a29.png"/><Relationship Id="rId12" Type="http://schemas.openxmlformats.org/officeDocument/2006/relationships/image" Target="media/e20a754195d8797c443e631068bf6cc458b9e9b8.png"/><Relationship Id="rId13" Type="http://schemas.openxmlformats.org/officeDocument/2006/relationships/image" Target="media/6b924f66c73cf875d83a03e08e0bb344059457b2.png"/><Relationship Id="rId14" Type="http://schemas.openxmlformats.org/officeDocument/2006/relationships/image" Target="media/ad2f2b8ca0c97fa3c78aa94b3459085c92207e53.png"/><Relationship Id="rId15" Type="http://schemas.openxmlformats.org/officeDocument/2006/relationships/image" Target="media/fb3ef5bb6345b74d5a49530286d89685d865057b.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2026-02-10T15:20:40.816Z</dcterms:created>
  <dcterms:modified xsi:type="dcterms:W3CDTF">2026-02-10T15:20:40.816Z</dcterms:modified>
</cp:coreProperties>
</file>

<file path=docProps/custom.xml><?xml version="1.0" encoding="utf-8"?>
<Properties xmlns="http://schemas.openxmlformats.org/officeDocument/2006/custom-properties" xmlns:vt="http://schemas.openxmlformats.org/officeDocument/2006/docPropsVTypes"/>
</file>