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0"/>
        <w:jc w:val="center"/>
      </w:pPr>
      <w:r>
        <w:rPr>
          <w:rFonts w:ascii="Arial" w:cs="Arial" w:eastAsia="Arial" w:hAnsi="Arial"/>
          <w:b/>
          <w:bCs/>
          <w:sz w:val="36"/>
          <w:szCs w:val="36"/>
        </w:rPr>
        <w:t xml:space="preserve">Developing a Risk Literacy Diagnostic for QUIN 102: Instrument Design, Platform Implementation, and SDM-10 Diagnostic Findings</w:t>
      </w:r>
    </w:p>
    <w:p>
      <w:pPr>
        <w:spacing w:after="240"/>
        <w:jc w:val="center"/>
      </w:pPr>
      <w:r>
        <w:rPr>
          <w:rFonts w:ascii="Times New Roman" w:cs="Times New Roman" w:eastAsia="Times New Roman" w:hAnsi="Times New Roman"/>
          <w:sz w:val="28"/>
          <w:szCs w:val="28"/>
        </w:rPr>
        <w:t xml:space="preserve">Guillaume Bolivard</w:t>
      </w:r>
    </w:p>
    <w:p>
      <w:pPr>
        <w:spacing w:after="240"/>
        <w:jc w:val="center"/>
      </w:pPr>
      <w:r>
        <w:rPr>
          <w:rFonts w:ascii="Times New Roman" w:cs="Times New Roman" w:eastAsia="Times New Roman" w:hAnsi="Times New Roman"/>
          <w:sz w:val="28"/>
          <w:szCs w:val="28"/>
        </w:rPr>
        <w:t xml:space="preserve">Loyola University Chicago</w:t>
      </w:r>
    </w:p>
    <w:p>
      <w:pPr>
        <w:spacing w:after="240"/>
        <w:jc w:val="center"/>
      </w:pPr>
      <w:r>
        <w:rPr>
          <w:rFonts w:ascii="Times New Roman" w:cs="Times New Roman" w:eastAsia="Times New Roman" w:hAnsi="Times New Roman"/>
          <w:sz w:val="28"/>
          <w:szCs w:val="28"/>
        </w:rPr>
        <w:t xml:space="preserve">Independent Study -- Spring 2026</w:t>
      </w:r>
    </w:p>
    <w:p>
      <w:pPr>
        <w:sectPr>
          <w:pgSz w:w="12240" w:h="15840" w:orient="portrait"/>
          <w:pgMar w:top="1440" w:right="1440" w:bottom="1440" w:left="1440" w:header="708" w:footer="708" w:gutter="0"/>
          <w:pgNumType/>
          <w:docGrid w:linePitch="360"/>
        </w:sectPr>
      </w:pPr>
    </w:p>
    <w:p>
      <w:pPr>
        <w:pStyle w:val="Heading1"/>
        <w:pageBreakBefore/>
        <w:spacing w:before="480" w:after="240"/>
      </w:pPr>
      <w:r>
        <w:rPr>
          <w:rFonts w:ascii="Times New Roman" w:cs="Times New Roman" w:eastAsia="Times New Roman" w:hAnsi="Times New Roman"/>
          <w:sz w:val="24"/>
          <w:szCs w:val="24"/>
        </w:rPr>
        <w:t xml:space="preserve">Abstract</w:t>
      </w:r>
    </w:p>
    <w:p>
      <w:pPr>
        <w:spacing w:line="360" w:after="200"/>
      </w:pPr>
      <w:r>
        <w:rPr>
          <w:rFonts w:ascii="Times New Roman" w:cs="Times New Roman" w:eastAsia="Times New Roman" w:hAnsi="Times New Roman"/>
          <w:sz w:val="24"/>
          <w:szCs w:val="24"/>
        </w:rPr>
        <w:t xml:space="preserve">This paper describes the design, deployment, and diagnostic findings from a 40-item pre-course financial risk literacy assessment for QUIN 102 at Loyola University Chicago. The instrument spans three knowledge domains -- Borrowing and Credit, Risk Management, and Investment and Risk -- using 26 scored and 14 unscored anchor items. A Supplemental Diagnostic Module (SDM-10) adaptively selects up to 10 open-ended follow-up items based on each student's anchor performance; an AI-assisted rubric classifies responses into misconception, knowledge gap, and selection error categories. During the Spring 2026 pilot, 354 research-consented students completed the assessment. The mean anchor score was 67.0% (SD = 17.9%), with notable variation across domains. Among 493 scored diagnostic responses, 53.9% reflected misconceptions, 31.9% selection errors, and 14.2% knowledge gaps. The selection error finding is central: among students who answered incorrectly with high confidence, nearly one in three demonstrated correct understanding in their open-ended explanation, indicating that raw MCQ scores systematically misrepresent student knowledge on format-sensitive items. The diagnostic results yield 10 specific course improvement recommendations -- spanning instructional content, instrument revision, and delivery changes -- each anchored to evidence and paired with a Paper 2 evaluation criterion. We outline limitations of the current single-cohort design and preview a planned validation study that will add pre-post measurement, factor analysis, and heterogeneity modeling.</w:t>
      </w:r>
    </w:p>
    <w:p>
      <w:pPr>
        <w:pStyle w:val="Heading1"/>
        <w:pageBreakBefore/>
        <w:spacing w:before="480" w:after="240"/>
      </w:pPr>
      <w:r>
        <w:rPr>
          <w:rFonts w:ascii="Times New Roman" w:cs="Times New Roman" w:eastAsia="Times New Roman" w:hAnsi="Times New Roman"/>
          <w:sz w:val="24"/>
          <w:szCs w:val="24"/>
        </w:rPr>
        <w:t xml:space="preserve">Table of Contents</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Introduction</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Related Work</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2.1 </w:t>
      </w:r>
      <w:r>
        <w:rPr>
          <w:rFonts w:ascii="Times New Roman" w:cs="Times New Roman" w:eastAsia="Times New Roman" w:hAnsi="Times New Roman"/>
          <w:color w:val="0563C1"/>
          <w:sz w:val="24"/>
          <w:szCs w:val="24"/>
          <w:u w:val="single"/>
        </w:rPr>
        <w:t xml:space="preserve">Financial Literacy: Definitions and Measurement</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2.2 </w:t>
      </w:r>
      <w:r>
        <w:rPr>
          <w:rFonts w:ascii="Times New Roman" w:cs="Times New Roman" w:eastAsia="Times New Roman" w:hAnsi="Times New Roman"/>
          <w:color w:val="0563C1"/>
          <w:sz w:val="24"/>
          <w:szCs w:val="24"/>
          <w:u w:val="single"/>
        </w:rPr>
        <w:t xml:space="preserve">Domain-Specific Knowledge Gaps</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2.3 </w:t>
      </w:r>
      <w:r>
        <w:rPr>
          <w:rFonts w:ascii="Times New Roman" w:cs="Times New Roman" w:eastAsia="Times New Roman" w:hAnsi="Times New Roman"/>
          <w:color w:val="0563C1"/>
          <w:sz w:val="24"/>
          <w:szCs w:val="24"/>
          <w:u w:val="single"/>
        </w:rPr>
        <w:t xml:space="preserve">Confidence Calibration and Overconfidence</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2.4 </w:t>
      </w:r>
      <w:r>
        <w:rPr>
          <w:rFonts w:ascii="Times New Roman" w:cs="Times New Roman" w:eastAsia="Times New Roman" w:hAnsi="Times New Roman"/>
          <w:color w:val="0563C1"/>
          <w:sz w:val="24"/>
          <w:szCs w:val="24"/>
          <w:u w:val="single"/>
        </w:rPr>
        <w:t xml:space="preserve">Gaps in the Literature</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Instrument and Measurement Model</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3.1 </w:t>
      </w:r>
      <w:r>
        <w:rPr>
          <w:rFonts w:ascii="Times New Roman" w:cs="Times New Roman" w:eastAsia="Times New Roman" w:hAnsi="Times New Roman"/>
          <w:color w:val="0563C1"/>
          <w:sz w:val="24"/>
          <w:szCs w:val="24"/>
          <w:u w:val="single"/>
        </w:rPr>
        <w:t xml:space="preserve">Assessment Structure</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3.2 </w:t>
      </w:r>
      <w:r>
        <w:rPr>
          <w:rFonts w:ascii="Times New Roman" w:cs="Times New Roman" w:eastAsia="Times New Roman" w:hAnsi="Times New Roman"/>
          <w:color w:val="0563C1"/>
          <w:sz w:val="24"/>
          <w:szCs w:val="24"/>
          <w:u w:val="single"/>
        </w:rPr>
        <w:t xml:space="preserve">Scoring Methodology</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3.3 </w:t>
      </w:r>
      <w:r>
        <w:rPr>
          <w:rFonts w:ascii="Times New Roman" w:cs="Times New Roman" w:eastAsia="Times New Roman" w:hAnsi="Times New Roman"/>
          <w:color w:val="0563C1"/>
          <w:sz w:val="24"/>
          <w:szCs w:val="24"/>
          <w:u w:val="single"/>
        </w:rPr>
        <w:t xml:space="preserve">Risk Literacy Emphasis</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Assessment Pipeline</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4.1 </w:t>
      </w:r>
      <w:r>
        <w:rPr>
          <w:rFonts w:ascii="Times New Roman" w:cs="Times New Roman" w:eastAsia="Times New Roman" w:hAnsi="Times New Roman"/>
          <w:color w:val="0563C1"/>
          <w:sz w:val="24"/>
          <w:szCs w:val="24"/>
          <w:u w:val="single"/>
        </w:rPr>
        <w:t xml:space="preserve">Pipeline Overview and Illustrative Walkthrough</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4.2 </w:t>
      </w:r>
      <w:r>
        <w:rPr>
          <w:rFonts w:ascii="Times New Roman" w:cs="Times New Roman" w:eastAsia="Times New Roman" w:hAnsi="Times New Roman"/>
          <w:color w:val="0563C1"/>
          <w:sz w:val="24"/>
          <w:szCs w:val="24"/>
          <w:u w:val="single"/>
        </w:rPr>
        <w:t xml:space="preserve">Adaptive Selection and Diagnostic Priority Score</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4.3 </w:t>
      </w:r>
      <w:r>
        <w:rPr>
          <w:rFonts w:ascii="Times New Roman" w:cs="Times New Roman" w:eastAsia="Times New Roman" w:hAnsi="Times New Roman"/>
          <w:color w:val="0563C1"/>
          <w:sz w:val="24"/>
          <w:szCs w:val="24"/>
          <w:u w:val="single"/>
        </w:rPr>
        <w:t xml:space="preserve">Variant Types and Three-Way Classification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4.4 </w:t>
      </w:r>
      <w:r>
        <w:rPr>
          <w:rFonts w:ascii="Times New Roman" w:cs="Times New Roman" w:eastAsia="Times New Roman" w:hAnsi="Times New Roman"/>
          <w:color w:val="0563C1"/>
          <w:sz w:val="24"/>
          <w:szCs w:val="24"/>
          <w:u w:val="single"/>
        </w:rPr>
        <w:t xml:space="preserve">AI-Assisted Scoring Pipeline</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Platform and Governance Design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5.1 </w:t>
      </w:r>
      <w:r>
        <w:rPr>
          <w:rFonts w:ascii="Times New Roman" w:cs="Times New Roman" w:eastAsia="Times New Roman" w:hAnsi="Times New Roman"/>
          <w:color w:val="0563C1"/>
          <w:sz w:val="24"/>
          <w:szCs w:val="24"/>
          <w:u w:val="single"/>
        </w:rPr>
        <w:t xml:space="preserve">Consent Mechanics</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Pilot Operations and Descriptive Statistics</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6.1 </w:t>
      </w:r>
      <w:r>
        <w:rPr>
          <w:rFonts w:ascii="Times New Roman" w:cs="Times New Roman" w:eastAsia="Times New Roman" w:hAnsi="Times New Roman"/>
          <w:color w:val="0563C1"/>
          <w:sz w:val="24"/>
          <w:szCs w:val="24"/>
          <w:u w:val="single"/>
        </w:rPr>
        <w:t xml:space="preserve">Participation and Completion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6.2 </w:t>
      </w:r>
      <w:r>
        <w:rPr>
          <w:rFonts w:ascii="Times New Roman" w:cs="Times New Roman" w:eastAsia="Times New Roman" w:hAnsi="Times New Roman"/>
          <w:color w:val="0563C1"/>
          <w:sz w:val="24"/>
          <w:szCs w:val="24"/>
          <w:u w:val="single"/>
        </w:rPr>
        <w:t xml:space="preserve">Sample Demographics</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Results</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7.1 </w:t>
      </w:r>
      <w:r>
        <w:rPr>
          <w:rFonts w:ascii="Times New Roman" w:cs="Times New Roman" w:eastAsia="Times New Roman" w:hAnsi="Times New Roman"/>
          <w:color w:val="0563C1"/>
          <w:sz w:val="24"/>
          <w:szCs w:val="24"/>
          <w:u w:val="single"/>
        </w:rPr>
        <w:t xml:space="preserve">Anchor Score Distribution and Domain Breakdown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7.2 </w:t>
      </w:r>
      <w:r>
        <w:rPr>
          <w:rFonts w:ascii="Times New Roman" w:cs="Times New Roman" w:eastAsia="Times New Roman" w:hAnsi="Times New Roman"/>
          <w:color w:val="0563C1"/>
          <w:sz w:val="24"/>
          <w:szCs w:val="24"/>
          <w:u w:val="single"/>
        </w:rPr>
        <w:t xml:space="preserve">Confidence Calibration Patterns</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7.3 </w:t>
      </w:r>
      <w:r>
        <w:rPr>
          <w:rFonts w:ascii="Times New Roman" w:cs="Times New Roman" w:eastAsia="Times New Roman" w:hAnsi="Times New Roman"/>
          <w:color w:val="0563C1"/>
          <w:sz w:val="24"/>
          <w:szCs w:val="24"/>
          <w:u w:val="single"/>
        </w:rPr>
        <w:t xml:space="preserve">Diagnostic Classification: Diagnose Composition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7.4 </w:t>
      </w:r>
      <w:r>
        <w:rPr>
          <w:rFonts w:ascii="Times New Roman" w:cs="Times New Roman" w:eastAsia="Times New Roman" w:hAnsi="Times New Roman"/>
          <w:color w:val="0563C1"/>
          <w:sz w:val="24"/>
          <w:szCs w:val="24"/>
          <w:u w:val="single"/>
        </w:rPr>
        <w:t xml:space="preserve">Diagnostic Classification: Confirm Composition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7.5 </w:t>
      </w:r>
      <w:r>
        <w:rPr>
          <w:rFonts w:ascii="Times New Roman" w:cs="Times New Roman" w:eastAsia="Times New Roman" w:hAnsi="Times New Roman"/>
          <w:color w:val="0563C1"/>
          <w:sz w:val="24"/>
          <w:szCs w:val="24"/>
          <w:u w:val="single"/>
        </w:rPr>
        <w:t xml:space="preserve">Misconception Clusters by Domain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7.6 </w:t>
      </w:r>
      <w:r>
        <w:rPr>
          <w:rFonts w:ascii="Times New Roman" w:cs="Times New Roman" w:eastAsia="Times New Roman" w:hAnsi="Times New Roman"/>
          <w:color w:val="0563C1"/>
          <w:sz w:val="24"/>
          <w:szCs w:val="24"/>
          <w:u w:val="single"/>
        </w:rPr>
        <w:t xml:space="preserve">Selection Error Patterns and Item Revision Targets</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7.7 </w:t>
      </w:r>
      <w:r>
        <w:rPr>
          <w:rFonts w:ascii="Times New Roman" w:cs="Times New Roman" w:eastAsia="Times New Roman" w:hAnsi="Times New Roman"/>
          <w:color w:val="0563C1"/>
          <w:sz w:val="24"/>
          <w:szCs w:val="24"/>
          <w:u w:val="single"/>
        </w:rPr>
        <w:t xml:space="preserve">AI Scoring Validation</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Discussion</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8.1 </w:t>
      </w:r>
      <w:r>
        <w:rPr>
          <w:rFonts w:ascii="Times New Roman" w:cs="Times New Roman" w:eastAsia="Times New Roman" w:hAnsi="Times New Roman"/>
          <w:color w:val="0563C1"/>
          <w:sz w:val="24"/>
          <w:szCs w:val="24"/>
          <w:u w:val="single"/>
        </w:rPr>
        <w:t xml:space="preserve">Key Findings</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8.2 </w:t>
      </w:r>
      <w:r>
        <w:rPr>
          <w:rFonts w:ascii="Times New Roman" w:cs="Times New Roman" w:eastAsia="Times New Roman" w:hAnsi="Times New Roman"/>
          <w:color w:val="0563C1"/>
          <w:sz w:val="24"/>
          <w:szCs w:val="24"/>
          <w:u w:val="single"/>
        </w:rPr>
        <w:t xml:space="preserve">Course Improvement Recommendations</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8.3 </w:t>
      </w:r>
      <w:r>
        <w:rPr>
          <w:rFonts w:ascii="Times New Roman" w:cs="Times New Roman" w:eastAsia="Times New Roman" w:hAnsi="Times New Roman"/>
          <w:color w:val="0563C1"/>
          <w:sz w:val="24"/>
          <w:szCs w:val="24"/>
          <w:u w:val="single"/>
        </w:rPr>
        <w:t xml:space="preserve">Implications for Risk Literacy Measurement</w:t>
      </w:r>
    </w:p>
    <w:p>
      <w:pPr>
        <w:pStyle w:val="ListParagraph"/>
        <w:numPr>
          <w:ilvl w:val="0"/>
          <w:numId w:val="3"/>
        </w:numPr>
        <w:spacing w:line="360" w:after="60"/>
        <w:ind w:left="1080"/>
      </w:pPr>
      <w:r>
        <w:rPr>
          <w:rFonts w:ascii="Times New Roman" w:cs="Times New Roman" w:eastAsia="Times New Roman" w:hAnsi="Times New Roman"/>
          <w:sz w:val="24"/>
          <w:szCs w:val="24"/>
        </w:rPr>
        <w:t xml:space="preserve">8.4 </w:t>
      </w:r>
      <w:r>
        <w:rPr>
          <w:rFonts w:ascii="Times New Roman" w:cs="Times New Roman" w:eastAsia="Times New Roman" w:hAnsi="Times New Roman"/>
          <w:color w:val="0563C1"/>
          <w:sz w:val="24"/>
          <w:szCs w:val="24"/>
          <w:u w:val="single"/>
        </w:rPr>
        <w:t xml:space="preserve">Oral Diagnostics as Future Modality</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Limitations</w:t>
      </w:r>
    </w:p>
    <w:p>
      <w:pPr>
        <w:pStyle w:val="ListParagraph"/>
        <w:numPr>
          <w:ilvl w:val="0"/>
          <w:numId w:val="2"/>
        </w:numPr>
        <w:spacing w:line="360" w:after="100"/>
      </w:pPr>
      <w:r>
        <w:rPr>
          <w:rFonts w:ascii="Times New Roman" w:cs="Times New Roman" w:eastAsia="Times New Roman" w:hAnsi="Times New Roman"/>
          <w:color w:val="0563C1"/>
          <w:sz w:val="24"/>
          <w:szCs w:val="24"/>
          <w:u w:val="single"/>
        </w:rPr>
        <w:t xml:space="preserve">Planned Validation Study (Paper 2 Protocol Preview)</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References</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Declaration of AI and AI-Assisted Technologies</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Appendix A: SDM-10 Selection Algorithm and Burden Controls</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Appendix B: Assessment Items (Full Question Bank)</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Appendix C: Financial Literacy Misconception Taxonomy (Layer 1)</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Appendix D: AI Scorer Model Selection Protocol</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Appendix E: Supplementary Materials</w:t>
      </w:r>
    </w:p>
    <w:p>
      <w:pPr>
        <w:pStyle w:val="ListParagraph"/>
        <w:numPr>
          <w:ilvl w:val="0"/>
          <w:numId w:val="3"/>
        </w:numPr>
        <w:spacing w:line="360" w:after="100"/>
      </w:pPr>
      <w:r>
        <w:rPr>
          <w:rFonts w:ascii="Times New Roman" w:cs="Times New Roman" w:eastAsia="Times New Roman" w:hAnsi="Times New Roman"/>
          <w:color w:val="0563C1"/>
          <w:sz w:val="24"/>
          <w:szCs w:val="24"/>
          <w:u w:val="single"/>
        </w:rPr>
        <w:t xml:space="preserve">Appendix F: Technical Implementation</w:t>
      </w:r>
    </w:p>
    <w:p>
      <w:pPr>
        <w:pStyle w:val="Heading1"/>
        <w:pageBreakBefore/>
        <w:spacing w:before="480" w:after="240"/>
      </w:pPr>
      <w:r>
        <w:rPr>
          <w:rFonts w:ascii="Times New Roman" w:cs="Times New Roman" w:eastAsia="Times New Roman" w:hAnsi="Times New Roman"/>
          <w:sz w:val="24"/>
          <w:szCs w:val="24"/>
        </w:rPr>
        <w:t xml:space="preserve">1. Introduction</w:t>
      </w:r>
    </w:p>
    <w:p>
      <w:pPr>
        <w:spacing w:line="360" w:after="200"/>
      </w:pPr>
      <w:r>
        <w:rPr>
          <w:rFonts w:ascii="Times New Roman" w:cs="Times New Roman" w:eastAsia="Times New Roman" w:hAnsi="Times New Roman"/>
          <w:sz w:val="24"/>
          <w:szCs w:val="24"/>
        </w:rPr>
        <w:t xml:space="preserve">Financial literacy is commonly defined as the ability to understand and use financial concepts and quantitative information to make informed decisions about saving, borrowing, investing, and managing risk. In the human capital framework, these competencies influence participation in credit and asset markets, portfolio choice, and resilience to shocks. For university students, financial literacy is immediately consequential because many begin managing debt, credit, and consumption decisions under limited experience and imperfect information. Small misunderstandings in compounding, interest-rate mechanics, inflation, diversification, and insurance can translate into persistent debt burdens, fragile liquidity positions, and suboptimal portfolio choices.</w:t>
      </w:r>
    </w:p>
    <w:p>
      <w:pPr>
        <w:spacing w:line="360" w:after="200"/>
      </w:pPr>
      <w:r>
        <w:rPr>
          <w:rFonts w:ascii="Times New Roman" w:cs="Times New Roman" w:eastAsia="Times New Roman" w:hAnsi="Times New Roman"/>
          <w:sz w:val="24"/>
          <w:szCs w:val="24"/>
        </w:rPr>
        <w:t xml:space="preserve">Recent policy debate on consumer credit highlights why financial literacy matters for borrowing outcomes. Research suggests that creditworthiness may be influenced by financial literacy education (Lusardi &amp; Mitchell, 2014), and that improving consumers' understanding of borrowing mechanics may help reduce delinquency and compounding penalty dynamics that raise effective borrowing costs. From this perspective, expanding access to bona fide financial literacy education is not only consumer protection but also a market-relevant intervention, because stronger credit profiles can reduce risk-based pricing pressure and contribute to lower rates over time for both borrowers and lenders.</w:t>
      </w:r>
    </w:p>
    <w:p>
      <w:pPr>
        <w:spacing w:line="360" w:after="200"/>
      </w:pPr>
      <w:r>
        <w:rPr>
          <w:rFonts w:ascii="Times New Roman" w:cs="Times New Roman" w:eastAsia="Times New Roman" w:hAnsi="Times New Roman"/>
          <w:sz w:val="24"/>
          <w:szCs w:val="24"/>
        </w:rPr>
        <w:t xml:space="preserve">Despite broad recognition of its importance, financial literacy is unevenly distributed across student populations. Students arrive with heterogeneous prior exposure to personal finance concepts, differences in numeracy, and unequal access to credible guidance through households, schools, employers, and digital sources. Learning is further shaped by behavioral and contextual constraints, including time scarcity, employment intensity, financial stress, risk preferences, and prior exposure to financial products. Consequently, evaluation of financial literacy instruction should address both average learning gains and the determinants of variation in learning across students.</w:t>
      </w:r>
    </w:p>
    <w:p>
      <w:pPr>
        <w:spacing w:line="360" w:after="200"/>
      </w:pPr>
      <w:r>
        <w:rPr>
          <w:rFonts w:ascii="Times New Roman" w:cs="Times New Roman" w:eastAsia="Times New Roman" w:hAnsi="Times New Roman"/>
          <w:sz w:val="24"/>
          <w:szCs w:val="24"/>
        </w:rPr>
        <w:t xml:space="preserve">This independent study develops and pilots a diagnostic instrument for evaluating financial and risk literacy in QUIN 102 (Financial Literacy) during the Spring 2026 offering. The instrument comprises a 40-item anchor assessment covering financial knowledge and attitudes, paired with a 10-item Supplemental Diagnostic Module (SDM-10) that adaptively probes areas of weakness identified in the anchor responses. The assessment is administered through a purpose-built web platform with coded student identifiers and structured consent mechanics.</w:t>
      </w:r>
    </w:p>
    <w:p>
      <w:pPr>
        <w:spacing w:line="360" w:after="200"/>
      </w:pPr>
      <w:r>
        <w:rPr>
          <w:rFonts w:ascii="Times New Roman" w:cs="Times New Roman" w:eastAsia="Times New Roman" w:hAnsi="Times New Roman"/>
          <w:sz w:val="24"/>
          <w:szCs w:val="24"/>
        </w:rPr>
        <w:t xml:space="preserve">More specifically, the independent study is organized around two research questions that frame the overall project:</w:t>
      </w:r>
    </w:p>
    <w:p>
      <w:pPr>
        <w:pStyle w:val="ListParagraph"/>
        <w:numPr>
          <w:ilvl w:val="0"/>
          <w:numId w:val="3"/>
        </w:numPr>
        <w:spacing w:line="360" w:after="100"/>
      </w:pPr>
      <w:r>
        <w:rPr>
          <w:rFonts w:ascii="Times New Roman" w:cs="Times New Roman" w:eastAsia="Times New Roman" w:hAnsi="Times New Roman"/>
          <w:b/>
          <w:bCs/>
          <w:sz w:val="24"/>
          <w:szCs w:val="24"/>
        </w:rPr>
        <w:t xml:space="preserve">RQ1 (Learning gains):</w:t>
      </w:r>
      <w:r>
        <w:rPr>
          <w:rFonts w:ascii="Times New Roman" w:cs="Times New Roman" w:eastAsia="Times New Roman" w:hAnsi="Times New Roman"/>
          <w:sz w:val="24"/>
          <w:szCs w:val="24"/>
        </w:rPr>
        <w:t xml:space="preserve"> What is the magnitude of student learning in QUIN 102, overall and within the domains of borrowing and credit, investment, and risk management, as measured by pre- to post-course changes in knowledge?</w:t>
      </w:r>
    </w:p>
    <w:p>
      <w:pPr>
        <w:pStyle w:val="ListParagraph"/>
        <w:numPr>
          <w:ilvl w:val="0"/>
          <w:numId w:val="3"/>
        </w:numPr>
        <w:spacing w:line="360" w:after="100"/>
      </w:pPr>
      <w:r>
        <w:rPr>
          <w:rFonts w:ascii="Times New Roman" w:cs="Times New Roman" w:eastAsia="Times New Roman" w:hAnsi="Times New Roman"/>
          <w:b/>
          <w:bCs/>
          <w:sz w:val="24"/>
          <w:szCs w:val="24"/>
        </w:rPr>
        <w:t xml:space="preserve">RQ2 (Heterogeneity):</w:t>
      </w:r>
      <w:r>
        <w:rPr>
          <w:rFonts w:ascii="Times New Roman" w:cs="Times New Roman" w:eastAsia="Times New Roman" w:hAnsi="Times New Roman"/>
          <w:sz w:val="24"/>
          <w:szCs w:val="24"/>
        </w:rPr>
        <w:t xml:space="preserve"> Which baseline behavioral and contextual variables predict heterogeneity in learning gains across students, and do these predictors differ by domain?</w:t>
      </w:r>
    </w:p>
    <w:p>
      <w:pPr>
        <w:spacing w:line="360" w:after="200"/>
      </w:pPr>
      <w:r>
        <w:rPr>
          <w:rFonts w:ascii="Times New Roman" w:cs="Times New Roman" w:eastAsia="Times New Roman" w:hAnsi="Times New Roman"/>
          <w:sz w:val="24"/>
          <w:szCs w:val="24"/>
        </w:rPr>
        <w:t xml:space="preserve">RQ1 and RQ2 require paired pre-post data and will be addressed in a subsequent study contingent on institutional review board approval (see Section 10). This paper (Paper 1) is an independent study deliverable that documents instrument design, platform implementation, and descriptive diagnostic findings from the pre-course assessment (February 2--9, 2026). It reports no learning gains, no inferential statistics, and no subgroup comparisons. All pre-course results are presented as operational baseline context for the planned validation study, not as standalone research findings. The SDM-10's three-way classification of open-ended responses (misconception, knowledge gap, selection error) provides diagnostic information that standard multiple-choice instruments cannot capture -- in particular, the finding that a substantial fraction of incorrect answers reflect selection errors rather than genuine misconceptions, and that a meaningful fraction of correct answers reflect lucky guesses rather than genuine understanding. These findings demonstrate that raw MCQ scores both overstate and understate student knowledge in systematic ways, with implications for instrument design and instructional targeting.</w:t>
      </w:r>
    </w:p>
    <w:p>
      <w:pPr>
        <w:pStyle w:val="Heading1"/>
        <w:pageBreakBefore/>
        <w:spacing w:before="480" w:after="240"/>
      </w:pPr>
      <w:r>
        <w:rPr>
          <w:rFonts w:ascii="Times New Roman" w:cs="Times New Roman" w:eastAsia="Times New Roman" w:hAnsi="Times New Roman"/>
          <w:sz w:val="24"/>
          <w:szCs w:val="24"/>
        </w:rPr>
        <w:t xml:space="preserve">2. Related Work</w:t>
      </w:r>
    </w:p>
    <w:p>
      <w:pPr>
        <w:pStyle w:val="Heading2"/>
        <w:spacing w:before="360" w:after="180"/>
      </w:pPr>
      <w:r>
        <w:rPr>
          <w:rFonts w:ascii="Times New Roman" w:cs="Times New Roman" w:eastAsia="Times New Roman" w:hAnsi="Times New Roman"/>
          <w:sz w:val="24"/>
          <w:szCs w:val="24"/>
        </w:rPr>
        <w:t xml:space="preserve">2.1 Financial Literacy: Definitions and Measurement</w:t>
      </w:r>
    </w:p>
    <w:p>
      <w:pPr>
        <w:spacing w:line="360" w:after="200"/>
      </w:pPr>
      <w:r>
        <w:rPr>
          <w:rFonts w:ascii="Times New Roman" w:cs="Times New Roman" w:eastAsia="Times New Roman" w:hAnsi="Times New Roman"/>
          <w:sz w:val="24"/>
          <w:szCs w:val="24"/>
        </w:rPr>
        <w:t xml:space="preserve">Since the early 2000s, a growing body of research has examined how well people understand basic financial concepts and how that understanding shapes their economic decisions. Lusardi and Mitchell (2014) anchored much of this work by defining financial literacy around three core ideas -- interest compounding, inflation, and risk diversification -- and showing that individuals who grasp these concepts save more, invest more effectively, and accumulate greater wealth over time. Their "Big Three" questions have become the most widely adopted instrument for assessing basic financial literacy and form the conceptual basis for most subsequent measurement efforts, including the assessment categories used in the present study.</w:t>
      </w:r>
    </w:p>
    <w:p>
      <w:pPr>
        <w:spacing w:line="360" w:after="200"/>
      </w:pPr>
      <w:r>
        <w:rPr>
          <w:rFonts w:ascii="Times New Roman" w:cs="Times New Roman" w:eastAsia="Times New Roman" w:hAnsi="Times New Roman"/>
          <w:sz w:val="24"/>
          <w:szCs w:val="24"/>
        </w:rPr>
        <w:t xml:space="preserve">Although the construct is widely acknowledged, the field has lacked a standardized instrument analogous to established health literacy measures. Huston (2010) reviewed the heterogeneous measurement landscape and proposed that financial literacy instruments should contain 12--20 items spanning four content areas: money basics (time value of money, purchasing power), borrowing, investing, and asset protection. Our assessment's coverage of borrowing/credit, investment/risk, and behavioral risk management closely mirrors Huston's recommended framework. More recently, the OECD/INFE toolkit (OECD, 2022) has provided a standardized questionnaire measuring three dimensions of financial literacy -- knowledge, behavior, and attitudes -- deployed across dozens of countries to enable cross-national comparisons.</w:t>
      </w:r>
    </w:p>
    <w:p>
      <w:pPr>
        <w:spacing w:line="360" w:after="200"/>
      </w:pPr>
      <w:r>
        <w:rPr>
          <w:rFonts w:ascii="Times New Roman" w:cs="Times New Roman" w:eastAsia="Times New Roman" w:hAnsi="Times New Roman"/>
          <w:sz w:val="24"/>
          <w:szCs w:val="24"/>
        </w:rPr>
        <w:t xml:space="preserve">In their methodological review, Hastings, Madrian, and Skimmyhorn (2013) examined how researchers actually measure financial literacy and concluded that the "Big Five" questions -- interest rates, inflation, diversification, compound interest, and bond pricing -- remain the field's most trusted indicators, despite persistent difficulties in drawing causal links between what people know and how they behave financially. Lusardi (2019) further documented that globally, only about one-third of adults demonstrate familiarity with basic financial concepts, with illiteracy especially concentrated among women, minorities, the young, and those with lower educational attainment.</w:t>
      </w:r>
    </w:p>
    <w:p>
      <w:pPr>
        <w:spacing w:line="360" w:after="200"/>
      </w:pPr>
      <w:r>
        <w:rPr>
          <w:rFonts w:ascii="Times New Roman" w:cs="Times New Roman" w:eastAsia="Times New Roman" w:hAnsi="Times New Roman"/>
          <w:sz w:val="24"/>
          <w:szCs w:val="24"/>
        </w:rPr>
        <w:t xml:space="preserve">Among college students specifically, Chen and Volpe (1998) established early baseline evidence, finding that 924 college students answered only about 53% of financial literacy questions correctly, with non-business majors, women, and students with limited work experience scoring significantly lower.</w:t>
      </w:r>
    </w:p>
    <w:p>
      <w:pPr>
        <w:pStyle w:val="Heading2"/>
        <w:spacing w:before="360" w:after="180"/>
      </w:pPr>
      <w:r>
        <w:rPr>
          <w:rFonts w:ascii="Times New Roman" w:cs="Times New Roman" w:eastAsia="Times New Roman" w:hAnsi="Times New Roman"/>
          <w:sz w:val="24"/>
          <w:szCs w:val="24"/>
        </w:rPr>
        <w:t xml:space="preserve">2.2 Domain-Specific Knowledge Gaps</w:t>
      </w:r>
    </w:p>
    <w:p>
      <w:pPr>
        <w:spacing w:line="360" w:after="200"/>
      </w:pPr>
      <w:r>
        <w:rPr>
          <w:rFonts w:ascii="Times New Roman" w:cs="Times New Roman" w:eastAsia="Times New Roman" w:hAnsi="Times New Roman"/>
          <w:sz w:val="24"/>
          <w:szCs w:val="24"/>
        </w:rPr>
        <w:t xml:space="preserve">Research has documented uneven financial literacy across knowledge domains. Lusardi and Tufano (2015) established the concept of "debt literacy" as distinct from general financial literacy, finding that only about one-third of Americans comprehend interest compounding or credit card mechanics, and estimating that as much as one-third of charges and fees paid by less-knowledgeable individuals can be attributed to ignorance. Stango and Zinman (2009) identified the cognitive mechanism underlying many borrowing mistakes -- exponential growth bias, the pervasive tendency to linearize exponential functions -- which leads consumers to underestimate interest rates on loans and underestimate future values of investments.</w:t>
      </w:r>
    </w:p>
    <w:p>
      <w:pPr>
        <w:spacing w:line="360" w:after="200"/>
      </w:pPr>
      <w:r>
        <w:rPr>
          <w:rFonts w:ascii="Times New Roman" w:cs="Times New Roman" w:eastAsia="Times New Roman" w:hAnsi="Times New Roman"/>
          <w:sz w:val="24"/>
          <w:szCs w:val="24"/>
        </w:rPr>
        <w:t xml:space="preserve">In the investment domain, van Rooij, Lusardi, and Alessie (2011) found that while most respondents demonstrated basic financial knowledge (interest compounding, inflation, time value of money), very few understood differences between bonds and stocks, bond price-interest rate relationships, or risk diversification basics. Individuals with low advanced financial literacy were significantly less likely to participate in the stock market.</w:t>
      </w:r>
    </w:p>
    <w:p>
      <w:pPr>
        <w:spacing w:line="360" w:after="200"/>
      </w:pPr>
      <w:r>
        <w:rPr>
          <w:rFonts w:ascii="Times New Roman" w:cs="Times New Roman" w:eastAsia="Times New Roman" w:hAnsi="Times New Roman"/>
          <w:sz w:val="24"/>
          <w:szCs w:val="24"/>
        </w:rPr>
        <w:t xml:space="preserve">Within the college population, Akers and Chingos (2014) found striking levels of student loan illiteracy: 28% of first-year students with federal loans reported having no federal debt, and nearly half seriously underestimated their total student debt. These findings underscore why the present assessment includes borrowing/credit as a major knowledge domain.</w:t>
      </w:r>
    </w:p>
    <w:p>
      <w:pPr>
        <w:pStyle w:val="Heading2"/>
        <w:spacing w:before="360" w:after="180"/>
      </w:pPr>
      <w:r>
        <w:rPr>
          <w:rFonts w:ascii="Times New Roman" w:cs="Times New Roman" w:eastAsia="Times New Roman" w:hAnsi="Times New Roman"/>
          <w:sz w:val="24"/>
          <w:szCs w:val="24"/>
        </w:rPr>
        <w:t xml:space="preserve">2.3 Confidence Calibration and Overconfidence</w:t>
      </w:r>
    </w:p>
    <w:p>
      <w:pPr>
        <w:spacing w:line="360" w:after="200"/>
      </w:pPr>
      <w:r>
        <w:rPr>
          <w:rFonts w:ascii="Times New Roman" w:cs="Times New Roman" w:eastAsia="Times New Roman" w:hAnsi="Times New Roman"/>
          <w:sz w:val="24"/>
          <w:szCs w:val="24"/>
        </w:rPr>
        <w:t xml:space="preserve">The relationship between perceived and actual financial literacy has emerged as a critical dimension of financial competence. Allgood and Walstad (2016) demonstrated, using a national survey of 28,146 U.S. adults, that both actual (objective) and perceived (subjective) financial literacy independently influence financial behaviors across five domains. The combined measure of both perceived and actual literacy provides greater explanatory power than either alone, supporting the QUIN 102 assessment's design that generates an overconfidence index from both measures.</w:t>
      </w:r>
    </w:p>
    <w:p>
      <w:pPr>
        <w:spacing w:line="360" w:after="200"/>
      </w:pPr>
      <w:r>
        <w:rPr>
          <w:rFonts w:ascii="Times New Roman" w:cs="Times New Roman" w:eastAsia="Times New Roman" w:hAnsi="Times New Roman"/>
          <w:sz w:val="24"/>
          <w:szCs w:val="24"/>
        </w:rPr>
        <w:t xml:space="preserve">Robb and Woodyard (2011) found that subjective financial knowledge had a larger relative impact on financial behavior than objective knowledge, underscoring the importance of measuring confidence calibration. Porto and Xiao (2016) found that over 11% of respondents in a nationally representative sample displayed financial literacy overconfidence -- scoring above average on perceived knowledge but failing basic literacy questions -- and that these overconfident consumers were less likely to seek professional financial advice in domains where they most needed it.</w:t>
      </w:r>
    </w:p>
    <w:p>
      <w:pPr>
        <w:spacing w:line="360" w:after="200"/>
      </w:pPr>
      <w:r>
        <w:rPr>
          <w:rFonts w:ascii="Times New Roman" w:cs="Times New Roman" w:eastAsia="Times New Roman" w:hAnsi="Times New Roman"/>
          <w:sz w:val="24"/>
          <w:szCs w:val="24"/>
        </w:rPr>
        <w:t xml:space="preserve">In a study closely comparable to the present research, Ipatova and Merheb (2023) examined overconfidence among 169 undergraduates and confirmed the Dunning-Kruger effect in financial literacy contexts: students with lower financial proficiency systematically overestimated their knowledge and competence. Kramer (2016) provided additional evidence that confidence operates independently of knowledge in shaping financial behavior, finding that higher confidence reduces advice-seeking while no relationship exists between objective literacy and advice-seeking.</w:t>
      </w:r>
    </w:p>
    <w:p>
      <w:pPr>
        <w:pStyle w:val="Heading2"/>
        <w:spacing w:before="360" w:after="180"/>
      </w:pPr>
      <w:r>
        <w:rPr>
          <w:rFonts w:ascii="Times New Roman" w:cs="Times New Roman" w:eastAsia="Times New Roman" w:hAnsi="Times New Roman"/>
          <w:sz w:val="24"/>
          <w:szCs w:val="24"/>
        </w:rPr>
        <w:t xml:space="preserve">2.4 Gaps in the Literature</w:t>
      </w:r>
    </w:p>
    <w:p>
      <w:pPr>
        <w:spacing w:line="360" w:after="200"/>
      </w:pPr>
      <w:r>
        <w:rPr>
          <w:rFonts w:ascii="Times New Roman" w:cs="Times New Roman" w:eastAsia="Times New Roman" w:hAnsi="Times New Roman"/>
          <w:sz w:val="24"/>
          <w:szCs w:val="24"/>
        </w:rPr>
        <w:t xml:space="preserve">The literature review reveals several gaps that the present instrument addresses. First, most financial literacy measurement studies rely on fixed multiple-choice instruments that cannot distinguish between genuine misconceptions, knowledge gaps, and selection errors -- a limitation that affects both diagnostic accuracy and instructional targeting. Second, the use of adaptive diagnostic instruments that probe areas of weakness identified in an anchor assessment is novel in the financial literacy evaluation literature. Third, the simultaneous measurement of knowledge, confidence, and behavioral covariates enables analysis of confidence calibration, directly addressing Willis's (2011) concern about "confident incompetence." The present study contributes to filling these gaps by developing a diagnostic instrument that combines a fixed anchor assessment with an adaptive diagnostic module, enabling finer-grained classification of student responses than traditional MCQ-only approaches.</w:t>
      </w:r>
    </w:p>
    <w:p>
      <w:pPr>
        <w:pStyle w:val="Heading1"/>
        <w:pageBreakBefore/>
        <w:spacing w:before="480" w:after="240"/>
      </w:pPr>
      <w:r>
        <w:rPr>
          <w:rFonts w:ascii="Times New Roman" w:cs="Times New Roman" w:eastAsia="Times New Roman" w:hAnsi="Times New Roman"/>
          <w:sz w:val="24"/>
          <w:szCs w:val="24"/>
        </w:rPr>
        <w:t xml:space="preserve">3. Instrument and Measurement Model</w:t>
      </w:r>
    </w:p>
    <w:p>
      <w:pPr>
        <w:pStyle w:val="Heading2"/>
        <w:spacing w:before="360" w:after="180"/>
      </w:pPr>
      <w:r>
        <w:rPr>
          <w:rFonts w:ascii="Times New Roman" w:cs="Times New Roman" w:eastAsia="Times New Roman" w:hAnsi="Times New Roman"/>
          <w:sz w:val="24"/>
          <w:szCs w:val="24"/>
        </w:rPr>
        <w:t xml:space="preserve">3.1 Assessment Structure</w:t>
      </w:r>
    </w:p>
    <w:p>
      <w:pPr>
        <w:spacing w:line="360" w:after="200"/>
      </w:pPr>
      <w:r>
        <w:rPr>
          <w:rFonts w:ascii="Times New Roman" w:cs="Times New Roman" w:eastAsia="Times New Roman" w:hAnsi="Times New Roman"/>
          <w:sz w:val="24"/>
          <w:szCs w:val="24"/>
        </w:rPr>
        <w:t xml:space="preserve">The instrument comprises three components:</w:t>
      </w:r>
    </w:p>
    <w:p>
      <w:pPr>
        <w:pStyle w:val="ListParagraph"/>
        <w:numPr>
          <w:ilvl w:val="0"/>
          <w:numId w:val="2"/>
        </w:numPr>
        <w:spacing w:line="360" w:after="100"/>
      </w:pPr>
      <w:r>
        <w:rPr>
          <w:rFonts w:ascii="Times New Roman" w:cs="Times New Roman" w:eastAsia="Times New Roman" w:hAnsi="Times New Roman"/>
          <w:sz w:val="24"/>
          <w:szCs w:val="24"/>
        </w:rPr>
        <w:t xml:space="preserve">A demographic and socioeconomic baseline questionnaire (13 items) administered during onboarding</w:t>
      </w:r>
    </w:p>
    <w:p>
      <w:pPr>
        <w:pStyle w:val="ListParagraph"/>
        <w:numPr>
          <w:ilvl w:val="0"/>
          <w:numId w:val="2"/>
        </w:numPr>
        <w:spacing w:line="360" w:after="100"/>
      </w:pPr>
      <w:r>
        <w:rPr>
          <w:rFonts w:ascii="Times New Roman" w:cs="Times New Roman" w:eastAsia="Times New Roman" w:hAnsi="Times New Roman"/>
          <w:sz w:val="24"/>
          <w:szCs w:val="24"/>
        </w:rPr>
        <w:t xml:space="preserve">A fixed 40-item core (anchor) assessment covering financial knowledge and attitudes</w:t>
      </w:r>
    </w:p>
    <w:p>
      <w:pPr>
        <w:pStyle w:val="ListParagraph"/>
        <w:numPr>
          <w:ilvl w:val="0"/>
          <w:numId w:val="2"/>
        </w:numPr>
        <w:spacing w:line="360" w:after="100"/>
      </w:pPr>
      <w:r>
        <w:rPr>
          <w:rFonts w:ascii="Times New Roman" w:cs="Times New Roman" w:eastAsia="Times New Roman" w:hAnsi="Times New Roman"/>
          <w:sz w:val="24"/>
          <w:szCs w:val="24"/>
        </w:rPr>
        <w:t xml:space="preserve">A 10-item Supplemental Diagnostic Module (SDM-10) selected from a pre-written item bank based on students' anchor responses</w:t>
      </w:r>
    </w:p>
    <w:p>
      <w:pPr>
        <w:spacing w:line="360" w:after="200"/>
      </w:pPr>
      <w:r>
        <w:rPr>
          <w:rFonts w:ascii="Times New Roman" w:cs="Times New Roman" w:eastAsia="Times New Roman" w:hAnsi="Times New Roman"/>
          <w:b/>
          <w:bCs/>
          <w:sz w:val="24"/>
          <w:szCs w:val="24"/>
        </w:rPr>
        <w:t xml:space="preserve">Table 3.1: Item Distribution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Component</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Items</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Content</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Scored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Baseline covariates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Demographics, financial background, debt status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Anchor knowledge items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Q1--Q14, Q29--Q40 (borrowing, investment, risk)</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Anchor preference items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Q15--Q28 (attitudes, risk tolerance, behavior)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SDM-10 adaptive items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Selected from 156-variant item bank</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Diagnostic only</w:t>
            </w:r>
          </w:p>
        </w:tc>
      </w:tr>
    </w:tbl>
    <w:p>
      <w:pPr>
        <w:spacing w:after="200"/>
      </w:pPr>
    </w:p>
    <w:p>
      <w:pPr>
        <w:spacing w:line="360" w:after="200"/>
      </w:pPr>
      <w:r>
        <w:rPr>
          <w:rFonts w:ascii="Times New Roman" w:cs="Times New Roman" w:eastAsia="Times New Roman" w:hAnsi="Times New Roman"/>
          <w:sz w:val="24"/>
          <w:szCs w:val="24"/>
        </w:rPr>
        <w:t xml:space="preserve">Out of the 40 anchor items, 26 are knowledge items scored as correct/incorrect and used to compute learning gains. The remaining 14 are preference items (Q15--Q28) that assess behavioral tendencies and serve as unscored covariates for heterogeneity analysis. Each anchor item is paired with a confidence rating on a 1--3 scale (low, medium, high). The combination of correctness and confidence determines whether additional diagnostic measurement is warranted in the SDM-10.</w:t>
      </w:r>
    </w:p>
    <w:p>
      <w:pPr>
        <w:spacing w:line="360" w:after="200"/>
      </w:pPr>
      <w:r>
        <w:rPr>
          <w:rFonts w:ascii="Times New Roman" w:cs="Times New Roman" w:eastAsia="Times New Roman" w:hAnsi="Times New Roman"/>
          <w:sz w:val="24"/>
          <w:szCs w:val="24"/>
        </w:rPr>
        <w:t xml:space="preserve">We built the question bank by adapting and synthesizing items from established financial literacy and numeracy instruments, including the Berlin Numeracy Test, Lipkus Numeracy Scale, the "Big Three" (Lusardi and Mitchell), the FINRA National Financial Capability Study item sets, the OECD/INFE Toolkit (2022), the P-Fin Index, and related decision science instruments. Starting from an initial pool of approximately 80 candidates, we refined the bank down to a 40-item anchor assessment.</w:t>
      </w:r>
    </w:p>
    <w:p>
      <w:pPr>
        <w:pStyle w:val="Heading2"/>
        <w:spacing w:before="360" w:after="180"/>
      </w:pPr>
      <w:r>
        <w:rPr>
          <w:rFonts w:ascii="Times New Roman" w:cs="Times New Roman" w:eastAsia="Times New Roman" w:hAnsi="Times New Roman"/>
          <w:sz w:val="24"/>
          <w:szCs w:val="24"/>
        </w:rPr>
        <w:t xml:space="preserve">3.2 Scoring Methodology</w:t>
      </w:r>
    </w:p>
    <w:p>
      <w:pPr>
        <w:spacing w:line="360" w:after="200"/>
      </w:pPr>
      <w:r>
        <w:rPr>
          <w:rFonts w:ascii="Times New Roman" w:cs="Times New Roman" w:eastAsia="Times New Roman" w:hAnsi="Times New Roman"/>
          <w:sz w:val="24"/>
          <w:szCs w:val="24"/>
        </w:rPr>
        <w:t xml:space="preserve">We score knowledge items (Q1--Q14, Q29--Q40) as correct/incorrect (binary) and compute both overall and domain-level percent-correct scores across three instructional domains:</w:t>
      </w:r>
    </w:p>
    <w:p>
      <w:pPr>
        <w:pStyle w:val="ListParagraph"/>
        <w:numPr>
          <w:ilvl w:val="0"/>
          <w:numId w:val="3"/>
        </w:numPr>
        <w:spacing w:line="360" w:after="100"/>
      </w:pPr>
      <w:r>
        <w:rPr>
          <w:rFonts w:ascii="Times New Roman" w:cs="Times New Roman" w:eastAsia="Times New Roman" w:hAnsi="Times New Roman"/>
          <w:b/>
          <w:bCs/>
          <w:sz w:val="24"/>
          <w:szCs w:val="24"/>
        </w:rPr>
        <w:t xml:space="preserve">Borrowing, Interest Rates, and Financial Numeracy Knowledge</w:t>
      </w:r>
      <w:r>
        <w:rPr>
          <w:rFonts w:ascii="Times New Roman" w:cs="Times New Roman" w:eastAsia="Times New Roman" w:hAnsi="Times New Roman"/>
          <w:sz w:val="24"/>
          <w:szCs w:val="24"/>
        </w:rPr>
        <w:t xml:space="preserve"> (10 items: Q1--Q10)</w:t>
      </w:r>
    </w:p>
    <w:p>
      <w:pPr>
        <w:pStyle w:val="ListParagraph"/>
        <w:numPr>
          <w:ilvl w:val="0"/>
          <w:numId w:val="3"/>
        </w:numPr>
        <w:spacing w:line="360" w:after="100"/>
      </w:pPr>
      <w:r>
        <w:rPr>
          <w:rFonts w:ascii="Times New Roman" w:cs="Times New Roman" w:eastAsia="Times New Roman" w:hAnsi="Times New Roman"/>
          <w:b/>
          <w:bCs/>
          <w:sz w:val="24"/>
          <w:szCs w:val="24"/>
        </w:rPr>
        <w:t xml:space="preserve">Behavioral and Risk Management Knowledge</w:t>
      </w:r>
      <w:r>
        <w:rPr>
          <w:rFonts w:ascii="Times New Roman" w:cs="Times New Roman" w:eastAsia="Times New Roman" w:hAnsi="Times New Roman"/>
          <w:sz w:val="24"/>
          <w:szCs w:val="24"/>
        </w:rPr>
        <w:t xml:space="preserve"> (4 scored items: Q11--Q14)</w:t>
      </w:r>
    </w:p>
    <w:p>
      <w:pPr>
        <w:pStyle w:val="ListParagraph"/>
        <w:numPr>
          <w:ilvl w:val="0"/>
          <w:numId w:val="3"/>
        </w:numPr>
        <w:spacing w:line="360" w:after="100"/>
      </w:pPr>
      <w:r>
        <w:rPr>
          <w:rFonts w:ascii="Times New Roman" w:cs="Times New Roman" w:eastAsia="Times New Roman" w:hAnsi="Times New Roman"/>
          <w:b/>
          <w:bCs/>
          <w:sz w:val="24"/>
          <w:szCs w:val="24"/>
        </w:rPr>
        <w:t xml:space="preserve">Risk and Return Knowledge</w:t>
      </w:r>
      <w:r>
        <w:rPr>
          <w:rFonts w:ascii="Times New Roman" w:cs="Times New Roman" w:eastAsia="Times New Roman" w:hAnsi="Times New Roman"/>
          <w:sz w:val="24"/>
          <w:szCs w:val="24"/>
        </w:rPr>
        <w:t xml:space="preserve"> (12 items: Q29--Q40)</w:t>
      </w:r>
    </w:p>
    <w:p>
      <w:pPr>
        <w:spacing w:line="360" w:after="200"/>
      </w:pPr>
      <w:r>
        <w:rPr>
          <w:rFonts w:ascii="Times New Roman" w:cs="Times New Roman" w:eastAsia="Times New Roman" w:hAnsi="Times New Roman"/>
          <w:sz w:val="24"/>
          <w:szCs w:val="24"/>
        </w:rPr>
        <w:t xml:space="preserve">Each anchor item also carries a confidence rating, which we use for secondary analyses (calibration and diagnostic interpretation) but which does not affect the primary score. The SDM-10 is diagnostic only and does not contribute to the student's course grade.</w:t>
      </w:r>
    </w:p>
    <w:p>
      <w:pPr>
        <w:pStyle w:val="Heading2"/>
        <w:spacing w:before="360" w:after="180"/>
      </w:pPr>
      <w:r>
        <w:rPr>
          <w:rFonts w:ascii="Times New Roman" w:cs="Times New Roman" w:eastAsia="Times New Roman" w:hAnsi="Times New Roman"/>
          <w:sz w:val="24"/>
          <w:szCs w:val="24"/>
        </w:rPr>
        <w:t xml:space="preserve">3.3 Risk Literacy Emphasis</w:t>
      </w:r>
    </w:p>
    <w:p>
      <w:pPr>
        <w:spacing w:line="360" w:after="200"/>
      </w:pPr>
      <w:r>
        <w:rPr>
          <w:rFonts w:ascii="Times New Roman" w:cs="Times New Roman" w:eastAsia="Times New Roman" w:hAnsi="Times New Roman"/>
          <w:sz w:val="24"/>
          <w:szCs w:val="24"/>
        </w:rPr>
        <w:t xml:space="preserve">The instrument emphasizes risk literacy as a core construct, consistent with the independent study's objectives. Risk literacy encompasses not only factual knowledge of diversification, insurance, and risk-return tradeoffs (assessed through scored knowledge items) but also students' self-assessed confidence in recognizing and managing risk (assessed through confidence ratings and preference items). The SDM-10 module provides a deeper diagnostic layer by probing whether incorrect answers on risk-related items reflect misconceptions (specific wrong mental models), knowledge gaps (absence of knowledge), or selection errors (correct understanding with wrong answer choice). This three-level diagnostic architecture -- knowledge score, confidence calibration, and open-ended classification -- enables measurement of both quantitative and qualitative dimensions of risk literacy.</w:t>
      </w:r>
    </w:p>
    <w:p>
      <w:pPr>
        <w:spacing w:line="360" w:after="200"/>
      </w:pPr>
      <w:r>
        <w:rPr>
          <w:rFonts w:ascii="Times New Roman" w:cs="Times New Roman" w:eastAsia="Times New Roman" w:hAnsi="Times New Roman"/>
          <w:sz w:val="24"/>
          <w:szCs w:val="24"/>
        </w:rPr>
        <w:t xml:space="preserve">We designed the instrument to be internally consistent and transferable. Although piloted first with Loyola University Chicago students in QUIN 102, the item bank, scoring framework, and diagnostic module are intended for adaptation to broader student populations in future work.</w:t>
      </w:r>
    </w:p>
    <w:p>
      <w:pPr>
        <w:pStyle w:val="Heading1"/>
        <w:pageBreakBefore/>
        <w:spacing w:before="480" w:after="240"/>
      </w:pPr>
      <w:r>
        <w:rPr>
          <w:rFonts w:ascii="Times New Roman" w:cs="Times New Roman" w:eastAsia="Times New Roman" w:hAnsi="Times New Roman"/>
          <w:sz w:val="24"/>
          <w:szCs w:val="24"/>
        </w:rPr>
        <w:t xml:space="preserve">4. Assessment Pipeline</w:t>
      </w:r>
    </w:p>
    <w:p>
      <w:pPr>
        <w:pStyle w:val="Heading2"/>
        <w:spacing w:before="360" w:after="180"/>
      </w:pPr>
      <w:r>
        <w:rPr>
          <w:rFonts w:ascii="Times New Roman" w:cs="Times New Roman" w:eastAsia="Times New Roman" w:hAnsi="Times New Roman"/>
          <w:sz w:val="24"/>
          <w:szCs w:val="24"/>
        </w:rPr>
        <w:t xml:space="preserve">4.1 Pipeline Overview and Illustrative Walkthrough</w:t>
      </w:r>
    </w:p>
    <w:p>
      <w:pPr>
        <w:spacing w:line="360" w:after="200"/>
      </w:pPr>
      <w:r>
        <w:rPr>
          <w:rFonts w:ascii="Times New Roman" w:cs="Times New Roman" w:eastAsia="Times New Roman" w:hAnsi="Times New Roman"/>
          <w:sz w:val="24"/>
          <w:szCs w:val="24"/>
        </w:rPr>
        <w:t xml:space="preserve">The SDM-10 pipeline operates in three stages: (1) compute a diagnostic priority for each concept area based on the student's answer and confidence, (2) select up to 10 follow-up items from a pre-written variant bank ranked by priority (targeting 10, delivering 5--10 depending on available high-priority concepts), and (3) score any open-ended responses using an AI-assisted rubric aligned to the misconception taxonomy. Confidence is captured on a three-level scale (1 = low, 2 = mid, 3 = high). Two illustrative cases show how the pipeline works in practice.</w:t>
      </w:r>
    </w:p>
    <w:p>
      <w:pPr>
        <w:spacing w:line="360" w:after="200"/>
      </w:pPr>
      <w:r>
        <w:rPr>
          <w:rFonts w:ascii="Times New Roman" w:cs="Times New Roman" w:eastAsia="Times New Roman" w:hAnsi="Times New Roman"/>
          <w:b/>
          <w:bCs/>
          <w:sz w:val="24"/>
          <w:szCs w:val="24"/>
        </w:rPr>
        <w:t xml:space="preserve">Case A -- Open_Diagnose (incorrect + high confidence).</w:t>
      </w:r>
      <w:r>
        <w:rPr>
          <w:rFonts w:ascii="Times New Roman" w:cs="Times New Roman" w:eastAsia="Times New Roman" w:hAnsi="Times New Roman"/>
          <w:sz w:val="24"/>
          <w:szCs w:val="24"/>
        </w:rPr>
        <w:t xml:space="preserve"> A student encounters Q6, which asks what a "successful effort to lower inflation" would likely be accompanied by. The student selects "a decrease in the general level of prices" -- the incorrect answer -- and reports high confidence. Because the combination of incorrectness and high confidence produces a high diagnostic priority, the algorithm assigns an Open_Diagnose variant for the Inflation (Lowering) concept area. The student sees an open-ended prompt: </w:t>
      </w:r>
      <w:r>
        <w:rPr>
          <w:rFonts w:ascii="Times New Roman" w:cs="Times New Roman" w:eastAsia="Times New Roman" w:hAnsi="Times New Roman"/>
          <w:i/>
          <w:iCs/>
          <w:sz w:val="24"/>
          <w:szCs w:val="24"/>
        </w:rPr>
        <w:t xml:space="preserve">"You chose 'a decrease in the general level of prices.' In your own words, explain what happens to prices when inflation is lowered."</w:t>
      </w:r>
      <w:r>
        <w:rPr>
          <w:rFonts w:ascii="Times New Roman" w:cs="Times New Roman" w:eastAsia="Times New Roman" w:hAnsi="Times New Roman"/>
          <w:sz w:val="24"/>
          <w:szCs w:val="24"/>
        </w:rPr>
        <w:t xml:space="preserve"> The student writes: </w:t>
      </w:r>
      <w:r>
        <w:rPr>
          <w:rFonts w:ascii="Times New Roman" w:cs="Times New Roman" w:eastAsia="Times New Roman" w:hAnsi="Times New Roman"/>
          <w:i/>
          <w:iCs/>
          <w:sz w:val="24"/>
          <w:szCs w:val="24"/>
        </w:rPr>
        <w:t xml:space="preserve">"If inflation goes down, prices should go down too -- that's what lower inflation means."</w:t>
      </w:r>
      <w:r>
        <w:rPr>
          <w:rFonts w:ascii="Times New Roman" w:cs="Times New Roman" w:eastAsia="Times New Roman" w:hAnsi="Times New Roman"/>
          <w:sz w:val="24"/>
          <w:szCs w:val="24"/>
        </w:rPr>
        <w:t xml:space="preserve"> The AI scoring pipeline classifies this as a </w:t>
      </w:r>
      <w:r>
        <w:rPr>
          <w:rFonts w:ascii="Times New Roman" w:cs="Times New Roman" w:eastAsia="Times New Roman" w:hAnsi="Times New Roman"/>
          <w:b/>
          <w:bCs/>
          <w:sz w:val="24"/>
          <w:szCs w:val="24"/>
        </w:rPr>
        <w:t xml:space="preserve">misconception</w:t>
      </w:r>
      <w:r>
        <w:rPr>
          <w:rFonts w:ascii="Times New Roman" w:cs="Times New Roman" w:eastAsia="Times New Roman" w:hAnsi="Times New Roman"/>
          <w:sz w:val="24"/>
          <w:szCs w:val="24"/>
        </w:rPr>
        <w:t xml:space="preserve"> (INF-01: confuses a decrease in the rate of price increase with an actual decrease in prices) and assigns taxonomy codes. The classification distinguishes this from a knowledge gap (the student has an active belief, not an absence of knowledge) and from a selection error (the student's reasoning is consistent with the wrong answer, not inconsistent with it).</w:t>
      </w:r>
    </w:p>
    <w:p>
      <w:pPr>
        <w:spacing w:line="360" w:after="200"/>
      </w:pPr>
      <w:r>
        <w:rPr>
          <w:rFonts w:ascii="Times New Roman" w:cs="Times New Roman" w:eastAsia="Times New Roman" w:hAnsi="Times New Roman"/>
          <w:b/>
          <w:bCs/>
          <w:sz w:val="24"/>
          <w:szCs w:val="24"/>
        </w:rPr>
        <w:t xml:space="preserve">Open_Diagnose</w:t>
      </w:r>
      <w:r>
        <w:rPr>
          <w:rFonts w:ascii="Times New Roman" w:cs="Times New Roman" w:eastAsia="Times New Roman" w:hAnsi="Times New Roman"/>
          <w:sz w:val="24"/>
          <w:szCs w:val="24"/>
        </w:rPr>
        <w:t xml:space="preserve"> is an open-ended prompt assigned when a student answers incorrectly with high confidence. Its diagnostic goal is to distinguish three response types: misconception (a specific wrong mental model), knowledge gap (absence of knowledge), or selection error (correct understanding despite the wrong answer choice).</w:t>
      </w:r>
    </w:p>
    <w:p>
      <w:pPr>
        <w:spacing w:line="360" w:after="200"/>
      </w:pPr>
      <w:r>
        <w:rPr>
          <w:rFonts w:ascii="Times New Roman" w:cs="Times New Roman" w:eastAsia="Times New Roman" w:hAnsi="Times New Roman"/>
          <w:b/>
          <w:bCs/>
          <w:sz w:val="24"/>
          <w:szCs w:val="24"/>
        </w:rPr>
        <w:t xml:space="preserve">Case B -- Open_Confirm (correct + low confidence).</w:t>
      </w:r>
      <w:r>
        <w:rPr>
          <w:rFonts w:ascii="Times New Roman" w:cs="Times New Roman" w:eastAsia="Times New Roman" w:hAnsi="Times New Roman"/>
          <w:sz w:val="24"/>
          <w:szCs w:val="24"/>
        </w:rPr>
        <w:t xml:space="preserve"> The same student answers Q29 correctly -- "bond prices fall when interest rates rise" -- but reports low confidence. Because a correct answer paired with low confidence leaves residual uncertainty about whether the student genuinely understands the concept, the algorithm assigns an Open_Confirm variant. The prompt asks: </w:t>
      </w:r>
      <w:r>
        <w:rPr>
          <w:rFonts w:ascii="Times New Roman" w:cs="Times New Roman" w:eastAsia="Times New Roman" w:hAnsi="Times New Roman"/>
          <w:i/>
          <w:iCs/>
          <w:sz w:val="24"/>
          <w:szCs w:val="24"/>
        </w:rPr>
        <w:t xml:space="preserve">"You said bond prices typically fall when interest rates rise. In your own words, explain why this relationship holds."</w:t>
      </w:r>
      <w:r>
        <w:rPr>
          <w:rFonts w:ascii="Times New Roman" w:cs="Times New Roman" w:eastAsia="Times New Roman" w:hAnsi="Times New Roman"/>
          <w:sz w:val="24"/>
          <w:szCs w:val="24"/>
        </w:rPr>
        <w:t xml:space="preserve"> The student writes: </w:t>
      </w:r>
      <w:r>
        <w:rPr>
          <w:rFonts w:ascii="Times New Roman" w:cs="Times New Roman" w:eastAsia="Times New Roman" w:hAnsi="Times New Roman"/>
          <w:i/>
          <w:iCs/>
          <w:sz w:val="24"/>
          <w:szCs w:val="24"/>
        </w:rPr>
        <w:t xml:space="preserve">"I'm not really sure, I think I read it somewhere but I don't remember why."</w:t>
      </w:r>
      <w:r>
        <w:rPr>
          <w:rFonts w:ascii="Times New Roman" w:cs="Times New Roman" w:eastAsia="Times New Roman" w:hAnsi="Times New Roman"/>
          <w:sz w:val="24"/>
          <w:szCs w:val="24"/>
        </w:rPr>
        <w:t xml:space="preserve"> The AI scoring pipeline classifies this as a </w:t>
      </w:r>
      <w:r>
        <w:rPr>
          <w:rFonts w:ascii="Times New Roman" w:cs="Times New Roman" w:eastAsia="Times New Roman" w:hAnsi="Times New Roman"/>
          <w:b/>
          <w:bCs/>
          <w:sz w:val="24"/>
          <w:szCs w:val="24"/>
        </w:rPr>
        <w:t xml:space="preserve">likely guess</w:t>
      </w:r>
      <w:r>
        <w:rPr>
          <w:rFonts w:ascii="Times New Roman" w:cs="Times New Roman" w:eastAsia="Times New Roman" w:hAnsi="Times New Roman"/>
          <w:sz w:val="24"/>
          <w:szCs w:val="24"/>
        </w:rPr>
        <w:t xml:space="preserve"> -- the student cannot articulate the reasoning behind the correct answer. Without this follow-up, the anchor score of 100% on Q29 would overstate the student's understanding.</w:t>
      </w:r>
    </w:p>
    <w:p>
      <w:pPr>
        <w:spacing w:line="360" w:after="200"/>
      </w:pPr>
      <w:r>
        <w:rPr>
          <w:rFonts w:ascii="Times New Roman" w:cs="Times New Roman" w:eastAsia="Times New Roman" w:hAnsi="Times New Roman"/>
          <w:b/>
          <w:bCs/>
          <w:sz w:val="24"/>
          <w:szCs w:val="24"/>
        </w:rPr>
        <w:t xml:space="preserve">Open_Confirm</w:t>
      </w:r>
      <w:r>
        <w:rPr>
          <w:rFonts w:ascii="Times New Roman" w:cs="Times New Roman" w:eastAsia="Times New Roman" w:hAnsi="Times New Roman"/>
          <w:sz w:val="24"/>
          <w:szCs w:val="24"/>
        </w:rPr>
        <w:t xml:space="preserve"> is an open-ended prompt assigned when a student answers correctly with low confidence. Its diagnostic goal is to distinguish three response types: verified (genuine understanding), partial (incomplete reasoning), or likely guess (no substantive understanding despite the correct answer).</w:t>
      </w:r>
    </w:p>
    <w:p>
      <w:pPr>
        <w:spacing w:line="360" w:after="200"/>
      </w:pPr>
      <w:r>
        <w:rPr>
          <w:rFonts w:ascii="Times New Roman" w:cs="Times New Roman" w:eastAsia="Times New Roman" w:hAnsi="Times New Roman"/>
          <w:sz w:val="24"/>
          <w:szCs w:val="24"/>
        </w:rPr>
        <w:t xml:space="preserve">Together, these two cases illustrate the SDM-10's central contribution: standard MCQ scores classify responses as simply correct or incorrect, while the diagnostic module reveals whether incorrect answers reflect misconceptions, knowledge gaps, or format-induced errors, and whether correct answers reflect genuine understanding or fortunate guessing.</w:t>
      </w:r>
    </w:p>
    <w:p>
      <w:pPr>
        <w:pStyle w:val="Heading2"/>
        <w:spacing w:before="360" w:after="180"/>
      </w:pPr>
      <w:r>
        <w:rPr>
          <w:rFonts w:ascii="Times New Roman" w:cs="Times New Roman" w:eastAsia="Times New Roman" w:hAnsi="Times New Roman"/>
          <w:sz w:val="24"/>
          <w:szCs w:val="24"/>
        </w:rPr>
        <w:t xml:space="preserve">4.2 Adaptive Selection and Diagnostic Priority Score</w:t>
      </w:r>
    </w:p>
    <w:p>
      <w:pPr>
        <w:spacing w:line="360" w:after="200"/>
      </w:pPr>
      <w:r>
        <w:rPr>
          <w:rFonts w:ascii="Times New Roman" w:cs="Times New Roman" w:eastAsia="Times New Roman" w:hAnsi="Times New Roman"/>
          <w:sz w:val="24"/>
          <w:szCs w:val="24"/>
        </w:rPr>
        <w:t xml:space="preserve">The Supplemental Diagnostic Module (SDM-10) is an adaptive follow-up administered immediately after the 40-item anchor assessment. For each student, the module selects 10 items from a pre-written bank of 156 variants (six variants per anchor knowledge item) using an information deficit model that prioritizes subcategories where the anchor response left the most residual uncertainty about the student's understanding. The selection algorithm computes a diagnostic priority score for each of the 26 knowledge subcategories based on correctness, confidence, and item format (True/False vs. multiple choice). Higher scores indicate greater residual uncertainty; incorrect responses with high confidence receive the highest priority, signaling a likely misconception. The format-aware adjustment reflects differential guessing probability (50% for True/False vs. ~25% for MCQ). A three-phase selection procedure enforces domain minimums, fills remaining slots by descending priority, and applies an understanding-verification fallback when fewer than 10 subcategories are flagged. Open-ended items are capped at three per student to limit response burden. See Appendix A for the complete selection specification.</w:t>
      </w:r>
    </w:p>
    <w:p>
      <w:pPr>
        <w:pStyle w:val="Heading2"/>
        <w:spacing w:before="360" w:after="180"/>
      </w:pPr>
      <w:r>
        <w:rPr>
          <w:rFonts w:ascii="Times New Roman" w:cs="Times New Roman" w:eastAsia="Times New Roman" w:hAnsi="Times New Roman"/>
          <w:sz w:val="24"/>
          <w:szCs w:val="24"/>
        </w:rPr>
        <w:t xml:space="preserve">4.3 Variant Types and Three-Way Classification</w:t>
      </w:r>
    </w:p>
    <w:p>
      <w:pPr>
        <w:spacing w:line="360" w:after="200"/>
      </w:pPr>
      <w:r>
        <w:rPr>
          <w:rFonts w:ascii="Times New Roman" w:cs="Times New Roman" w:eastAsia="Times New Roman" w:hAnsi="Times New Roman"/>
          <w:sz w:val="24"/>
          <w:szCs w:val="24"/>
        </w:rPr>
        <w:t xml:space="preserve">Each SDM-10 item is drawn from one of six variant types determined by the student's anchor response pattern. Incorrect responses with high confidence trigger Open_Diagnose (open-ended); incorrect with mid confidence trigger Lower_MCQ; incorrect with low confidence trigger Lower_TF. Correct responses with low confidence trigger Open_Confirm (open-ended); correct with mid confidence trigger Same_MCQ; correct with high confidence trigger Higher_MCQ. The variant assignment rules are specified in Appendix A (Table A.3).</w:t>
      </w:r>
    </w:p>
    <w:p>
      <w:pPr>
        <w:spacing w:line="360" w:after="200"/>
      </w:pPr>
      <w:r>
        <w:rPr>
          <w:rFonts w:ascii="Times New Roman" w:cs="Times New Roman" w:eastAsia="Times New Roman" w:hAnsi="Times New Roman"/>
          <w:sz w:val="24"/>
          <w:szCs w:val="24"/>
        </w:rPr>
        <w:t xml:space="preserve">Every open-ended response is classified into one of three categories:</w:t>
      </w:r>
    </w:p>
    <w:p>
      <w:pPr>
        <w:pStyle w:val="ListParagraph"/>
        <w:numPr>
          <w:ilvl w:val="0"/>
          <w:numId w:val="3"/>
        </w:numPr>
        <w:spacing w:line="360" w:after="100"/>
      </w:pPr>
      <w:r>
        <w:rPr>
          <w:rFonts w:ascii="Times New Roman" w:cs="Times New Roman" w:eastAsia="Times New Roman" w:hAnsi="Times New Roman"/>
          <w:b/>
          <w:bCs/>
          <w:sz w:val="24"/>
          <w:szCs w:val="24"/>
        </w:rPr>
        <w:t xml:space="preserve">Misconception</w:t>
      </w:r>
      <w:r>
        <w:rPr>
          <w:rFonts w:ascii="Times New Roman" w:cs="Times New Roman" w:eastAsia="Times New Roman" w:hAnsi="Times New Roman"/>
          <w:sz w:val="24"/>
          <w:szCs w:val="24"/>
        </w:rPr>
        <w:t xml:space="preserve">: The student holds a specific wrong mental model (e.g., believing lower inflation means falling prices, or that insurance exists primarily for routine care). Layer 1 and Layer 2 taxonomy codes are assigned.</w:t>
      </w:r>
    </w:p>
    <w:p>
      <w:pPr>
        <w:pStyle w:val="ListParagraph"/>
        <w:numPr>
          <w:ilvl w:val="0"/>
          <w:numId w:val="3"/>
        </w:numPr>
        <w:spacing w:line="360" w:after="100"/>
      </w:pPr>
      <w:r>
        <w:rPr>
          <w:rFonts w:ascii="Times New Roman" w:cs="Times New Roman" w:eastAsia="Times New Roman" w:hAnsi="Times New Roman"/>
          <w:b/>
          <w:bCs/>
          <w:sz w:val="24"/>
          <w:szCs w:val="24"/>
        </w:rPr>
        <w:t xml:space="preserve">Knowledge gap</w:t>
      </w:r>
      <w:r>
        <w:rPr>
          <w:rFonts w:ascii="Times New Roman" w:cs="Times New Roman" w:eastAsia="Times New Roman" w:hAnsi="Times New Roman"/>
          <w:sz w:val="24"/>
          <w:szCs w:val="24"/>
        </w:rPr>
        <w:t xml:space="preserve">: The student lacks knowledge -- blank responses, "I don't know," or inability to articulate reasoning about the topic.</w:t>
      </w:r>
    </w:p>
    <w:p>
      <w:pPr>
        <w:pStyle w:val="ListParagraph"/>
        <w:numPr>
          <w:ilvl w:val="0"/>
          <w:numId w:val="3"/>
        </w:numPr>
        <w:spacing w:line="360" w:after="100"/>
      </w:pPr>
      <w:r>
        <w:rPr>
          <w:rFonts w:ascii="Times New Roman" w:cs="Times New Roman" w:eastAsia="Times New Roman" w:hAnsi="Times New Roman"/>
          <w:b/>
          <w:bCs/>
          <w:sz w:val="24"/>
          <w:szCs w:val="24"/>
        </w:rPr>
        <w:t xml:space="preserve">Selection error</w:t>
      </w:r>
      <w:r>
        <w:rPr>
          <w:rFonts w:ascii="Times New Roman" w:cs="Times New Roman" w:eastAsia="Times New Roman" w:hAnsi="Times New Roman"/>
          <w:sz w:val="24"/>
          <w:szCs w:val="24"/>
        </w:rPr>
        <w:t xml:space="preserve">: The student demonstrates correct understanding in the explanation but selected the wrong anchor answer, typically due to misreading, misclick, or True/False reversal.</w:t>
      </w:r>
    </w:p>
    <w:p>
      <w:pPr>
        <w:spacing w:line="360" w:after="200"/>
      </w:pPr>
      <w:r>
        <w:rPr>
          <w:rFonts w:ascii="Times New Roman" w:cs="Times New Roman" w:eastAsia="Times New Roman" w:hAnsi="Times New Roman"/>
          <w:sz w:val="24"/>
          <w:szCs w:val="24"/>
        </w:rPr>
        <w:t xml:space="preserve">This three-way classification drives differentiated instructional follow-up: misconceptions require targeted correction of the specific wrong belief, knowledge gaps require instruction from foundational principles, and selection errors flag potential item ambiguity for revision rather than student remediation.</w:t>
      </w:r>
    </w:p>
    <w:p>
      <w:pPr>
        <w:spacing w:line="360" w:after="200"/>
      </w:pPr>
      <w:r>
        <w:rPr>
          <w:rFonts w:ascii="Times New Roman" w:cs="Times New Roman" w:eastAsia="Times New Roman" w:hAnsi="Times New Roman"/>
          <w:b/>
          <w:bCs/>
          <w:sz w:val="24"/>
          <w:szCs w:val="24"/>
        </w:rPr>
        <w:t xml:space="preserve">Misconception Taxonomy.</w:t>
      </w:r>
      <w:r>
        <w:rPr>
          <w:rFonts w:ascii="Times New Roman" w:cs="Times New Roman" w:eastAsia="Times New Roman" w:hAnsi="Times New Roman"/>
          <w:sz w:val="24"/>
          <w:szCs w:val="24"/>
        </w:rPr>
        <w:t xml:space="preserve"> A two-layer taxonomy structures the classification. Layer 1 contains 37 generalizable financial literacy misconception families organized into seven categories (Appendix C). Layer 2 contains item-specific tags derived from observed student response patterns. Layer 1 codes are designed to transfer across assessment contexts and student populations.</w:t>
      </w:r>
    </w:p>
    <w:p>
      <w:pPr>
        <w:pStyle w:val="Heading2"/>
        <w:spacing w:before="360" w:after="180"/>
      </w:pPr>
      <w:r>
        <w:rPr>
          <w:rFonts w:ascii="Times New Roman" w:cs="Times New Roman" w:eastAsia="Times New Roman" w:hAnsi="Times New Roman"/>
          <w:sz w:val="24"/>
          <w:szCs w:val="24"/>
        </w:rPr>
        <w:t xml:space="preserve">4.4 AI-Assisted Scoring Pipeline</w:t>
      </w:r>
    </w:p>
    <w:p>
      <w:pPr>
        <w:spacing w:line="360" w:after="200"/>
      </w:pPr>
      <w:r>
        <w:rPr>
          <w:rFonts w:ascii="Times New Roman" w:cs="Times New Roman" w:eastAsia="Times New Roman" w:hAnsi="Times New Roman"/>
          <w:sz w:val="24"/>
          <w:szCs w:val="24"/>
        </w:rPr>
        <w:t xml:space="preserve">Open-ended responses are scored using GPT-4.1 (OpenAI, accessed via OpenRouter). The model was selected through an 11-model concordance protocol evaluating schema compliance, error rate, classification nuance, throughput, and cost (Appendix D). Each response is processed with an item-specific prompt containing anchor question context, the student's answer and confidence, applicable misconception families, calibration examples, and a structured decision tree. The model returns a JSON classification including diagnosis type, taxonomy codes, credit score, confidence level, evidence quote, and reasoning summary. All item selection decisions are deterministic and rule-based; the language model is used only for open-ended response classification.</w:t>
      </w:r>
    </w:p>
    <w:p>
      <w:pPr>
        <w:pStyle w:val="Heading1"/>
        <w:pageBreakBefore/>
        <w:spacing w:before="480" w:after="240"/>
      </w:pPr>
      <w:r>
        <w:rPr>
          <w:rFonts w:ascii="Times New Roman" w:cs="Times New Roman" w:eastAsia="Times New Roman" w:hAnsi="Times New Roman"/>
          <w:sz w:val="24"/>
          <w:szCs w:val="24"/>
        </w:rPr>
        <w:t xml:space="preserve">5. Platform and Governance Design</w:t>
      </w:r>
    </w:p>
    <w:p>
      <w:pPr>
        <w:spacing w:line="360" w:after="200"/>
      </w:pPr>
      <w:r>
        <w:rPr>
          <w:rFonts w:ascii="Times New Roman" w:cs="Times New Roman" w:eastAsia="Times New Roman" w:hAnsi="Times New Roman"/>
          <w:sz w:val="24"/>
          <w:szCs w:val="24"/>
        </w:rPr>
        <w:t xml:space="preserve">The platform architecture (Next.js 14, PostgreSQL 15, PgBouncer) and student authentication protocol (one-way SHA-256 hashing with per-course pepper) are described in Appendix F.</w:t>
      </w:r>
    </w:p>
    <w:p>
      <w:pPr>
        <w:pStyle w:val="Heading2"/>
        <w:spacing w:before="360" w:after="180"/>
      </w:pPr>
      <w:r>
        <w:rPr>
          <w:rFonts w:ascii="Times New Roman" w:cs="Times New Roman" w:eastAsia="Times New Roman" w:hAnsi="Times New Roman"/>
          <w:sz w:val="24"/>
          <w:szCs w:val="24"/>
        </w:rPr>
        <w:t xml:space="preserve">5.1 Consent Mechanics</w:t>
      </w:r>
    </w:p>
    <w:p>
      <w:pPr>
        <w:spacing w:line="360" w:after="200"/>
      </w:pPr>
      <w:r>
        <w:rPr>
          <w:rFonts w:ascii="Times New Roman" w:cs="Times New Roman" w:eastAsia="Times New Roman" w:hAnsi="Times New Roman"/>
          <w:sz w:val="24"/>
          <w:szCs w:val="24"/>
        </w:rPr>
        <w:t xml:space="preserve">The platform implements a two-part consent flow before data collection:</w:t>
      </w:r>
    </w:p>
    <w:p>
      <w:pPr>
        <w:pStyle w:val="ListParagraph"/>
        <w:numPr>
          <w:ilvl w:val="0"/>
          <w:numId w:val="2"/>
        </w:numPr>
        <w:spacing w:line="360" w:after="100"/>
      </w:pPr>
      <w:r>
        <w:rPr>
          <w:rFonts w:ascii="Times New Roman" w:cs="Times New Roman" w:eastAsia="Times New Roman" w:hAnsi="Times New Roman"/>
          <w:b/>
          <w:bCs/>
          <w:sz w:val="24"/>
          <w:szCs w:val="24"/>
        </w:rPr>
        <w:t xml:space="preserve">Course requirement acknowledgment (mandatory).</w:t>
      </w:r>
      <w:r>
        <w:rPr>
          <w:rFonts w:ascii="Times New Roman" w:cs="Times New Roman" w:eastAsia="Times New Roman" w:hAnsi="Times New Roman"/>
          <w:sz w:val="24"/>
          <w:szCs w:val="24"/>
        </w:rPr>
        <w:t xml:space="preserve"> Students review and acknowledge that the assessment is a required course assignment and that their answers are not graded for correctness.</w:t>
      </w:r>
    </w:p>
    <w:p>
      <w:pPr>
        <w:pStyle w:val="ListParagraph"/>
        <w:numPr>
          <w:ilvl w:val="0"/>
          <w:numId w:val="2"/>
        </w:numPr>
        <w:spacing w:line="360" w:after="100"/>
      </w:pPr>
      <w:r>
        <w:rPr>
          <w:rFonts w:ascii="Times New Roman" w:cs="Times New Roman" w:eastAsia="Times New Roman" w:hAnsi="Times New Roman"/>
          <w:b/>
          <w:bCs/>
          <w:sz w:val="24"/>
          <w:szCs w:val="24"/>
        </w:rPr>
        <w:t xml:space="preserve">Research consent (voluntary).</w:t>
      </w:r>
      <w:r>
        <w:rPr>
          <w:rFonts w:ascii="Times New Roman" w:cs="Times New Roman" w:eastAsia="Times New Roman" w:hAnsi="Times New Roman"/>
          <w:sz w:val="24"/>
          <w:szCs w:val="24"/>
        </w:rPr>
        <w:t xml:space="preserve"> Students are presented with a separate research consent screen asking whether their de-identified responses may be used for research evaluating course learning outcomes. The screen explicitly states that declining has no impact on grades, course standing, or access to feedback. The consent decision, timestamp, and version identifier are recorded. Students may withdraw research consent at any time by contacting the course instructor; withdrawn data are excluded from subsequent analyses.</w:t>
      </w:r>
    </w:p>
    <w:p>
      <w:pPr>
        <w:spacing w:line="360" w:after="200"/>
      </w:pPr>
      <w:r>
        <w:rPr>
          <w:rFonts w:ascii="Times New Roman" w:cs="Times New Roman" w:eastAsia="Times New Roman" w:hAnsi="Times New Roman"/>
          <w:sz w:val="24"/>
          <w:szCs w:val="24"/>
        </w:rPr>
        <w:t xml:space="preserve">The consent flow structurally separates the course requirement from the research opt-in: a student can complete the assessment (fulfilling the course obligation) without consenting to research use. This separation is the primary safeguard of voluntariness. Before the consent flow, students view a short orientation video explaining the purpose, structure, and non-graded nature of the assessment (see Appendix E). A privacy notice displayed during onboarding describes the hashing process, data separation, and the student's right to withdraw.</w:t>
      </w:r>
    </w:p>
    <w:p>
      <w:pPr>
        <w:spacing w:line="360" w:after="200"/>
      </w:pPr>
      <w:r>
        <w:rPr>
          <w:rFonts w:ascii="Times New Roman" w:cs="Times New Roman" w:eastAsia="Times New Roman" w:hAnsi="Times New Roman"/>
          <w:b/>
          <w:bCs/>
          <w:sz w:val="24"/>
          <w:szCs w:val="24"/>
        </w:rPr>
        <w:t xml:space="preserve">Consent accounting.</w:t>
      </w:r>
      <w:r>
        <w:rPr>
          <w:rFonts w:ascii="Times New Roman" w:cs="Times New Roman" w:eastAsia="Times New Roman" w:hAnsi="Times New Roman"/>
          <w:sz w:val="24"/>
          <w:szCs w:val="24"/>
        </w:rPr>
        <w:t xml:space="preserve"> Of the 431 students who submitted completed assessments, 354 (82.1%) provided affirmative research consent. Zero students explicitly declined. The remaining 77 (17.9%) have a NULL consent status because they completed the assessment during the first days of the assessment window before the research consent screen was deployed in the platform. Following standard research ethics practice, students with NULL consent are treated as non-consented for all research analyses -- absence of affirmative consent is treated as non-consent, regardless of the reason.</w:t>
      </w:r>
    </w:p>
    <w:p>
      <w:pPr>
        <w:spacing w:line="360" w:after="200"/>
      </w:pPr>
      <w:r>
        <w:rPr>
          <w:rFonts w:ascii="Times New Roman" w:cs="Times New Roman" w:eastAsia="Times New Roman" w:hAnsi="Times New Roman"/>
          <w:b/>
          <w:bCs/>
          <w:sz w:val="24"/>
          <w:szCs w:val="24"/>
        </w:rPr>
        <w:t xml:space="preserve">Representativeness check.</w:t>
      </w:r>
      <w:r>
        <w:rPr>
          <w:rFonts w:ascii="Times New Roman" w:cs="Times New Roman" w:eastAsia="Times New Roman" w:hAnsi="Times New Roman"/>
          <w:sz w:val="24"/>
          <w:szCs w:val="24"/>
        </w:rPr>
        <w:t xml:space="preserve"> The consented subsample appears similar to the full cohort on observed score distributions, as summarized below. This comparison is descriptive; no formal equivalence test was conducted.</w:t>
      </w:r>
    </w:p>
    <w:p>
      <w:pPr>
        <w:spacing w:line="360" w:after="200"/>
      </w:pPr>
      <w:r>
        <w:rPr>
          <w:rFonts w:ascii="Times New Roman" w:cs="Times New Roman" w:eastAsia="Times New Roman" w:hAnsi="Times New Roman"/>
          <w:b/>
          <w:bCs/>
          <w:sz w:val="24"/>
          <w:szCs w:val="24"/>
        </w:rPr>
        <w:t xml:space="preserve">Table 5.1: Consented vs. Full Cohort Comparison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Metric</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Consented (n = 354)</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Full Cohort (N = 431)</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Difference</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Anchor mean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0.4 pp</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Anchor SD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0.0 pp</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Median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69.2%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69.2%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0.0 pp</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Below 50% band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12.7%</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0.4 pp</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80%+ band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24.9%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25.6%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0.7 pp</w:t>
            </w:r>
          </w:p>
        </w:tc>
      </w:tr>
    </w:tbl>
    <w:p>
      <w:pPr>
        <w:spacing w:after="200"/>
      </w:pPr>
    </w:p>
    <w:p>
      <w:pPr>
        <w:spacing w:line="360" w:after="200"/>
      </w:pPr>
      <w:r>
        <w:rPr>
          <w:rFonts w:ascii="Times New Roman" w:cs="Times New Roman" w:eastAsia="Times New Roman" w:hAnsi="Times New Roman"/>
          <w:sz w:val="24"/>
          <w:szCs w:val="24"/>
        </w:rPr>
        <w:t xml:space="preserve">The small differences (all &lt; 1 percentage point) suggest that the NULL-consent cohort reflects deployment timing rather than a self-selected subgroup, though this cannot be confirmed without additional non-observable covariates.</w:t>
      </w:r>
    </w:p>
    <w:p>
      <w:pPr>
        <w:spacing w:line="360" w:after="200"/>
      </w:pPr>
      <w:r>
        <w:rPr>
          <w:rFonts w:ascii="Times New Roman" w:cs="Times New Roman" w:eastAsia="Times New Roman" w:hAnsi="Times New Roman"/>
          <w:b/>
          <w:bCs/>
          <w:sz w:val="24"/>
          <w:szCs w:val="24"/>
        </w:rPr>
        <w:t xml:space="preserve">Default selection.</w:t>
      </w:r>
      <w:r>
        <w:rPr>
          <w:rFonts w:ascii="Times New Roman" w:cs="Times New Roman" w:eastAsia="Times New Roman" w:hAnsi="Times New Roman"/>
          <w:sz w:val="24"/>
          <w:szCs w:val="24"/>
        </w:rPr>
        <w:t xml:space="preserve"> The consent screen presented "Yes, I consent" as the default selection. While the 0% explicit decline rate is consistent with students having no objection to de-identified research use, the default-yes design may have inflated the consent rate through status quo bias. Paper 2 will mitigate this by implementing a forced active choice (no default selection) in the post-assessment consent screen.</w:t>
      </w:r>
    </w:p>
    <w:p>
      <w:pPr>
        <w:spacing w:line="360" w:after="200"/>
      </w:pPr>
      <w:r>
        <w:rPr>
          <w:rFonts w:ascii="Times New Roman" w:cs="Times New Roman" w:eastAsia="Times New Roman" w:hAnsi="Times New Roman"/>
          <w:sz w:val="24"/>
          <w:szCs w:val="24"/>
        </w:rPr>
        <w:t xml:space="preserve">All analyses in this paper use only the research-consented subset (n = 354). For instructional purposes, all 431 students receive SDM-10 diagnostics and dashboard feedback regardless of consent status; consent governs only research publication, not educational use.</w:t>
      </w:r>
    </w:p>
    <w:p>
      <w:pPr>
        <w:pStyle w:val="Heading1"/>
        <w:pageBreakBefore/>
        <w:spacing w:before="480" w:after="240"/>
      </w:pPr>
      <w:r>
        <w:rPr>
          <w:rFonts w:ascii="Times New Roman" w:cs="Times New Roman" w:eastAsia="Times New Roman" w:hAnsi="Times New Roman"/>
          <w:sz w:val="24"/>
          <w:szCs w:val="24"/>
        </w:rPr>
        <w:t xml:space="preserve">6. Pilot Operations and Descriptive Statistics</w:t>
      </w:r>
    </w:p>
    <w:p>
      <w:pPr>
        <w:spacing w:line="360" w:after="200"/>
      </w:pPr>
      <w:r>
        <w:rPr>
          <w:rFonts w:ascii="Times New Roman" w:cs="Times New Roman" w:eastAsia="Times New Roman" w:hAnsi="Times New Roman"/>
          <w:sz w:val="24"/>
          <w:szCs w:val="24"/>
        </w:rPr>
        <w:t xml:space="preserve">Below we report operational statistics from the pre-course assessment window (February 2--9, 2026) as quality assurance context for interpreting the SDM-10 diagnostic findings. These are descriptive operational summaries of assessment administration, not inferential research results. No subgroup comparisons, hypothesis tests, or claims about population parameters are made in this section. Subgroup analyses are deferred to Paper 2, contingent on institutional review board approval for human-subjects research.</w:t>
      </w:r>
    </w:p>
    <w:p>
      <w:pPr>
        <w:pStyle w:val="Heading2"/>
        <w:spacing w:before="360" w:after="180"/>
      </w:pPr>
      <w:r>
        <w:rPr>
          <w:rFonts w:ascii="Times New Roman" w:cs="Times New Roman" w:eastAsia="Times New Roman" w:hAnsi="Times New Roman"/>
          <w:sz w:val="24"/>
          <w:szCs w:val="24"/>
        </w:rPr>
        <w:t xml:space="preserve">6.1 Participation and Completion</w:t>
      </w:r>
    </w:p>
    <w:p>
      <w:pPr>
        <w:spacing w:line="360" w:after="200"/>
      </w:pPr>
      <w:r>
        <w:rPr>
          <w:rFonts w:ascii="Times New Roman" w:cs="Times New Roman" w:eastAsia="Times New Roman" w:hAnsi="Times New Roman"/>
          <w:sz w:val="24"/>
          <w:szCs w:val="24"/>
        </w:rPr>
        <w:t xml:space="preserve">A total of 443 students onboarded onto the platform, of whom 431 submitted completed assessments, yielding a completion rate of 97.3%. Twelve students abandoned the assessment without submission; all abandoned sessions had been idle for more than 45 hours at the time of window closure. All 431 students who submitted the anchor assessment received SDM-10 items. Of these, 300 consented students (84.7%) received the full 10-item module; 54 received between five and nine items due to insufficient high-priority subcategories in their anchor profile (the algorithm could not fill all 10 slots when a student's anchor performance was uniformly strong or weak across subcategories).</w:t>
      </w:r>
    </w:p>
    <w:p>
      <w:pPr>
        <w:spacing w:line="360" w:after="200"/>
      </w:pPr>
      <w:r>
        <w:rPr>
          <w:rFonts w:ascii="Times New Roman" w:cs="Times New Roman" w:eastAsia="Times New Roman" w:hAnsi="Times New Roman"/>
          <w:b/>
          <w:bCs/>
          <w:sz w:val="24"/>
          <w:szCs w:val="24"/>
        </w:rPr>
        <w:t xml:space="preserve">Table 6.0: Counts and Inclusion Rules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Stage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Rule</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Enrolled (onboarded)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443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Created platform account with hashed ID</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Completed (submitted)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431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Submitted anchor + SDM-10 before window close</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Abandoned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Onboarded but did not submit; idle &gt; 45 hours</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Consented (research)</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354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Affirmative "Yes" on research consent screen</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Declined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Explicit "No" on research consent screen</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NULL consent</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77</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Completed before consent screen deployed; treated as non-consented</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Withdrawn</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 withdrawals received during the study period</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2"/>
                <w:szCs w:val="22"/>
              </w:rPr>
              <w:t xml:space="preserve">Research-consented analysis set</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2"/>
                <w:szCs w:val="22"/>
              </w:rPr>
              <w:t xml:space="preserve">354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2"/>
                <w:szCs w:val="22"/>
              </w:rPr>
              <w:t xml:space="preserve">Inclusion rule: research_consent = true AND submitted_at IS NOT NULL</w:t>
            </w:r>
          </w:p>
        </w:tc>
      </w:tr>
    </w:tbl>
    <w:p>
      <w:pPr>
        <w:spacing w:after="200"/>
      </w:pPr>
    </w:p>
    <w:p>
      <w:pPr>
        <w:spacing w:line="360" w:after="200"/>
      </w:pPr>
      <w:r>
        <w:rPr>
          <w:rFonts w:ascii="Times New Roman" w:cs="Times New Roman" w:eastAsia="Times New Roman" w:hAnsi="Times New Roman"/>
          <w:sz w:val="24"/>
          <w:szCs w:val="24"/>
        </w:rPr>
        <w:t xml:space="preserve">All tables and statistics in Sections 4, 6, and 7 use the research-consented set (n = 354) unless explicitly noted otherwise. Instructional feedback is delivered to all 431 submitters regardless of consent status.</w:t>
      </w:r>
    </w:p>
    <w:p>
      <w:pPr>
        <w:spacing w:before="360" w:after="12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57525"/>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3. Daily Enrollment and Completion (Feb 2--9, 2026). Full completed cohort: 433 enrolled, 421 completed (97.2%).</w:t>
      </w:r>
    </w:p>
    <w:p>
      <w:pPr>
        <w:pStyle w:val="Heading2"/>
        <w:spacing w:before="360" w:after="180"/>
      </w:pPr>
      <w:r>
        <w:rPr>
          <w:rFonts w:ascii="Times New Roman" w:cs="Times New Roman" w:eastAsia="Times New Roman" w:hAnsi="Times New Roman"/>
          <w:sz w:val="24"/>
          <w:szCs w:val="24"/>
        </w:rPr>
        <w:t xml:space="preserve">6.2 Sample Demographics</w:t>
      </w:r>
    </w:p>
    <w:p>
      <w:pPr>
        <w:spacing w:line="360" w:after="200"/>
      </w:pPr>
      <w:r>
        <w:rPr>
          <w:rFonts w:ascii="Times New Roman" w:cs="Times New Roman" w:eastAsia="Times New Roman" w:hAnsi="Times New Roman"/>
          <w:sz w:val="24"/>
          <w:szCs w:val="24"/>
        </w:rPr>
        <w:t xml:space="preserve">The following demographic summary describes the composition of the consented sample for operational context only. No subgroup performance comparisons are reported in Paper 1.</w:t>
      </w:r>
    </w:p>
    <w:p>
      <w:pPr>
        <w:spacing w:line="360" w:after="200"/>
      </w:pPr>
      <w:r>
        <w:rPr>
          <w:rFonts w:ascii="Times New Roman" w:cs="Times New Roman" w:eastAsia="Times New Roman" w:hAnsi="Times New Roman"/>
          <w:sz w:val="24"/>
          <w:szCs w:val="24"/>
        </w:rPr>
        <w:t xml:space="preserve">To protect student privacy, demographic cells with fewer than 10 respondents are collapsed into an "Other/Prefer not to say" grouping or reported as suppressed (&lt; 10), to reduce re-identification risk.</w:t>
      </w:r>
    </w:p>
    <w:p>
      <w:pPr>
        <w:spacing w:line="360" w:after="200"/>
      </w:pPr>
      <w:r>
        <w:rPr>
          <w:rFonts w:ascii="Times New Roman" w:cs="Times New Roman" w:eastAsia="Times New Roman" w:hAnsi="Times New Roman"/>
          <w:b/>
          <w:bCs/>
          <w:sz w:val="24"/>
          <w:szCs w:val="24"/>
        </w:rPr>
        <w:t xml:space="preserve">Table 6.1: Sample Demographics (Consented, n = 354)</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Characteristic</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Female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213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60.2%</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Male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139</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39.3%</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Other/Prefer not to say</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&lt; 10 (suppressed)</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English first language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278</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78.5%</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Spanish first language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12.4%</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Other languages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9.0%</w:t>
            </w:r>
          </w:p>
        </w:tc>
      </w:tr>
    </w:tbl>
    <w:p>
      <w:pPr>
        <w:spacing w:after="200"/>
      </w:pPr>
    </w:p>
    <w:p>
      <w:pPr>
        <w:spacing w:before="360" w:after="12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7. Sample Demographics (N = 421, full completed cohort). Panels show gender, age range, race/ethnicity, work experience, and first-generation status.</w:t>
      </w:r>
    </w:p>
    <w:p>
      <w:pPr>
        <w:spacing w:before="360" w:after="120"/>
        <w:jc w:val="center"/>
      </w:pPr>
      <w:r>
        <w:drawing>
          <wp:inline distT="0" distB="0" distL="0" distR="0">
            <wp:extent cx="5524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8605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8. Financial Background and Self-Assessment (N = 421, full completed cohort). Panels show frequency of financial stress and self-rated financial knowledge.</w:t>
      </w:r>
    </w:p>
    <w:p>
      <w:pPr>
        <w:pStyle w:val="Heading1"/>
        <w:pageBreakBefore/>
        <w:spacing w:before="480" w:after="240"/>
      </w:pPr>
      <w:r>
        <w:rPr>
          <w:rFonts w:ascii="Times New Roman" w:cs="Times New Roman" w:eastAsia="Times New Roman" w:hAnsi="Times New Roman"/>
          <w:sz w:val="24"/>
          <w:szCs w:val="24"/>
        </w:rPr>
        <w:t xml:space="preserve">7. Results</w:t>
      </w:r>
    </w:p>
    <w:p>
      <w:pPr>
        <w:spacing w:line="360" w:after="200"/>
      </w:pPr>
      <w:r>
        <w:rPr>
          <w:rFonts w:ascii="Times New Roman" w:cs="Times New Roman" w:eastAsia="Times New Roman" w:hAnsi="Times New Roman"/>
          <w:b/>
          <w:bCs/>
          <w:sz w:val="24"/>
          <w:szCs w:val="24"/>
        </w:rPr>
        <w:t xml:space="preserve">Important caveat:</w:t>
      </w:r>
      <w:r>
        <w:rPr>
          <w:rFonts w:ascii="Times New Roman" w:cs="Times New Roman" w:eastAsia="Times New Roman" w:hAnsi="Times New Roman"/>
          <w:sz w:val="24"/>
          <w:szCs w:val="24"/>
        </w:rPr>
        <w:t xml:space="preserve"> The SDM-10 open-ended items are administered only to students whose anchor responses triggered high-priority subcategories (incorrect + high confidence for diagnose, or correct + low confidence for confirm). The open-ended sample therefore reflects the tails of the confidence-accuracy distribution, not a random cross-section of the class. Misconception prevalence estimates from the SDM-10 should not be generalized to the full cohort without accounting for this conditioning.</w:t>
      </w:r>
    </w:p>
    <w:p>
      <w:pPr>
        <w:spacing w:line="360" w:after="200"/>
      </w:pPr>
      <w:r>
        <w:rPr>
          <w:rFonts w:ascii="Times New Roman" w:cs="Times New Roman" w:eastAsia="Times New Roman" w:hAnsi="Times New Roman"/>
          <w:sz w:val="24"/>
          <w:szCs w:val="24"/>
        </w:rPr>
        <w:t xml:space="preserve">All analyses in this section are restricted to the research-consented subset (n = 354 of 431 submitted students, 82.1%).</w:t>
      </w:r>
    </w:p>
    <w:p>
      <w:pPr>
        <w:pStyle w:val="Heading2"/>
        <w:spacing w:before="360" w:after="180"/>
      </w:pPr>
      <w:r>
        <w:rPr>
          <w:rFonts w:ascii="Times New Roman" w:cs="Times New Roman" w:eastAsia="Times New Roman" w:hAnsi="Times New Roman"/>
          <w:sz w:val="24"/>
          <w:szCs w:val="24"/>
        </w:rPr>
        <w:t xml:space="preserve">7.1 Anchor Score Distribution and Domain Breakdown</w:t>
      </w:r>
    </w:p>
    <w:p>
      <w:pPr>
        <w:spacing w:line="360" w:after="200"/>
      </w:pPr>
      <w:r>
        <w:rPr>
          <w:rFonts w:ascii="Times New Roman" w:cs="Times New Roman" w:eastAsia="Times New Roman" w:hAnsi="Times New Roman"/>
          <w:sz w:val="24"/>
          <w:szCs w:val="24"/>
        </w:rPr>
        <w:t xml:space="preserve">The following score summaries provide operational context for interpreting SDM-10 diagnostic patterns. They are not inferential claims about population-level financial literacy.</w:t>
      </w:r>
    </w:p>
    <w:p>
      <w:pPr>
        <w:spacing w:line="360" w:after="200"/>
      </w:pPr>
      <w:r>
        <w:rPr>
          <w:rFonts w:ascii="Times New Roman" w:cs="Times New Roman" w:eastAsia="Times New Roman" w:hAnsi="Times New Roman"/>
          <w:sz w:val="24"/>
          <w:szCs w:val="24"/>
        </w:rPr>
        <w:t xml:space="preserve">For the consented subset (n = 354), the mean anchor score was 67.0% (SD = 17.9%, median = 69.2%) across 26 scored knowledge items. Domain-level means were:</w:t>
      </w:r>
    </w:p>
    <w:p>
      <w:pPr>
        <w:spacing w:line="360" w:after="200"/>
      </w:pPr>
      <w:r>
        <w:rPr>
          <w:rFonts w:ascii="Times New Roman" w:cs="Times New Roman" w:eastAsia="Times New Roman" w:hAnsi="Times New Roman"/>
          <w:b/>
          <w:bCs/>
          <w:sz w:val="24"/>
          <w:szCs w:val="24"/>
        </w:rPr>
        <w:t xml:space="preserve">Table 7.1: Mean Accuracy by Domain (Consented, n = 354)</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Domain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Items</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Mean % Correct</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72.4%</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69.2%</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63.4%</w:t>
            </w:r>
          </w:p>
        </w:tc>
      </w:tr>
    </w:tbl>
    <w:p>
      <w:pPr>
        <w:spacing w:after="200"/>
      </w:pPr>
    </w:p>
    <w:p>
      <w:pPr>
        <w:spacing w:line="360" w:after="200"/>
      </w:pPr>
      <w:r>
        <w:rPr>
          <w:rFonts w:ascii="Times New Roman" w:cs="Times New Roman" w:eastAsia="Times New Roman" w:hAnsi="Times New Roman"/>
          <w:sz w:val="24"/>
          <w:szCs w:val="24"/>
        </w:rPr>
        <w:t xml:space="preserve">Risk and Return Knowledge was the weakest domain, driven primarily by low performance on Q38 (Inflation Protection) and Q6 (Inflation Lowering). However, this domain also has the highest selection error count (56), suggesting some of this weakness is artifactual.</w:t>
      </w:r>
    </w:p>
    <w:p>
      <w:pPr>
        <w:spacing w:before="360" w:after="120"/>
        <w:jc w:val="center"/>
      </w:pPr>
      <w:r>
        <w:drawing>
          <wp:inline distT="0" distB="0" distL="0" distR="0">
            <wp:extent cx="5524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26720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2. Domain-Level Performance Comparison (full completed cohort). Error bars show ±1 SD. Dashed line indicates overall mean (66.6%).</w:t>
      </w:r>
    </w:p>
    <w:p>
      <w:pPr>
        <w:spacing w:line="360" w:after="200"/>
      </w:pPr>
      <w:r>
        <w:rPr>
          <w:rFonts w:ascii="Times New Roman" w:cs="Times New Roman" w:eastAsia="Times New Roman" w:hAnsi="Times New Roman"/>
          <w:b/>
          <w:bCs/>
          <w:sz w:val="24"/>
          <w:szCs w:val="24"/>
        </w:rPr>
        <w:t xml:space="preserve">Table 7.2: Score Distribution by Performance Band (Consented, n = 354)</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Band</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 of Sample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Status</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Below 50%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12.7%</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At risk</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50--69%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45.5%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Developing</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70--79%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Proficient</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80% and above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24.9%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Strong</w:t>
            </w:r>
          </w:p>
        </w:tc>
      </w:tr>
    </w:tbl>
    <w:p>
      <w:pPr>
        <w:spacing w:after="200"/>
      </w:pPr>
    </w:p>
    <w:p>
      <w:pPr>
        <w:spacing w:line="360" w:after="200"/>
      </w:pPr>
      <w:r>
        <w:rPr>
          <w:rFonts w:ascii="Times New Roman" w:cs="Times New Roman" w:eastAsia="Times New Roman" w:hAnsi="Times New Roman"/>
          <w:sz w:val="24"/>
          <w:szCs w:val="24"/>
        </w:rPr>
        <w:t xml:space="preserve">The largest segment (45.5%) falls in the 50--69% band. Combined with the 12.7% below 50%, over half the consented sample has partial or incomplete financial literacy knowledge.</w:t>
      </w:r>
    </w:p>
    <w:p>
      <w:pPr>
        <w:spacing w:before="360" w:after="120"/>
        <w:jc w:val="center"/>
      </w:pPr>
      <w:r>
        <w:drawing>
          <wp:inline distT="0" distB="0" distL="0" distR="0">
            <wp:extent cx="5524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79095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1. Pre-Course Overall Score Distribution (N = 421, full completed cohort). Dashed line shows mean (66.6%). The modal bin (60--69%) contains 28.5% of students.</w:t>
      </w:r>
    </w:p>
    <w:p>
      <w:pPr>
        <w:spacing w:before="360" w:after="120"/>
        <w:jc w:val="center"/>
      </w:pPr>
      <w:r>
        <w:drawing>
          <wp:inline distT="0" distB="0" distL="0" distR="0">
            <wp:extent cx="5524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048125"/>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6. Item Difficulty Ranking by Subdomain (N = 421, full completed cohort). Items colored by difficulty tier: green (strong, &gt;=70%), yellow (moderate, 50--69%), red (weak, &lt;50%).</w:t>
      </w:r>
    </w:p>
    <w:p>
      <w:pPr>
        <w:spacing w:line="360" w:after="200"/>
      </w:pPr>
      <w:r>
        <w:rPr>
          <w:rFonts w:ascii="Times New Roman" w:cs="Times New Roman" w:eastAsia="Times New Roman" w:hAnsi="Times New Roman"/>
          <w:sz w:val="24"/>
          <w:szCs w:val="24"/>
        </w:rPr>
        <w:t xml:space="preserve">The consented SDM-10 mean score (64.4% across 3,340 responses) was lower than the anchor mean (67.0%), confirming that the adaptive selection algorithm appropriately targeted subcategories where students demonstrated weaker performance. These scores provide context for interpreting the SDM-10 diagnostic findings but are not the primary analytical contribution of this paper.</w:t>
      </w:r>
    </w:p>
    <w:p>
      <w:pPr>
        <w:spacing w:line="360" w:after="200"/>
      </w:pPr>
      <w:r>
        <w:rPr>
          <w:rFonts w:ascii="Times New Roman" w:cs="Times New Roman" w:eastAsia="Times New Roman" w:hAnsi="Times New Roman"/>
          <w:sz w:val="24"/>
          <w:szCs w:val="24"/>
        </w:rPr>
        <w:t xml:space="preserve">The median assessment duration was 18.1 minutes (consented subset). The mean duration (217.2 minutes) was heavily skewed by a small number of sessions left open without completion, including sessions that remained idle for multiple days. The median is the more representative measure of active assessment time.</w:t>
      </w:r>
    </w:p>
    <w:p>
      <w:pPr>
        <w:spacing w:before="360" w:after="120"/>
        <w:jc w:val="center"/>
      </w:pPr>
      <w:r>
        <w:drawing>
          <wp:inline distT="0" distB="0" distL="0" distR="0">
            <wp:extent cx="5524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09925"/>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4. Assessment Submission Time Distribution (N = 421, full completed cohort). Peak submissions occurred between 2--10 PM CST (Chicago time).</w:t>
      </w:r>
    </w:p>
    <w:p>
      <w:pPr>
        <w:pStyle w:val="Heading2"/>
        <w:spacing w:before="360" w:after="180"/>
      </w:pPr>
      <w:r>
        <w:rPr>
          <w:rFonts w:ascii="Times New Roman" w:cs="Times New Roman" w:eastAsia="Times New Roman" w:hAnsi="Times New Roman"/>
          <w:sz w:val="24"/>
          <w:szCs w:val="24"/>
        </w:rPr>
        <w:t xml:space="preserve">7.2 Confidence Calibration Patterns</w:t>
      </w:r>
    </w:p>
    <w:p>
      <w:pPr>
        <w:spacing w:before="360" w:after="120"/>
        <w:jc w:val="center"/>
      </w:pPr>
      <w:r>
        <w:drawing>
          <wp:inline distT="0" distB="0" distL="0" distR="0">
            <wp:extent cx="5524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438400"/>
                    </a:xfrm>
                    <a:prstGeom prst="rect">
                      <a:avLst/>
                    </a:prstGeom>
                  </pic:spPr>
                </pic:pic>
              </a:graphicData>
            </a:graphic>
          </wp:inline>
        </w:drawing>
      </w:r>
    </w:p>
    <w:p>
      <w:pPr>
        <w:spacing w:after="360"/>
        <w:jc w:val="center"/>
      </w:pPr>
      <w:r>
        <w:rPr>
          <w:rFonts w:ascii="Times New Roman" w:cs="Times New Roman" w:eastAsia="Times New Roman" w:hAnsi="Times New Roman"/>
          <w:i/>
          <w:iCs/>
          <w:sz w:val="22"/>
          <w:szCs w:val="22"/>
        </w:rPr>
        <w:t xml:space="preserve">Figure 5. Confidence Calibration Categories. Distribution of students across calibration groups based on average confidence-accuracy alignment (full completed cohort).</w:t>
      </w:r>
    </w:p>
    <w:p>
      <w:pPr>
        <w:spacing w:line="360" w:after="200"/>
      </w:pPr>
      <w:r>
        <w:rPr>
          <w:rFonts w:ascii="Times New Roman" w:cs="Times New Roman" w:eastAsia="Times New Roman" w:hAnsi="Times New Roman"/>
          <w:sz w:val="24"/>
          <w:szCs w:val="24"/>
        </w:rPr>
        <w:t xml:space="preserve">Figure 5 presents the distribution of students across confidence calibration categories based on the alignment between average confidence ratings and anchor accuracy. Calibration patterns inform the SDM-10's adaptive logic: students with high confidence and low accuracy (overconfident) are more likely to trigger Open_Diagnose items, while students with low confidence and high accuracy (underconfident) are more likely to trigger Open_Confirm items. The distribution shows that the majority of students fall within calibrated or mildly overconfident ranges, with a smaller tail of strongly overconfident students whose high-confidence errors drive the diagnose subsample analyzed in Sections 7.3--7.6.</w:t>
      </w:r>
    </w:p>
    <w:p>
      <w:pPr>
        <w:pStyle w:val="Heading2"/>
        <w:spacing w:before="360" w:after="180"/>
      </w:pPr>
      <w:r>
        <w:rPr>
          <w:rFonts w:ascii="Times New Roman" w:cs="Times New Roman" w:eastAsia="Times New Roman" w:hAnsi="Times New Roman"/>
          <w:sz w:val="24"/>
          <w:szCs w:val="24"/>
        </w:rPr>
        <w:t xml:space="preserve">7.3 Diagnostic Classification: Diagnose Composition</w:t>
      </w:r>
    </w:p>
    <w:p>
      <w:pPr>
        <w:spacing w:line="360" w:after="200"/>
      </w:pPr>
      <w:r>
        <w:rPr>
          <w:rFonts w:ascii="Times New Roman" w:cs="Times New Roman" w:eastAsia="Times New Roman" w:hAnsi="Times New Roman"/>
          <w:b/>
          <w:bCs/>
          <w:sz w:val="24"/>
          <w:szCs w:val="24"/>
        </w:rPr>
        <w:t xml:space="preserve">SDM conditioning caveat.</w:t>
      </w:r>
      <w:r>
        <w:rPr>
          <w:rFonts w:ascii="Times New Roman" w:cs="Times New Roman" w:eastAsia="Times New Roman" w:hAnsi="Times New Roman"/>
          <w:sz w:val="24"/>
          <w:szCs w:val="24"/>
        </w:rPr>
        <w:t xml:space="preserve"> The diagnose results below reflect students who answered incorrectly with high confidence (the SDM-10 diagnose trigger condition). These rates characterize the composition of high-confidence errors, not class-wide misconception prevalence.</w:t>
      </w:r>
    </w:p>
    <w:p>
      <w:pPr>
        <w:spacing w:line="360" w:after="200"/>
      </w:pPr>
      <w:r>
        <w:rPr>
          <w:rFonts w:ascii="Times New Roman" w:cs="Times New Roman" w:eastAsia="Times New Roman" w:hAnsi="Times New Roman"/>
          <w:sz w:val="24"/>
          <w:szCs w:val="24"/>
        </w:rPr>
        <w:t xml:space="preserve">Of the 354 consented students who submitted the assessment, 306 (86.4%) received at least one open-ended item, generating 781 open-ended responses. The AI scoring pipeline processed 778 of these responses with zero errors.</w:t>
      </w:r>
    </w:p>
    <w:p>
      <w:pPr>
        <w:spacing w:line="360" w:after="200"/>
      </w:pPr>
      <w:r>
        <w:rPr>
          <w:rFonts w:ascii="Times New Roman" w:cs="Times New Roman" w:eastAsia="Times New Roman" w:hAnsi="Times New Roman"/>
          <w:b/>
          <w:bCs/>
          <w:sz w:val="24"/>
          <w:szCs w:val="24"/>
        </w:rPr>
        <w:t xml:space="preserve">Table 7.3: SDM-10 Open-Ended Summary (Consented Sample)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Metric</w:t>
            </w:r>
          </w:p>
        </w:tc>
        <w:tc>
          <w:tcPr>
            <w:tcW w:type="dxa" w:w="468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Value</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Consented students completing SDM-10</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354</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Students receiving open-ended items</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306 (86.4%)</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Total open-ended responses</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781</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Responses scored by AI</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778</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Diagnose responses scored</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493</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Confirm responses scored</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285</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AI scoring model</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GPT-4.1 (OpenAI via OpenRouter)</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AI scoring error rate</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 / 778 (0%)</w:t>
            </w:r>
          </w:p>
        </w:tc>
      </w:tr>
    </w:tbl>
    <w:p>
      <w:pPr>
        <w:spacing w:after="200"/>
      </w:pPr>
    </w:p>
    <w:p>
      <w:pPr>
        <w:spacing w:line="360" w:after="200"/>
      </w:pPr>
      <w:r>
        <w:rPr>
          <w:rFonts w:ascii="Times New Roman" w:cs="Times New Roman" w:eastAsia="Times New Roman" w:hAnsi="Times New Roman"/>
          <w:b/>
          <w:bCs/>
          <w:sz w:val="24"/>
          <w:szCs w:val="24"/>
        </w:rPr>
        <w:t xml:space="preserve">Response Quality.</w:t>
      </w:r>
      <w:r>
        <w:rPr>
          <w:rFonts w:ascii="Times New Roman" w:cs="Times New Roman" w:eastAsia="Times New Roman" w:hAnsi="Times New Roman"/>
          <w:sz w:val="24"/>
          <w:szCs w:val="24"/>
        </w:rPr>
        <w:t xml:space="preserve"> Among diagnose responses, 89.2% were substantive (providing reasoning beyond "I don't know" or blank responses), indicating strong student engagement with the open-ended format despite its diagnostic-only (ungraded) status. Confirm responses showed even higher quality at 93.8% substantive. This engagement rate is notable given that students were not informed that the SDM-10 was a separate module from the anchor assessment and received no grade incentive to provide detailed explanations.</w:t>
      </w:r>
    </w:p>
    <w:p>
      <w:pPr>
        <w:spacing w:line="360" w:after="200"/>
      </w:pPr>
      <w:r>
        <w:rPr>
          <w:rFonts w:ascii="Times New Roman" w:cs="Times New Roman" w:eastAsia="Times New Roman" w:hAnsi="Times New Roman"/>
          <w:b/>
          <w:bCs/>
          <w:sz w:val="24"/>
          <w:szCs w:val="24"/>
        </w:rPr>
        <w:t xml:space="preserve">Table 7.4: Diagnose Three-Way Classification (Consented, n = 493 scored, 479 classified)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Classification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 of classified</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Interpretation</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Misconception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258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53.9%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Active incorrect belief confirmed</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Selection error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153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31.9%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Correct understanding, wrong answer</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Knowledge gap</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Acknowledged uncertainty, no model</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Unclassified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Ambiguous or insufficient for three-way</w:t>
            </w:r>
          </w:p>
        </w:tc>
      </w:tr>
    </w:tbl>
    <w:p>
      <w:pPr>
        <w:spacing w:after="200"/>
      </w:pPr>
    </w:p>
    <w:p>
      <w:pPr>
        <w:spacing w:line="360" w:after="200"/>
      </w:pPr>
      <w:r>
        <w:rPr>
          <w:rFonts w:ascii="Times New Roman" w:cs="Times New Roman" w:eastAsia="Times New Roman" w:hAnsi="Times New Roman"/>
          <w:sz w:val="24"/>
          <w:szCs w:val="24"/>
        </w:rPr>
        <w:t xml:space="preserve">Of the 493 AI-scored diagnose responses, 479 (97.2%) were classified into the three-way taxonomy. Over half of classified responses (53.9%) reflected identifiable misconceptions -- specific wrong mental models that can be targeted through instruction. Nearly a third (31.9%) were selection errors, meaning the student demonstrated correct understanding in the explanation despite selecting the wrong anchor answer. This is a central finding: among students who answered incorrectly with high confidence (the SDM-10 diagnose trigger condition), almost one in three does not hold a misconception at all, but rather experienced a mismatch between their knowledge and the item format or phrasing. The 14 unclassified responses had ambiguous explanations that did not clearly fit any category. These rates reflect the high-confidence-incorrect subsample, not the full class (see Section 7 caveat).</w:t>
      </w:r>
    </w:p>
    <w:p>
      <w:pPr>
        <w:spacing w:line="360" w:after="200"/>
      </w:pPr>
      <w:r>
        <w:rPr>
          <w:rFonts w:ascii="Times New Roman" w:cs="Times New Roman" w:eastAsia="Times New Roman" w:hAnsi="Times New Roman"/>
          <w:b/>
          <w:bCs/>
          <w:sz w:val="24"/>
          <w:szCs w:val="24"/>
        </w:rPr>
        <w:t xml:space="preserve">Table 7.5: Diagnose Classification by Item (Consented, items with n &gt;= 5, sorted by diagnose volume)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040"/>
        <w:gridCol w:w="1040"/>
        <w:gridCol w:w="1040"/>
        <w:gridCol w:w="1040"/>
        <w:gridCol w:w="1040"/>
        <w:gridCol w:w="1040"/>
        <w:gridCol w:w="1040"/>
        <w:gridCol w:w="1040"/>
        <w:gridCol w:w="1040"/>
      </w:tblGrid>
      <w:tr>
        <w:trPr>
          <w:tblHeader/>
        </w:trPr>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Item</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Subdomain</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KG</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SE</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SE%</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Top Tag</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Inflation (Fixed Income)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older_workers_worst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Inflation (Lowering)</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lower_inflation_means_lower_prices</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Diversification Principle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SE-reversal</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Credit Reports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SE-selfcorrect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Auto Loans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down_payment_only</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Emergency Fund</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one_month_sufficient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Health Insurance Purpose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routine_care_primary</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Interest Rates &amp; Bonds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positive_correlation_belief</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Borrowing/Mortgages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monthly_vs_total_confusion</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Deductible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deductible_is_max_payout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Risk-Return Tradeoff</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exceptions_disprove_rule</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Types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SE-selfcorrect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Inflation Protection</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fixed_bond_best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Stock vs. Mutual Fund</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KG-unfamiliar</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Inflation (Definition)</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SE-reversal</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Long-Term Returns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bonds_safest_therefore_best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Stock Market Function</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wealth_creation_primary</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Risk-Return Relationship</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real_world_counterexample</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Stocks vs. Bonds Risk</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some_bonds_risky_too</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Diversification</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SE-selfcorrect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Q9</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Budgeting</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SE-selfcorrect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Q40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2008 Financial Crisis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SE-reversal</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Compound Interest</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interest_as_fee</w:t>
            </w:r>
          </w:p>
        </w:tc>
      </w:tr>
    </w:tbl>
    <w:p>
      <w:pPr>
        <w:spacing w:after="200"/>
      </w:pPr>
    </w:p>
    <w:p>
      <w:pPr>
        <w:spacing w:line="360" w:after="200"/>
      </w:pPr>
      <w:r>
        <w:rPr>
          <w:rFonts w:ascii="Times New Roman" w:cs="Times New Roman" w:eastAsia="Times New Roman" w:hAnsi="Times New Roman"/>
          <w:sz w:val="24"/>
          <w:szCs w:val="24"/>
        </w:rPr>
        <w:t xml:space="preserve">Items with the highest misconception density (&gt; 70%) are Q12 (Health Insurance, 82%), Q30 (Risk-Return Tradeoff, 82%), Q6 (Inflation Lowering, 79%), Q35 (Risk-Return, 78%), and Q32 (Long-Term Returns, 73%). These represent topics where student errors are overwhelmingly driven by active incorrect beliefs rather than confusion or carelessness, and where instructional intervention will have the greatest impact. Items with the highest selection error rates are Q9 (83%, small n), Q36 (81%), Q14 (71%), and Q3 (46%), all sharing True/False format with negative or double-negative phrasing.</w:t>
      </w:r>
    </w:p>
    <w:p>
      <w:pPr>
        <w:pStyle w:val="Heading2"/>
        <w:spacing w:before="360" w:after="180"/>
      </w:pPr>
      <w:r>
        <w:rPr>
          <w:rFonts w:ascii="Times New Roman" w:cs="Times New Roman" w:eastAsia="Times New Roman" w:hAnsi="Times New Roman"/>
          <w:sz w:val="24"/>
          <w:szCs w:val="24"/>
        </w:rPr>
        <w:t xml:space="preserve">7.4 Diagnostic Classification: Confirm Composition</w:t>
      </w:r>
    </w:p>
    <w:p>
      <w:pPr>
        <w:spacing w:line="360" w:after="200"/>
      </w:pPr>
      <w:r>
        <w:rPr>
          <w:rFonts w:ascii="Times New Roman" w:cs="Times New Roman" w:eastAsia="Times New Roman" w:hAnsi="Times New Roman"/>
          <w:b/>
          <w:bCs/>
          <w:sz w:val="24"/>
          <w:szCs w:val="24"/>
        </w:rPr>
        <w:t xml:space="preserve">SDM conditioning caveat.</w:t>
      </w:r>
      <w:r>
        <w:rPr>
          <w:rFonts w:ascii="Times New Roman" w:cs="Times New Roman" w:eastAsia="Times New Roman" w:hAnsi="Times New Roman"/>
          <w:sz w:val="24"/>
          <w:szCs w:val="24"/>
        </w:rPr>
        <w:t xml:space="preserve"> The confirm results below reflect students who answered correctly but with low confidence (the SDM-10 confirm trigger condition). The 13.7% guess rate applies to that conditioned subsample, not to all correct responses.</w:t>
      </w:r>
    </w:p>
    <w:p>
      <w:pPr>
        <w:spacing w:line="360" w:after="200"/>
      </w:pPr>
      <w:r>
        <w:rPr>
          <w:rFonts w:ascii="Times New Roman" w:cs="Times New Roman" w:eastAsia="Times New Roman" w:hAnsi="Times New Roman"/>
          <w:b/>
          <w:bCs/>
          <w:sz w:val="24"/>
          <w:szCs w:val="24"/>
        </w:rPr>
        <w:t xml:space="preserve">Table 7.6: Confirm Three-Way Classification (Consented, n = 285)</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Classification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Verified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127</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44.6%</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Partial</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119</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41.8%</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Likely guess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39</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13.7%</w:t>
            </w:r>
          </w:p>
        </w:tc>
      </w:tr>
    </w:tbl>
    <w:p>
      <w:pPr>
        <w:spacing w:after="200"/>
      </w:pPr>
    </w:p>
    <w:p>
      <w:pPr>
        <w:spacing w:line="360" w:after="200"/>
      </w:pPr>
      <w:r>
        <w:rPr>
          <w:rFonts w:ascii="Times New Roman" w:cs="Times New Roman" w:eastAsia="Times New Roman" w:hAnsi="Times New Roman"/>
          <w:sz w:val="24"/>
          <w:szCs w:val="24"/>
        </w:rPr>
        <w:t xml:space="preserve">Among students who answered correctly but with low confidence, 44.6% demonstrated genuine understanding in their explanation (verified), 41.8% showed partial understanding, and 13.7% were classified as likely guesses -- their explanations showed no understanding of the underlying concept despite selecting the correct answer. This finding validates the SDM-10's approach of probing low-confidence correct answers: on items where guessing is plausible, anchor scores alone overestimate true comprehension.</w:t>
      </w:r>
    </w:p>
    <w:p>
      <w:pPr>
        <w:spacing w:line="360" w:after="200"/>
      </w:pPr>
      <w:r>
        <w:rPr>
          <w:rFonts w:ascii="Times New Roman" w:cs="Times New Roman" w:eastAsia="Times New Roman" w:hAnsi="Times New Roman"/>
          <w:b/>
          <w:bCs/>
          <w:sz w:val="24"/>
          <w:szCs w:val="24"/>
        </w:rPr>
        <w:t xml:space="preserve">Table 7.7: Confirm Items with Highest Likely-Guess Rates (Consented, confirm n &gt;= 5)</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Item</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Subdomain</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Confirm n</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Guess n</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Guess %</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Q29</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Interest Rates &amp; Bonds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33.3%</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Deductible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31.8%</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Credit Reports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26.7%</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Auto Loans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23.1%</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Stock vs. Mutual Fund</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23.1%</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Risk-Return Tradeoff</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20.0%</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Types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20.0%</w:t>
            </w:r>
          </w:p>
        </w:tc>
      </w:tr>
    </w:tbl>
    <w:p>
      <w:pPr>
        <w:spacing w:after="200"/>
      </w:pPr>
    </w:p>
    <w:p>
      <w:pPr>
        <w:spacing w:line="360" w:after="200"/>
      </w:pPr>
      <w:r>
        <w:rPr>
          <w:rFonts w:ascii="Times New Roman" w:cs="Times New Roman" w:eastAsia="Times New Roman" w:hAnsi="Times New Roman"/>
          <w:sz w:val="24"/>
          <w:szCs w:val="24"/>
        </w:rPr>
        <w:t xml:space="preserve">Q29 (Bonds &amp; Interest Rates) and Q13 (Insurance Deductible) have the highest guess rates among correct respondents. These topics may warrant additional instructional attention despite appearing well-understood based on raw anchor scores alone.</w:t>
      </w:r>
    </w:p>
    <w:p>
      <w:pPr>
        <w:spacing w:line="360" w:after="200"/>
      </w:pPr>
      <w:r>
        <w:rPr>
          <w:rFonts w:ascii="Times New Roman" w:cs="Times New Roman" w:eastAsia="Times New Roman" w:hAnsi="Times New Roman"/>
          <w:b/>
          <w:bCs/>
          <w:sz w:val="24"/>
          <w:szCs w:val="24"/>
        </w:rPr>
        <w:t xml:space="preserve">Table 7.8: Credit Score Distribution (All Consented Scored, n = 778)</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Credit Score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100 (full diagnostic value)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541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69.5%</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50 (partial diagnostic value)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129</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16.6%</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 (no diagnostic value)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108</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13.9%</w:t>
            </w:r>
          </w:p>
        </w:tc>
      </w:tr>
    </w:tbl>
    <w:p>
      <w:pPr>
        <w:spacing w:after="200"/>
      </w:pPr>
    </w:p>
    <w:p>
      <w:pPr>
        <w:pStyle w:val="Heading2"/>
        <w:spacing w:before="360" w:after="180"/>
      </w:pPr>
      <w:r>
        <w:rPr>
          <w:rFonts w:ascii="Times New Roman" w:cs="Times New Roman" w:eastAsia="Times New Roman" w:hAnsi="Times New Roman"/>
          <w:sz w:val="24"/>
          <w:szCs w:val="24"/>
        </w:rPr>
        <w:t xml:space="preserve">7.5 Misconception Clusters by Domain</w:t>
      </w:r>
    </w:p>
    <w:p>
      <w:pPr>
        <w:spacing w:line="360" w:after="200"/>
      </w:pPr>
      <w:r>
        <w:rPr>
          <w:rFonts w:ascii="Times New Roman" w:cs="Times New Roman" w:eastAsia="Times New Roman" w:hAnsi="Times New Roman"/>
          <w:b/>
          <w:bCs/>
          <w:sz w:val="24"/>
          <w:szCs w:val="24"/>
        </w:rPr>
        <w:t xml:space="preserve">SDM conditioning caveat.</w:t>
      </w:r>
      <w:r>
        <w:rPr>
          <w:rFonts w:ascii="Times New Roman" w:cs="Times New Roman" w:eastAsia="Times New Roman" w:hAnsi="Times New Roman"/>
          <w:sz w:val="24"/>
          <w:szCs w:val="24"/>
        </w:rPr>
        <w:t xml:space="preserve"> All per-item rates below are conditional on the SDM-10 diagnose trigger (incorrect + high confidence); they characterize the composition of high-confidence errors, not class-wide misconception prevalence.</w:t>
      </w:r>
    </w:p>
    <w:p>
      <w:pPr>
        <w:spacing w:line="360" w:after="200"/>
      </w:pPr>
      <w:r>
        <w:rPr>
          <w:rFonts w:ascii="Times New Roman" w:cs="Times New Roman" w:eastAsia="Times New Roman" w:hAnsi="Times New Roman"/>
          <w:sz w:val="24"/>
          <w:szCs w:val="24"/>
        </w:rPr>
        <w:t xml:space="preserve">The AI-assisted classification revealed distinct misconception patterns across assessment domains.</w:t>
      </w:r>
    </w:p>
    <w:p>
      <w:pPr>
        <w:spacing w:line="360" w:after="200"/>
      </w:pPr>
      <w:r>
        <w:rPr>
          <w:rFonts w:ascii="Times New Roman" w:cs="Times New Roman" w:eastAsia="Times New Roman" w:hAnsi="Times New Roman"/>
          <w:b/>
          <w:bCs/>
          <w:sz w:val="24"/>
          <w:szCs w:val="24"/>
        </w:rPr>
        <w:t xml:space="preserve">Inflation and Purchasing Power.</w:t>
      </w:r>
      <w:r>
        <w:rPr>
          <w:rFonts w:ascii="Times New Roman" w:cs="Times New Roman" w:eastAsia="Times New Roman" w:hAnsi="Times New Roman"/>
          <w:sz w:val="24"/>
          <w:szCs w:val="24"/>
        </w:rPr>
        <w:t xml:space="preserve"> The most prevalent misconception was INF-01 (lower inflation equals falling prices), identified in 42 consented diagnose responses -- the single most frequent misconception code in the dataset. Students systematically confused a decrease in the rate of price increase with an actual decrease in prices. On Q7 (which group is most hurt by inflation), empathy-driven reasoning (INF-05, n = 17) led students to select "young couples" because they identified personally with that demographic rather than analyzing fixed-income vulnerability.</w:t>
      </w:r>
    </w:p>
    <w:p>
      <w:pPr>
        <w:spacing w:line="360" w:after="200"/>
      </w:pPr>
      <w:r>
        <w:rPr>
          <w:rFonts w:ascii="Times New Roman" w:cs="Times New Roman" w:eastAsia="Times New Roman" w:hAnsi="Times New Roman"/>
          <w:b/>
          <w:bCs/>
          <w:sz w:val="24"/>
          <w:szCs w:val="24"/>
        </w:rPr>
        <w:t xml:space="preserve">Risk, Return, and Diversification.</w:t>
      </w:r>
      <w:r>
        <w:rPr>
          <w:rFonts w:ascii="Times New Roman" w:cs="Times New Roman" w:eastAsia="Times New Roman" w:hAnsi="Times New Roman"/>
          <w:sz w:val="24"/>
          <w:szCs w:val="24"/>
        </w:rPr>
        <w:t xml:space="preserve"> On Q36 (diversification principle), 81.0% of diagnose responses from consented students were classified as selection errors -- the highest selection error rate of any item. Students who answered incorrectly could explain why spreading money across assets reduces risk, but selected "False" on the True/False item, likely due to negation confusion or overthinking the word "all." On Q35 (risk-return relationship), students used real-world counterexamples from non-financial domains to argue against the general financial principle (RISK-10), indicating reasoning by analogy rather than domain-specific knowledge.</w:t>
      </w:r>
    </w:p>
    <w:p>
      <w:pPr>
        <w:spacing w:line="360" w:after="200"/>
      </w:pPr>
      <w:r>
        <w:rPr>
          <w:rFonts w:ascii="Times New Roman" w:cs="Times New Roman" w:eastAsia="Times New Roman" w:hAnsi="Times New Roman"/>
          <w:b/>
          <w:bCs/>
          <w:sz w:val="24"/>
          <w:szCs w:val="24"/>
        </w:rPr>
        <w:t xml:space="preserve">Insurance and Risk Management.</w:t>
      </w:r>
      <w:r>
        <w:rPr>
          <w:rFonts w:ascii="Times New Roman" w:cs="Times New Roman" w:eastAsia="Times New Roman" w:hAnsi="Times New Roman"/>
          <w:sz w:val="24"/>
          <w:szCs w:val="24"/>
        </w:rPr>
        <w:t xml:space="preserve"> On Q12 (primary purpose of health insurance), 82.1% of diagnose responses reflected the misconception that routine care is the primary function of insurance (INS-01, n = 23 of 28), with many students applying frequency-over-severity reasoning: because routine visits are more common, they must be the primary purpose (INS-02). Q13 (deductible definition) showed a high knowledge gap rate (31.6%), indicating unfamiliarity with this technical insurance term rather than a specific misconception.</w:t>
      </w:r>
    </w:p>
    <w:p>
      <w:pPr>
        <w:spacing w:line="360" w:after="200"/>
      </w:pPr>
      <w:r>
        <w:rPr>
          <w:rFonts w:ascii="Times New Roman" w:cs="Times New Roman" w:eastAsia="Times New Roman" w:hAnsi="Times New Roman"/>
          <w:b/>
          <w:bCs/>
          <w:sz w:val="24"/>
          <w:szCs w:val="24"/>
        </w:rPr>
        <w:t xml:space="preserve">Borrowing and Credit.</w:t>
      </w:r>
      <w:r>
        <w:rPr>
          <w:rFonts w:ascii="Times New Roman" w:cs="Times New Roman" w:eastAsia="Times New Roman" w:hAnsi="Times New Roman"/>
          <w:sz w:val="24"/>
          <w:szCs w:val="24"/>
        </w:rPr>
        <w:t xml:space="preserve"> Credit report knowledge (Q10) showed a 41.0% selection error rate, indicating that many students possessed the correct understanding but were confused by the question's "which is FALSE" framing. On Q2 (mortgage term length and total interest), 31.8% of incorrect responses were selection errors.</w:t>
      </w:r>
    </w:p>
    <w:p>
      <w:pPr>
        <w:spacing w:line="360" w:after="200"/>
      </w:pPr>
      <w:r>
        <w:rPr>
          <w:rFonts w:ascii="Times New Roman" w:cs="Times New Roman" w:eastAsia="Times New Roman" w:hAnsi="Times New Roman"/>
          <w:b/>
          <w:bCs/>
          <w:sz w:val="24"/>
          <w:szCs w:val="24"/>
        </w:rPr>
        <w:t xml:space="preserve">Table 7.9: Top 10 Misconception Codes (Consented Diagnose Responses)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Lower inflation = falling prices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42</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INT-05</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Interest rates not negotiable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INS-01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for routine care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INF-05</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Empathy-driven inflation reasoning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Fixed income impact misunderstood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Exceptions disprove general rule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BORROW-05</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Emergency fund amount too low</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Employer credit check unknown</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12</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INT-06</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Bond price-interest rate relationship reversed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11</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INS-03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Deductible definition wrong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r>
    </w:tbl>
    <w:p>
      <w:pPr>
        <w:spacing w:after="200"/>
      </w:pPr>
    </w:p>
    <w:p>
      <w:pPr>
        <w:spacing w:line="360" w:after="200"/>
      </w:pPr>
      <w:r>
        <w:rPr>
          <w:rFonts w:ascii="Times New Roman" w:cs="Times New Roman" w:eastAsia="Times New Roman" w:hAnsi="Times New Roman"/>
          <w:sz w:val="24"/>
          <w:szCs w:val="24"/>
        </w:rPr>
        <w:t xml:space="preserve">Five dominant patterns emerged across the assessment:</w:t>
      </w:r>
    </w:p>
    <w:p>
      <w:pPr>
        <w:pStyle w:val="ListParagraph"/>
        <w:numPr>
          <w:ilvl w:val="0"/>
          <w:numId w:val="2"/>
        </w:numPr>
        <w:spacing w:line="360" w:after="100"/>
      </w:pPr>
      <w:r>
        <w:rPr>
          <w:rFonts w:ascii="Times New Roman" w:cs="Times New Roman" w:eastAsia="Times New Roman" w:hAnsi="Times New Roman"/>
          <w:b/>
          <w:bCs/>
          <w:sz w:val="24"/>
          <w:szCs w:val="24"/>
        </w:rPr>
        <w:t xml:space="preserve">Inflation mechanics confusion</w:t>
      </w:r>
      <w:r>
        <w:rPr>
          <w:rFonts w:ascii="Times New Roman" w:cs="Times New Roman" w:eastAsia="Times New Roman" w:hAnsi="Times New Roman"/>
          <w:sz w:val="24"/>
          <w:szCs w:val="24"/>
        </w:rPr>
        <w:t xml:space="preserve"> -- centered on the distinction between lower inflation rates and lower prices (Q6, Q7), representing the single largest misconception cluster</w:t>
      </w:r>
    </w:p>
    <w:p>
      <w:pPr>
        <w:pStyle w:val="ListParagraph"/>
        <w:numPr>
          <w:ilvl w:val="0"/>
          <w:numId w:val="2"/>
        </w:numPr>
        <w:spacing w:line="360" w:after="100"/>
      </w:pPr>
      <w:r>
        <w:rPr>
          <w:rFonts w:ascii="Times New Roman" w:cs="Times New Roman" w:eastAsia="Times New Roman" w:hAnsi="Times New Roman"/>
          <w:b/>
          <w:bCs/>
          <w:sz w:val="24"/>
          <w:szCs w:val="24"/>
        </w:rPr>
        <w:t xml:space="preserve">Risk-return reasoning from exceptions</w:t>
      </w:r>
      <w:r>
        <w:rPr>
          <w:rFonts w:ascii="Times New Roman" w:cs="Times New Roman" w:eastAsia="Times New Roman" w:hAnsi="Times New Roman"/>
          <w:sz w:val="24"/>
          <w:szCs w:val="24"/>
        </w:rPr>
        <w:t xml:space="preserve"> -- students cited specific counterexamples to invalidate general financial principles (Q30, Q35), applying inductive reasoning where deductive understanding is required</w:t>
      </w:r>
    </w:p>
    <w:p>
      <w:pPr>
        <w:pStyle w:val="ListParagraph"/>
        <w:numPr>
          <w:ilvl w:val="0"/>
          <w:numId w:val="2"/>
        </w:numPr>
        <w:spacing w:line="360" w:after="100"/>
      </w:pPr>
      <w:r>
        <w:rPr>
          <w:rFonts w:ascii="Times New Roman" w:cs="Times New Roman" w:eastAsia="Times New Roman" w:hAnsi="Times New Roman"/>
          <w:b/>
          <w:bCs/>
          <w:sz w:val="24"/>
          <w:szCs w:val="24"/>
        </w:rPr>
        <w:t xml:space="preserve">Insurance purpose confusion</w:t>
      </w:r>
      <w:r>
        <w:rPr>
          <w:rFonts w:ascii="Times New Roman" w:cs="Times New Roman" w:eastAsia="Times New Roman" w:hAnsi="Times New Roman"/>
          <w:sz w:val="24"/>
          <w:szCs w:val="24"/>
        </w:rPr>
        <w:t xml:space="preserve"> -- equating frequency of use with primary function (Q12), reflecting a consumer experience bias</w:t>
      </w:r>
    </w:p>
    <w:p>
      <w:pPr>
        <w:pStyle w:val="ListParagraph"/>
        <w:numPr>
          <w:ilvl w:val="0"/>
          <w:numId w:val="2"/>
        </w:numPr>
        <w:spacing w:line="360" w:after="100"/>
      </w:pPr>
      <w:r>
        <w:rPr>
          <w:rFonts w:ascii="Times New Roman" w:cs="Times New Roman" w:eastAsia="Times New Roman" w:hAnsi="Times New Roman"/>
          <w:b/>
          <w:bCs/>
          <w:sz w:val="24"/>
          <w:szCs w:val="24"/>
        </w:rPr>
        <w:t xml:space="preserve">Empathy-driven financial reasoning</w:t>
      </w:r>
      <w:r>
        <w:rPr>
          <w:rFonts w:ascii="Times New Roman" w:cs="Times New Roman" w:eastAsia="Times New Roman" w:hAnsi="Times New Roman"/>
          <w:sz w:val="24"/>
          <w:szCs w:val="24"/>
        </w:rPr>
        <w:t xml:space="preserve"> -- selecting answers based on personal identification with demographic groups rather than economic logic (Q7)</w:t>
      </w:r>
    </w:p>
    <w:p>
      <w:pPr>
        <w:pStyle w:val="ListParagraph"/>
        <w:numPr>
          <w:ilvl w:val="0"/>
          <w:numId w:val="2"/>
        </w:numPr>
        <w:spacing w:line="360" w:after="100"/>
      </w:pPr>
      <w:r>
        <w:rPr>
          <w:rFonts w:ascii="Times New Roman" w:cs="Times New Roman" w:eastAsia="Times New Roman" w:hAnsi="Times New Roman"/>
          <w:b/>
          <w:bCs/>
          <w:sz w:val="24"/>
          <w:szCs w:val="24"/>
        </w:rPr>
        <w:t xml:space="preserve">Format-induced errors</w:t>
      </w:r>
      <w:r>
        <w:rPr>
          <w:rFonts w:ascii="Times New Roman" w:cs="Times New Roman" w:eastAsia="Times New Roman" w:hAnsi="Times New Roman"/>
          <w:sz w:val="24"/>
          <w:szCs w:val="24"/>
        </w:rPr>
        <w:t xml:space="preserve"> -- particularly on True/False items (Q36, Q2) where correct knowledge led to incorrect answers due to negation confusion or reversed logic</w:t>
      </w:r>
    </w:p>
    <w:p>
      <w:pPr>
        <w:pStyle w:val="Heading2"/>
        <w:spacing w:before="360" w:after="180"/>
      </w:pPr>
      <w:r>
        <w:rPr>
          <w:rFonts w:ascii="Times New Roman" w:cs="Times New Roman" w:eastAsia="Times New Roman" w:hAnsi="Times New Roman"/>
          <w:sz w:val="24"/>
          <w:szCs w:val="24"/>
        </w:rPr>
        <w:t xml:space="preserve">7.6 Selection Error Patterns and Item Revision Targets</w:t>
      </w:r>
    </w:p>
    <w:p>
      <w:pPr>
        <w:spacing w:line="360" w:after="200"/>
      </w:pPr>
      <w:r>
        <w:rPr>
          <w:rFonts w:ascii="Times New Roman" w:cs="Times New Roman" w:eastAsia="Times New Roman" w:hAnsi="Times New Roman"/>
          <w:b/>
          <w:bCs/>
          <w:sz w:val="24"/>
          <w:szCs w:val="24"/>
        </w:rPr>
        <w:t xml:space="preserve">SDM conditioning caveat.</w:t>
      </w:r>
      <w:r>
        <w:rPr>
          <w:rFonts w:ascii="Times New Roman" w:cs="Times New Roman" w:eastAsia="Times New Roman" w:hAnsi="Times New Roman"/>
          <w:sz w:val="24"/>
          <w:szCs w:val="24"/>
        </w:rPr>
        <w:t xml:space="preserve"> The selection error rates below are conditional on the SDM-10 diagnose trigger (incorrect + high confidence). They characterize the composition of errors within that subsample rather than cohort-wide rates.</w:t>
      </w:r>
    </w:p>
    <w:p>
      <w:pPr>
        <w:spacing w:line="360" w:after="200"/>
      </w:pPr>
      <w:r>
        <w:rPr>
          <w:rFonts w:ascii="Times New Roman" w:cs="Times New Roman" w:eastAsia="Times New Roman" w:hAnsi="Times New Roman"/>
          <w:sz w:val="24"/>
          <w:szCs w:val="24"/>
        </w:rPr>
        <w:t xml:space="preserve">The selection error finding is one of the paper's central contributions. Three items showed selection error rates exceeding 30%:</w:t>
      </w:r>
    </w:p>
    <w:p>
      <w:pPr>
        <w:spacing w:line="360" w:after="200"/>
      </w:pPr>
      <w:r>
        <w:rPr>
          <w:rFonts w:ascii="Times New Roman" w:cs="Times New Roman" w:eastAsia="Times New Roman" w:hAnsi="Times New Roman"/>
          <w:b/>
          <w:bCs/>
          <w:sz w:val="24"/>
          <w:szCs w:val="24"/>
        </w:rPr>
        <w:t xml:space="preserve">Table 7.10: High Selection Error Items (Consented Diagnose)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560"/>
        <w:gridCol w:w="1560"/>
        <w:gridCol w:w="1560"/>
        <w:gridCol w:w="1560"/>
        <w:gridCol w:w="1560"/>
        <w:gridCol w:w="1560"/>
      </w:tblGrid>
      <w:tr>
        <w:trPr>
          <w:tblHeader/>
        </w:trPr>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Item</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Topic</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Format</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SE Rate</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n</w:t>
            </w:r>
          </w:p>
        </w:tc>
        <w:tc>
          <w:tcPr>
            <w:tcW w:type="dxa" w:w="156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Implication</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Q36</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Diversification principle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T/F</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81.0%</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34/42</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T/F format confounds; consider MCQ revision</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Q10</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Credit reports (which is FALSE)</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MCQ</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41.0%</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16/39</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Negation framing causes errors</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Q37</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types</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MCQ</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41.2%</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7/17</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Item phrasing ambiguity</w:t>
            </w:r>
          </w:p>
        </w:tc>
      </w:tr>
      <w:tr>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Mortgage term and total interest</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T/F</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31.8%</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7/22</w:t>
            </w:r>
          </w:p>
        </w:tc>
        <w:tc>
          <w:tcPr>
            <w:tcW w:type="dxa" w:w="156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T/F reversal common</w:t>
            </w:r>
          </w:p>
        </w:tc>
      </w:tr>
    </w:tbl>
    <w:p>
      <w:pPr>
        <w:spacing w:after="200"/>
      </w:pPr>
    </w:p>
    <w:p>
      <w:pPr>
        <w:spacing w:line="360" w:after="200"/>
      </w:pPr>
      <w:r>
        <w:rPr>
          <w:rFonts w:ascii="Times New Roman" w:cs="Times New Roman" w:eastAsia="Times New Roman" w:hAnsi="Times New Roman"/>
          <w:b/>
          <w:bCs/>
          <w:sz w:val="24"/>
          <w:szCs w:val="24"/>
        </w:rPr>
        <w:t xml:space="preserve">The Q36 case study.</w:t>
      </w:r>
      <w:r>
        <w:rPr>
          <w:rFonts w:ascii="Times New Roman" w:cs="Times New Roman" w:eastAsia="Times New Roman" w:hAnsi="Times New Roman"/>
          <w:sz w:val="24"/>
          <w:szCs w:val="24"/>
        </w:rPr>
        <w:t xml:space="preserve"> Q36 merits special attention. This True/False item asks whether placing savings in multiple locations (bank, stocks, and bonds) is safer than putting all savings in one place. The correct answer is True. Among consented students, 127 of 354 (35.9%) answered incorrectly. When the SDM-10 probed 42 of the diagnosed students who were both incorrect and confident, 34 (81%) demonstrated correct understanding of diversification. Typical student explanations confirmed they understood the principle of spreading risk across asset classes but had misread or second-guessed the question. The evidence strongly suggests the True/False format or negative phrasing, rather than a lack of knowledge, caused the errors. Q36 should be revised for the post-assessment: the question can be rephrased as a standard multiple-choice item to reduce format-induced errors.</w:t>
      </w:r>
    </w:p>
    <w:p>
      <w:pPr>
        <w:spacing w:line="360" w:after="200"/>
      </w:pPr>
      <w:r>
        <w:rPr>
          <w:rFonts w:ascii="Times New Roman" w:cs="Times New Roman" w:eastAsia="Times New Roman" w:hAnsi="Times New Roman"/>
          <w:sz w:val="24"/>
          <w:szCs w:val="24"/>
        </w:rPr>
        <w:t xml:space="preserve">These findings demonstrate that raw MCQ scores materially understate student knowledge on these items. When a student answers incorrectly but explains the concept correctly, the anchor score of 0% misrepresents their understanding.</w:t>
      </w:r>
    </w:p>
    <w:p>
      <w:pPr>
        <w:pStyle w:val="Heading2"/>
        <w:spacing w:before="360" w:after="180"/>
      </w:pPr>
      <w:r>
        <w:rPr>
          <w:rFonts w:ascii="Times New Roman" w:cs="Times New Roman" w:eastAsia="Times New Roman" w:hAnsi="Times New Roman"/>
          <w:sz w:val="24"/>
          <w:szCs w:val="24"/>
        </w:rPr>
        <w:t xml:space="preserve">7.7 AI Scoring Validation</w:t>
      </w:r>
    </w:p>
    <w:p>
      <w:pPr>
        <w:spacing w:line="360" w:after="200"/>
      </w:pPr>
      <w:r>
        <w:rPr>
          <w:rFonts w:ascii="Times New Roman" w:cs="Times New Roman" w:eastAsia="Times New Roman" w:hAnsi="Times New Roman"/>
          <w:sz w:val="24"/>
          <w:szCs w:val="24"/>
        </w:rPr>
        <w:t xml:space="preserve">Prior to AI scoring, we conducted a manual analysis of response patterns on a calibration sample. Table 7.11 compares the predicted dominant misconception rates from manual analysis with the AI-scored results for the consented sample.</w:t>
      </w:r>
    </w:p>
    <w:p>
      <w:pPr>
        <w:spacing w:line="360" w:after="200"/>
      </w:pPr>
      <w:r>
        <w:rPr>
          <w:rFonts w:ascii="Times New Roman" w:cs="Times New Roman" w:eastAsia="Times New Roman" w:hAnsi="Times New Roman"/>
          <w:b/>
          <w:bCs/>
          <w:sz w:val="24"/>
          <w:szCs w:val="24"/>
        </w:rPr>
        <w:t xml:space="preserve">Table 7.11: Manual Prediction vs. AI Scoring Results (Consented Sample)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Item</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Metric</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Predicted</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Actual</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Assessment</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lower_inflation_means_lower_prices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Confirmed. AI distributed more to employment_link (21%).</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Selection error rate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Confirmed. Higher than predicted.</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employer_use_confusion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Near-exact match.</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routine_care_primary</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Confirmed. Slight redistribution to frequency_over_severity.</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exceptions_disprove_rule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Confirmed. Slightly higher than predicted.</w:t>
            </w:r>
          </w:p>
        </w:tc>
      </w:tr>
    </w:tbl>
    <w:p>
      <w:pPr>
        <w:spacing w:after="200"/>
      </w:pPr>
    </w:p>
    <w:p>
      <w:pPr>
        <w:spacing w:line="360" w:after="200"/>
      </w:pPr>
      <w:r>
        <w:rPr>
          <w:rFonts w:ascii="Times New Roman" w:cs="Times New Roman" w:eastAsia="Times New Roman" w:hAnsi="Times New Roman"/>
          <w:sz w:val="24"/>
          <w:szCs w:val="24"/>
        </w:rPr>
        <w:t xml:space="preserve">All five validation benchmarks were confirmed. Three showed exact or near-exact alignment (Q10, Q30, Q12), and two showed the AI distributing classifications more granularly across subtags within the same misconception family (Q6, Q36). The taxonomy is performing as designed: the scoring model produces classifications consistent with human-defined categories while offering finer-grained discrimination within misconception families.</w:t>
      </w:r>
    </w:p>
    <w:p>
      <w:pPr>
        <w:pStyle w:val="Heading1"/>
        <w:pageBreakBefore/>
        <w:spacing w:before="480" w:after="240"/>
      </w:pPr>
      <w:r>
        <w:rPr>
          <w:rFonts w:ascii="Times New Roman" w:cs="Times New Roman" w:eastAsia="Times New Roman" w:hAnsi="Times New Roman"/>
          <w:sz w:val="24"/>
          <w:szCs w:val="24"/>
        </w:rPr>
        <w:t xml:space="preserve">8. Discussion</w:t>
      </w:r>
    </w:p>
    <w:p>
      <w:pPr>
        <w:pStyle w:val="Heading2"/>
        <w:spacing w:before="360" w:after="180"/>
      </w:pPr>
      <w:r>
        <w:rPr>
          <w:rFonts w:ascii="Times New Roman" w:cs="Times New Roman" w:eastAsia="Times New Roman" w:hAnsi="Times New Roman"/>
          <w:sz w:val="24"/>
          <w:szCs w:val="24"/>
        </w:rPr>
        <w:t xml:space="preserve">8.1 Key Findings</w:t>
      </w:r>
    </w:p>
    <w:p>
      <w:pPr>
        <w:spacing w:line="360" w:after="200"/>
      </w:pPr>
      <w:r>
        <w:rPr>
          <w:rFonts w:ascii="Times New Roman" w:cs="Times New Roman" w:eastAsia="Times New Roman" w:hAnsi="Times New Roman"/>
          <w:sz w:val="24"/>
          <w:szCs w:val="24"/>
        </w:rPr>
        <w:t xml:space="preserve">The SDM-10 diagnostic findings reveal that standard multiple-choice assessment scores both overstate and understate student financial literacy knowledge in systematic, measurable ways. All SDM-10 prevalence rates reported in Section 7 reflect conditioned subsamples -- diagnose items target students who answered incorrectly with high confidence, and confirm items target students who answered correctly with low confidence -- not random cross-sections of the class. Four principal findings emerged.</w:t>
      </w:r>
    </w:p>
    <w:p>
      <w:pPr>
        <w:spacing w:line="360" w:after="200"/>
      </w:pPr>
      <w:r>
        <w:rPr>
          <w:rFonts w:ascii="Times New Roman" w:cs="Times New Roman" w:eastAsia="Times New Roman" w:hAnsi="Times New Roman"/>
          <w:sz w:val="24"/>
          <w:szCs w:val="24"/>
        </w:rPr>
        <w:t xml:space="preserve">First, </w:t>
      </w:r>
      <w:r>
        <w:rPr>
          <w:rFonts w:ascii="Times New Roman" w:cs="Times New Roman" w:eastAsia="Times New Roman" w:hAnsi="Times New Roman"/>
          <w:b/>
          <w:bCs/>
          <w:sz w:val="24"/>
          <w:szCs w:val="24"/>
        </w:rPr>
        <w:t xml:space="preserve">selection errors materially distort MCQ scoring.</w:t>
      </w:r>
      <w:r>
        <w:rPr>
          <w:rFonts w:ascii="Times New Roman" w:cs="Times New Roman" w:eastAsia="Times New Roman" w:hAnsi="Times New Roman"/>
          <w:sz w:val="24"/>
          <w:szCs w:val="24"/>
        </w:rPr>
        <w:t xml:space="preserve"> Among students who answered incorrectly with high confidence, 31.9% of classified responses demonstrated correct understanding of the underlying concept. On individual items, selection error rates reached 81% (Q36, diversification), 41% (Q10, credit reports), and 32% (Q2, mortgages). These students receive a score of zero on the anchor assessment despite possessing the targeted knowledge. The pattern is concentrated on True/False items and negation-framed MCQ items, indicating that item format rather than student knowledge drives the errors.</w:t>
      </w:r>
    </w:p>
    <w:p>
      <w:pPr>
        <w:spacing w:line="360" w:after="200"/>
      </w:pPr>
      <w:r>
        <w:rPr>
          <w:rFonts w:ascii="Times New Roman" w:cs="Times New Roman" w:eastAsia="Times New Roman" w:hAnsi="Times New Roman"/>
          <w:sz w:val="24"/>
          <w:szCs w:val="24"/>
        </w:rPr>
        <w:t xml:space="preserve">Second, </w:t>
      </w:r>
      <w:r>
        <w:rPr>
          <w:rFonts w:ascii="Times New Roman" w:cs="Times New Roman" w:eastAsia="Times New Roman" w:hAnsi="Times New Roman"/>
          <w:b/>
          <w:bCs/>
          <w:sz w:val="24"/>
          <w:szCs w:val="24"/>
        </w:rPr>
        <w:t xml:space="preserve">"false correct" guesses inflate anchor scores.</w:t>
      </w:r>
      <w:r>
        <w:rPr>
          <w:rFonts w:ascii="Times New Roman" w:cs="Times New Roman" w:eastAsia="Times New Roman" w:hAnsi="Times New Roman"/>
          <w:sz w:val="24"/>
          <w:szCs w:val="24"/>
        </w:rPr>
        <w:t xml:space="preserve"> Among students who answered correctly but with low confidence, 13.7% were classified as likely guesses -- they could not articulate any understanding of the concept they ostensibly answered correctly. On individual items such as Q29 (33.3% guess rate) and Q13 (31.8%), anchor scores overestimate true comprehension.</w:t>
      </w:r>
    </w:p>
    <w:p>
      <w:pPr>
        <w:spacing w:line="360" w:after="200"/>
      </w:pPr>
      <w:r>
        <w:rPr>
          <w:rFonts w:ascii="Times New Roman" w:cs="Times New Roman" w:eastAsia="Times New Roman" w:hAnsi="Times New Roman"/>
          <w:sz w:val="24"/>
          <w:szCs w:val="24"/>
        </w:rPr>
        <w:t xml:space="preserve">Third, </w:t>
      </w:r>
      <w:r>
        <w:rPr>
          <w:rFonts w:ascii="Times New Roman" w:cs="Times New Roman" w:eastAsia="Times New Roman" w:hAnsi="Times New Roman"/>
          <w:b/>
          <w:bCs/>
          <w:sz w:val="24"/>
          <w:szCs w:val="24"/>
        </w:rPr>
        <w:t xml:space="preserve">misconception patterns are domain-specific and instructionally actionable.</w:t>
      </w:r>
      <w:r>
        <w:rPr>
          <w:rFonts w:ascii="Times New Roman" w:cs="Times New Roman" w:eastAsia="Times New Roman" w:hAnsi="Times New Roman"/>
          <w:sz w:val="24"/>
          <w:szCs w:val="24"/>
        </w:rPr>
        <w:t xml:space="preserve"> Five dominant clusters emerged: inflation mechanics confusion (INF-01, the most frequent code at n = 42), risk-return reasoning from exceptions (RISK-02), insurance purpose confusion (INS-01/INS-02), empathy-driven reasoning (INF-05), and format-induced errors. These clusters are specific enough to inform targeted instructional interventions. Because the SDM-10 selects for high-priority responses, these rates should not be extrapolated to the full class without adjusting for item-level coverage (see Limitation 2).</w:t>
      </w:r>
    </w:p>
    <w:p>
      <w:pPr>
        <w:spacing w:line="360" w:after="200"/>
      </w:pPr>
      <w:r>
        <w:rPr>
          <w:rFonts w:ascii="Times New Roman" w:cs="Times New Roman" w:eastAsia="Times New Roman" w:hAnsi="Times New Roman"/>
          <w:sz w:val="24"/>
          <w:szCs w:val="24"/>
        </w:rPr>
        <w:t xml:space="preserve">Fourth, </w:t>
      </w:r>
      <w:r>
        <w:rPr>
          <w:rFonts w:ascii="Times New Roman" w:cs="Times New Roman" w:eastAsia="Times New Roman" w:hAnsi="Times New Roman"/>
          <w:b/>
          <w:bCs/>
          <w:sz w:val="24"/>
          <w:szCs w:val="24"/>
        </w:rPr>
        <w:t xml:space="preserve">the three-way classification adds diagnostic value beyond MCQ scores.</w:t>
      </w:r>
      <w:r>
        <w:rPr>
          <w:rFonts w:ascii="Times New Roman" w:cs="Times New Roman" w:eastAsia="Times New Roman" w:hAnsi="Times New Roman"/>
          <w:sz w:val="24"/>
          <w:szCs w:val="24"/>
        </w:rPr>
        <w:t xml:space="preserve"> The SDM-10's classification (misconception/knowledge gap/selection error for diagnose; verified/partial/likely guess for confirm) provides the diagnostic specificity needed to differentiate students who need conceptual correction from those who need format remediation or foundational instruction. None of this information is available from the anchor score alone.</w:t>
      </w:r>
    </w:p>
    <w:p>
      <w:pPr>
        <w:pStyle w:val="Heading2"/>
        <w:spacing w:before="360" w:after="180"/>
      </w:pPr>
      <w:r>
        <w:rPr>
          <w:rFonts w:ascii="Times New Roman" w:cs="Times New Roman" w:eastAsia="Times New Roman" w:hAnsi="Times New Roman"/>
          <w:sz w:val="24"/>
          <w:szCs w:val="24"/>
        </w:rPr>
        <w:t xml:space="preserve">8.2 Course Improvement Recommendations</w:t>
      </w:r>
    </w:p>
    <w:p>
      <w:pPr>
        <w:spacing w:line="360" w:after="200"/>
      </w:pPr>
      <w:r>
        <w:rPr>
          <w:rFonts w:ascii="Times New Roman" w:cs="Times New Roman" w:eastAsia="Times New Roman" w:hAnsi="Times New Roman"/>
          <w:sz w:val="24"/>
          <w:szCs w:val="24"/>
        </w:rPr>
        <w:t xml:space="preserve">The diagnostic findings from Section 7 translate into 10 specific recommendations for QUIN 102 instruction and instrument revision. Each recommendation is anchored to a specific finding and evidence source; the final column describes how Paper 2 will evaluate whether the change was effective.</w:t>
      </w:r>
    </w:p>
    <w:p>
      <w:pPr>
        <w:spacing w:line="360" w:after="200"/>
      </w:pPr>
      <w:r>
        <w:rPr>
          <w:rFonts w:ascii="Times New Roman" w:cs="Times New Roman" w:eastAsia="Times New Roman" w:hAnsi="Times New Roman"/>
          <w:b/>
          <w:bCs/>
          <w:sz w:val="24"/>
          <w:szCs w:val="24"/>
        </w:rPr>
        <w:t xml:space="preserve">Table 8.1: Course Improvement Recommendations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Finding</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Evidence</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Recommended Change</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Paper 2 Evaluation</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79% of high-confidence errors on Q6 reflect confusion between inflation rate and price level (INF-01, 42/53 classified)</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7.5, Q6 row; Table 7.9, top code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Dedicate explicit instruction to distinguishing "lower inflation" (slower price increases) from "falling prices" (deflation), using rate-vs-level visual aids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INF-01 prevalence on Q6 diagnose responses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82% of high-confidence errors on Q12 reflect belief that routine care is insurance's primary function (INS-01/INS-02, 23/28)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7.5, Q12 row</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module on health insurance purpose: catastrophic protection vs. routine care, using frequency-vs-severity framing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Q12 accuracy and INS-01 prevalence</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82% (Q30, 14/17) and 78% (Q35, 7/9) of high-confidence errors reflect reasoning-from-exceptions (RISK-02)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7.5, Q30/Q35 rows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Introduce risk-return principle using financial-domain examples (historical asset class returns) rather than abstract statements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RISK-02 prevalence across Q30 and Q35</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81% of high-confidence errors on Q36 are selection errors caused by T/F format with negation (34/42)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7.10, Q36 row; Section 7.6 case study</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Revise Q36 from True/False to standard MCQ format for the post-assessment</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Q36 selection error rate before and after revision</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 of high-confidence errors on Q10 are selection errors caused by "which is FALSE" negation framing (16/39)</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7.10, Q10 row</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Revise Q10 to remove negation framing (rewrite as positive identification)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Q10 selection error rate before and after revision</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Q29 shows 46% misconception rate (INT-06, 11/24) and 33% guess rate among correct respondents (4/12)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7.5, Q29 row; Table 7.7, Q29 row</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bond pricing segment explaining inverse interest-rate/price relationship with worked numerical examples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Q29 accuracy, INT-06 prevalence, and confirm guess rate</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Q13 shows 32% knowledge gap rate (6/19) -- unfamiliarity with deductible terminology rather than a specific misconception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7.5, Q13 row</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insurance terminology module covering deductible, premium, copay, and out-of-pocket maximum definitions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Q13 knowledge gap rate</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Q9 (83% SE, 5/6) and Q14 (71% SE, 5/7) show format-driven errors disproportionate to conceptual misunderstanding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7.10, Q9/Q14 rows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Flag Q9 and Q14 for format revision; consider rephrasing or converting to MCQ</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SE rates before and after revision</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9</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 (36% KG, 8/22) and Q8 (56% misconception INT-05, 19/34) reveal gaps in borrowing mechanics and loan negotiation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Table 7.5, Q2/Q8 rows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Add credit-literacy instructional module covering mortgage term/interest tradeoffs and consumer loan negotiation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Compare pre-post accuracy on Q2 and Q8; track INT-05 prevalence</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Five dominant misconception clusters emerged across the assessment (Section 7.5)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Section 7.5 cross-item patterns; Figure 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Generate per-student misconception profile from pre-course data; distribute targeted review materials before mid-term</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Track within-subject misconception resolution rate (pre-post comparison of individual student profiles)</w:t>
            </w:r>
          </w:p>
        </w:tc>
      </w:tr>
    </w:tbl>
    <w:p>
      <w:pPr>
        <w:spacing w:after="200"/>
      </w:pPr>
    </w:p>
    <w:p>
      <w:pPr>
        <w:spacing w:line="360" w:after="200"/>
      </w:pPr>
      <w:r>
        <w:rPr>
          <w:rFonts w:ascii="Times New Roman" w:cs="Times New Roman" w:eastAsia="Times New Roman" w:hAnsi="Times New Roman"/>
          <w:sz w:val="24"/>
          <w:szCs w:val="24"/>
        </w:rPr>
        <w:t xml:space="preserve">Recommendations 1--3 and 6--7 target instructional content; recommendations 4--5 and 8 target instrument revision; recommendation 9 targets both; recommendation 10 targets instructional delivery. All instructional changes will be implemented before the post-assessment window, enabling Paper 2 to compare pre-post rates on the specific metrics identified above.</w:t>
      </w:r>
    </w:p>
    <w:p>
      <w:pPr>
        <w:pStyle w:val="Heading2"/>
        <w:spacing w:before="360" w:after="180"/>
      </w:pPr>
      <w:r>
        <w:rPr>
          <w:rFonts w:ascii="Times New Roman" w:cs="Times New Roman" w:eastAsia="Times New Roman" w:hAnsi="Times New Roman"/>
          <w:sz w:val="24"/>
          <w:szCs w:val="24"/>
        </w:rPr>
        <w:t xml:space="preserve">8.3 Implications for Risk Literacy Measurement</w:t>
      </w:r>
    </w:p>
    <w:p>
      <w:pPr>
        <w:spacing w:line="360" w:after="200"/>
      </w:pPr>
      <w:r>
        <w:rPr>
          <w:rFonts w:ascii="Times New Roman" w:cs="Times New Roman" w:eastAsia="Times New Roman" w:hAnsi="Times New Roman"/>
          <w:sz w:val="24"/>
          <w:szCs w:val="24"/>
        </w:rPr>
        <w:t xml:space="preserve">The instrument's emphasis on risk-related items (diversification, insurance, risk-return tradeoffs, crisis awareness) combined with the SDM-10 diagnostic layer provides a richer assessment of risk literacy than traditional knowledge-only measures. The finding that students can often articulate correct risk reasoning but select wrong answers (particularly on diversification items) suggests that the gap between students' conceptual understanding and their ability to translate that understanding into correct MCQ responses is larger in the risk domain than in other domains.</w:t>
      </w:r>
    </w:p>
    <w:p>
      <w:pPr>
        <w:pStyle w:val="Heading2"/>
        <w:spacing w:before="360" w:after="180"/>
      </w:pPr>
      <w:r>
        <w:rPr>
          <w:rFonts w:ascii="Times New Roman" w:cs="Times New Roman" w:eastAsia="Times New Roman" w:hAnsi="Times New Roman"/>
          <w:sz w:val="24"/>
          <w:szCs w:val="24"/>
        </w:rPr>
        <w:t xml:space="preserve">8.4 Oral Diagnostics as Future Modality</w:t>
      </w:r>
    </w:p>
    <w:p>
      <w:pPr>
        <w:spacing w:line="360" w:after="200"/>
      </w:pPr>
      <w:r>
        <w:rPr>
          <w:rFonts w:ascii="Times New Roman" w:cs="Times New Roman" w:eastAsia="Times New Roman" w:hAnsi="Times New Roman"/>
          <w:sz w:val="24"/>
          <w:szCs w:val="24"/>
        </w:rPr>
        <w:t xml:space="preserve">A promising extension of the SDM-10 framework is an oral diagnostic modality implemented as a structured, AI-mediated interview calibrated by each student's highest-priority SDM findings. Written open-ended prompts can yield thin responses that limit diagnostic signal, while a short conversation can adaptively probe reasoning, distinguish misreading from conceptual misunderstanding, and classify misconceptions by depth -- for example, shallow misconceptions that collapse after one counterexample versus deep structural misunderstandings that persist under scaffolding. This modality would complement the baseline assessment by adding depth classification and resolution tracking, using the existing misconception taxonomy and rubric applied to transcripts, rather than replacing the anchor assessment.</w:t>
      </w:r>
    </w:p>
    <w:p>
      <w:pPr>
        <w:spacing w:line="360" w:after="200"/>
      </w:pPr>
      <w:r>
        <w:rPr>
          <w:rFonts w:ascii="Times New Roman" w:cs="Times New Roman" w:eastAsia="Times New Roman" w:hAnsi="Times New Roman"/>
          <w:sz w:val="24"/>
          <w:szCs w:val="24"/>
        </w:rPr>
        <w:t xml:space="preserve">The oral diagnostic would be designed as a constrained clinical-interview script with branching logic: a brief warm-up, then two to three targeted probes per participant based on their top misconceptions, using new scenarios rather than repeating original items, followed by structured follow-ups designed to test self-correction and persistence. Because oral assessment introduces additional considerations -- including speaking anxiety, language effects, transcription error, and privacy risks associated with voice data -- this modality is proposed only as a small IRB-reviewed volunteer pilot (~20--30 students) to quantify incremental diagnostic value before any scaling. This oral modality is future work and would be implemented only under IRB review with opt-in participation and a non-voice alternative path.</w:t>
      </w:r>
    </w:p>
    <w:p>
      <w:pPr>
        <w:pStyle w:val="Heading1"/>
        <w:pageBreakBefore/>
        <w:spacing w:before="480" w:after="240"/>
      </w:pPr>
      <w:r>
        <w:rPr>
          <w:rFonts w:ascii="Times New Roman" w:cs="Times New Roman" w:eastAsia="Times New Roman" w:hAnsi="Times New Roman"/>
          <w:sz w:val="24"/>
          <w:szCs w:val="24"/>
        </w:rPr>
        <w:t xml:space="preserve">9. Limitations</w:t>
      </w:r>
    </w:p>
    <w:p>
      <w:pPr>
        <w:spacing w:line="360" w:after="200"/>
      </w:pPr>
      <w:r>
        <w:rPr>
          <w:rFonts w:ascii="Times New Roman" w:cs="Times New Roman" w:eastAsia="Times New Roman" w:hAnsi="Times New Roman"/>
          <w:sz w:val="24"/>
          <w:szCs w:val="24"/>
        </w:rPr>
        <w:t xml:space="preserve">Readers should keep the following limitations in mind when interpreting these findings.</w:t>
      </w:r>
    </w:p>
    <w:p>
      <w:pPr>
        <w:pStyle w:val="ListParagraph"/>
        <w:numPr>
          <w:ilvl w:val="0"/>
          <w:numId w:val="2"/>
        </w:numPr>
        <w:spacing w:line="360" w:after="100"/>
      </w:pPr>
      <w:r>
        <w:rPr>
          <w:rFonts w:ascii="Times New Roman" w:cs="Times New Roman" w:eastAsia="Times New Roman" w:hAnsi="Times New Roman"/>
          <w:b/>
          <w:bCs/>
          <w:sz w:val="24"/>
          <w:szCs w:val="24"/>
        </w:rPr>
        <w:t xml:space="preserve">No causal claims.</w:t>
      </w:r>
      <w:r>
        <w:rPr>
          <w:rFonts w:ascii="Times New Roman" w:cs="Times New Roman" w:eastAsia="Times New Roman" w:hAnsi="Times New Roman"/>
          <w:sz w:val="24"/>
          <w:szCs w:val="24"/>
        </w:rPr>
        <w:t xml:space="preserve"> Because we report instrument design and pilot diagnostic outputs from a single pre-course assessment, no causal claims about instructional effectiveness can be drawn from Paper 1. Establishing causality requires paired pre-post data, which we plan to report in Paper 2.</w:t>
      </w:r>
    </w:p>
    <w:p>
      <w:pPr>
        <w:pStyle w:val="ListParagraph"/>
        <w:numPr>
          <w:ilvl w:val="0"/>
          <w:numId w:val="2"/>
        </w:numPr>
        <w:spacing w:line="360" w:after="100"/>
      </w:pPr>
      <w:r>
        <w:rPr>
          <w:rFonts w:ascii="Times New Roman" w:cs="Times New Roman" w:eastAsia="Times New Roman" w:hAnsi="Times New Roman"/>
          <w:b/>
          <w:bCs/>
          <w:sz w:val="24"/>
          <w:szCs w:val="24"/>
        </w:rPr>
        <w:t xml:space="preserve">SDM subsample conditioning.</w:t>
      </w:r>
      <w:r>
        <w:rPr>
          <w:rFonts w:ascii="Times New Roman" w:cs="Times New Roman" w:eastAsia="Times New Roman" w:hAnsi="Times New Roman"/>
          <w:sz w:val="24"/>
          <w:szCs w:val="24"/>
        </w:rPr>
        <w:t xml:space="preserve"> The SDM-10 open-ended items are administered only to students whose anchor responses triggered high-priority subcategories (incorrect + high confidence, or correct + low confidence). Misconception prevalence estimates reflect the tails of the confidence-accuracy distribution, not a random cross-section. Per-item coverage ranges from approximately 20% (Q32) to 90% (Q7). Extrapolation to the full cohort is only appropriate when item-level coverage exceeds 50%.</w:t>
      </w:r>
    </w:p>
    <w:p>
      <w:pPr>
        <w:pStyle w:val="ListParagraph"/>
        <w:numPr>
          <w:ilvl w:val="0"/>
          <w:numId w:val="2"/>
        </w:numPr>
        <w:spacing w:line="360" w:after="100"/>
      </w:pPr>
      <w:r>
        <w:rPr>
          <w:rFonts w:ascii="Times New Roman" w:cs="Times New Roman" w:eastAsia="Times New Roman" w:hAnsi="Times New Roman"/>
          <w:b/>
          <w:bCs/>
          <w:sz w:val="24"/>
          <w:szCs w:val="24"/>
        </w:rPr>
        <w:t xml:space="preserve">Single scoring model.</w:t>
      </w:r>
      <w:r>
        <w:rPr>
          <w:rFonts w:ascii="Times New Roman" w:cs="Times New Roman" w:eastAsia="Times New Roman" w:hAnsi="Times New Roman"/>
          <w:sz w:val="24"/>
          <w:szCs w:val="24"/>
        </w:rPr>
        <w:t xml:space="preserve"> A single LLM (GPT-4.1) classified all open-ended responses. We selected this model through an 11-model concordance protocol (Appendix D), and it achieved zero schema violations and zero parse errors across the 778 scored consented responses; nevertheless, automated classification may diverge from human judgment on borderline cases. The model assigned "high" confidence to 96.8% of its own classifications, which may indicate underutilization of the uncertainty channel. A human-AI agreement study on a stratified subsample would strengthen reliability evidence.</w:t>
      </w:r>
    </w:p>
    <w:p>
      <w:pPr>
        <w:pStyle w:val="ListParagraph"/>
        <w:numPr>
          <w:ilvl w:val="0"/>
          <w:numId w:val="2"/>
        </w:numPr>
        <w:spacing w:line="360" w:after="100"/>
      </w:pPr>
      <w:r>
        <w:rPr>
          <w:rFonts w:ascii="Times New Roman" w:cs="Times New Roman" w:eastAsia="Times New Roman" w:hAnsi="Times New Roman"/>
          <w:b/>
          <w:bCs/>
          <w:sz w:val="24"/>
          <w:szCs w:val="24"/>
        </w:rPr>
        <w:t xml:space="preserve">No publishable subgroup claims.</w:t>
      </w:r>
      <w:r>
        <w:rPr>
          <w:rFonts w:ascii="Times New Roman" w:cs="Times New Roman" w:eastAsia="Times New Roman" w:hAnsi="Times New Roman"/>
          <w:sz w:val="24"/>
          <w:szCs w:val="24"/>
        </w:rPr>
        <w:t xml:space="preserve"> Although the pre-course assessment collected demographic and financial background data, we defer all subgroup analyses (e.g., by gender, race/ethnicity, first-generation status) to Paper 2. We plan to submit an IRB application for human-subjects research; until approval is obtained, no subgroup comparisons or inferential claims appear in this report.</w:t>
      </w:r>
    </w:p>
    <w:p>
      <w:pPr>
        <w:pStyle w:val="ListParagraph"/>
        <w:numPr>
          <w:ilvl w:val="0"/>
          <w:numId w:val="2"/>
        </w:numPr>
        <w:spacing w:line="360" w:after="100"/>
      </w:pPr>
      <w:r>
        <w:rPr>
          <w:rFonts w:ascii="Times New Roman" w:cs="Times New Roman" w:eastAsia="Times New Roman" w:hAnsi="Times New Roman"/>
          <w:b/>
          <w:bCs/>
          <w:sz w:val="24"/>
          <w:szCs w:val="24"/>
        </w:rPr>
        <w:t xml:space="preserve">Possible lookup between anchor and SDM.</w:t>
      </w:r>
      <w:r>
        <w:rPr>
          <w:rFonts w:ascii="Times New Roman" w:cs="Times New Roman" w:eastAsia="Times New Roman" w:hAnsi="Times New Roman"/>
          <w:sz w:val="24"/>
          <w:szCs w:val="24"/>
        </w:rPr>
        <w:t xml:space="preserve"> The SDM-10 is administered immediately after the anchor assessment in the same session. Students may look up answers between the anchor and SDM items, potentially inflating SDM scores. The 100% SDM completion rate and the lower SDM mean score (64.4% vs. 67.0% anchor) provide some evidence against widespread lookup behavior, but the possibility cannot be excluded.</w:t>
      </w:r>
    </w:p>
    <w:p>
      <w:pPr>
        <w:pStyle w:val="ListParagraph"/>
        <w:numPr>
          <w:ilvl w:val="0"/>
          <w:numId w:val="2"/>
        </w:numPr>
        <w:spacing w:line="360" w:after="100"/>
      </w:pPr>
      <w:r>
        <w:rPr>
          <w:rFonts w:ascii="Times New Roman" w:cs="Times New Roman" w:eastAsia="Times New Roman" w:hAnsi="Times New Roman"/>
          <w:b/>
          <w:bCs/>
          <w:sz w:val="24"/>
          <w:szCs w:val="24"/>
        </w:rPr>
        <w:t xml:space="preserve">Consent attrition.</w:t>
      </w:r>
      <w:r>
        <w:rPr>
          <w:rFonts w:ascii="Times New Roman" w:cs="Times New Roman" w:eastAsia="Times New Roman" w:hAnsi="Times New Roman"/>
          <w:sz w:val="24"/>
          <w:szCs w:val="24"/>
        </w:rPr>
        <w:t xml:space="preserve"> Seventy-seven students (17.9% of the cohort) have NULL consent status because they completed the assessment before the research consent screen was deployed. No student actively opted out (see Section 5.1). We exclude the NULL cohort from all research analyses per standard practice (absence of affirmative consent is treated as non-consent). A representativeness check (Section 5.1) shows the consented sample is similar to the full cohort on score distribution and classification distributions, so consent-related selection bias is unlikely. However, the reduction from 431 to 354 students slightly reduces statistical power for item-level analyses with small cell sizes.</w:t>
      </w:r>
    </w:p>
    <w:p>
      <w:pPr>
        <w:pStyle w:val="ListParagraph"/>
        <w:numPr>
          <w:ilvl w:val="0"/>
          <w:numId w:val="2"/>
        </w:numPr>
        <w:spacing w:line="360" w:after="100"/>
      </w:pPr>
      <w:r>
        <w:rPr>
          <w:rFonts w:ascii="Times New Roman" w:cs="Times New Roman" w:eastAsia="Times New Roman" w:hAnsi="Times New Roman"/>
          <w:b/>
          <w:bCs/>
          <w:sz w:val="24"/>
          <w:szCs w:val="24"/>
        </w:rPr>
        <w:t xml:space="preserve">Legacy submission types.</w:t>
      </w:r>
      <w:r>
        <w:rPr>
          <w:rFonts w:ascii="Times New Roman" w:cs="Times New Roman" w:eastAsia="Times New Roman" w:hAnsi="Times New Roman"/>
          <w:sz w:val="24"/>
          <w:szCs w:val="24"/>
        </w:rPr>
        <w:t xml:space="preserve"> Legacy submission types resulting from technical adjustments during the first days of the assessment window account for approximately 20% of submissions. We reviewed and retained these submissions, but they may affect comparability for a subset of respondents.</w:t>
      </w:r>
    </w:p>
    <w:p>
      <w:pPr>
        <w:pStyle w:val="ListParagraph"/>
        <w:numPr>
          <w:ilvl w:val="0"/>
          <w:numId w:val="2"/>
        </w:numPr>
        <w:spacing w:line="360" w:after="100"/>
      </w:pPr>
      <w:r>
        <w:rPr>
          <w:rFonts w:ascii="Times New Roman" w:cs="Times New Roman" w:eastAsia="Times New Roman" w:hAnsi="Times New Roman"/>
          <w:b/>
          <w:bCs/>
          <w:sz w:val="24"/>
          <w:szCs w:val="24"/>
        </w:rPr>
        <w:t xml:space="preserve">Variant assignment mismatch.</w:t>
      </w:r>
      <w:r>
        <w:rPr>
          <w:rFonts w:ascii="Times New Roman" w:cs="Times New Roman" w:eastAsia="Times New Roman" w:hAnsi="Times New Roman"/>
          <w:sz w:val="24"/>
          <w:szCs w:val="24"/>
        </w:rPr>
        <w:t xml:space="preserve"> A software defect caused 40 mismatched SDM variant assignments across 36 students due to a stale anchor score synchronization issue. We identified and filtered the mismatched responses using an anchor_score and confidence cross-check. The bug was subsequently fixed, and the misconception taxonomy is unaffected because we verified that all analyzed responses correspond to correctly triggered variants.</w:t>
      </w:r>
    </w:p>
    <w:p>
      <w:pPr>
        <w:pStyle w:val="ListParagraph"/>
        <w:numPr>
          <w:ilvl w:val="0"/>
          <w:numId w:val="2"/>
        </w:numPr>
        <w:spacing w:line="360" w:after="100"/>
      </w:pPr>
      <w:r>
        <w:rPr>
          <w:rFonts w:ascii="Times New Roman" w:cs="Times New Roman" w:eastAsia="Times New Roman" w:hAnsi="Times New Roman"/>
          <w:b/>
          <w:bCs/>
          <w:sz w:val="24"/>
          <w:szCs w:val="24"/>
        </w:rPr>
        <w:t xml:space="preserve">Default consent selection.</w:t>
      </w:r>
      <w:r>
        <w:rPr>
          <w:rFonts w:ascii="Times New Roman" w:cs="Times New Roman" w:eastAsia="Times New Roman" w:hAnsi="Times New Roman"/>
          <w:sz w:val="24"/>
          <w:szCs w:val="24"/>
        </w:rPr>
        <w:t xml:space="preserve"> The research consent screen presented "Yes, I consent" as the default selection. While no student actively chose to decline (as noted in Section 5.1), the default-yes design may have inflated the consent rate through status quo bias. The consent rate (82.1%) should be interpreted with this limitation in mind. Paper 2 will use a forced active choice design with no default selection.</w:t>
      </w:r>
    </w:p>
    <w:p>
      <w:pPr>
        <w:pStyle w:val="Heading1"/>
        <w:pageBreakBefore/>
        <w:spacing w:before="480" w:after="240"/>
      </w:pPr>
      <w:r>
        <w:rPr>
          <w:rFonts w:ascii="Times New Roman" w:cs="Times New Roman" w:eastAsia="Times New Roman" w:hAnsi="Times New Roman"/>
          <w:sz w:val="24"/>
          <w:szCs w:val="24"/>
        </w:rPr>
        <w:t xml:space="preserve">10. Planned Validation Study (Paper 2 Protocol Preview)</w:t>
      </w:r>
    </w:p>
    <w:p>
      <w:pPr>
        <w:spacing w:line="360" w:after="200"/>
      </w:pPr>
      <w:r>
        <w:rPr>
          <w:rFonts w:ascii="Times New Roman" w:cs="Times New Roman" w:eastAsia="Times New Roman" w:hAnsi="Times New Roman"/>
          <w:b/>
          <w:bCs/>
          <w:sz w:val="24"/>
          <w:szCs w:val="24"/>
        </w:rPr>
        <w:t xml:space="preserve">Scope boundary.</w:t>
      </w:r>
      <w:r>
        <w:rPr>
          <w:rFonts w:ascii="Times New Roman" w:cs="Times New Roman" w:eastAsia="Times New Roman" w:hAnsi="Times New Roman"/>
          <w:sz w:val="24"/>
          <w:szCs w:val="24"/>
        </w:rPr>
        <w:t xml:space="preserve"> This independent study paper documents instrument and platform development and pilot operations. Confirmatory evaluation and publishable analyses are planned for a subsequent IRB-reviewed study. Nothing in this section should be read as asserting that IRB approval has been obtained or that the described analyses will necessarily be conducted.</w:t>
      </w:r>
    </w:p>
    <w:p>
      <w:pPr>
        <w:spacing w:line="360" w:after="200"/>
      </w:pPr>
      <w:r>
        <w:rPr>
          <w:rFonts w:ascii="Times New Roman" w:cs="Times New Roman" w:eastAsia="Times New Roman" w:hAnsi="Times New Roman"/>
          <w:sz w:val="24"/>
          <w:szCs w:val="24"/>
        </w:rPr>
        <w:t xml:space="preserve">The pilot deployment reported in Sections 4--7 produced several outputs that directly shape the planned Paper 2 design, including instrument revision targets (Section 7.6), a misconception taxonomy for pre-post coding (Appendix C), and baseline coverage estimates (Table 7.5) that inform statistical power for item-level comparisons.</w:t>
      </w:r>
    </w:p>
    <w:p>
      <w:pPr>
        <w:spacing w:line="360" w:after="200"/>
      </w:pPr>
      <w:r>
        <w:rPr>
          <w:rFonts w:ascii="Times New Roman" w:cs="Times New Roman" w:eastAsia="Times New Roman" w:hAnsi="Times New Roman"/>
          <w:sz w:val="24"/>
          <w:szCs w:val="24"/>
        </w:rPr>
        <w:t xml:space="preserve">If approved by the Loyola University Chicago IRB, the following study is planned. A post-course assessment would be administered during the last week of the Spring 2026 semester, using the same 40-item anchor assessment and SDM-10 module with an IRB-reviewed consent process for human-subjects research. Paired pre-post analyses would compute learning gains as the difference between post-course and pre-course scores for each student, both overall and by domain. Paired t-tests (or nonparametric equivalents) would assess the statistical significance of mean gains, with standardized effect sizes (within-student Cohen's d) reported.</w:t>
      </w:r>
    </w:p>
    <w:p>
      <w:pPr>
        <w:spacing w:line="360" w:after="200"/>
      </w:pPr>
      <w:r>
        <w:rPr>
          <w:rFonts w:ascii="Times New Roman" w:cs="Times New Roman" w:eastAsia="Times New Roman" w:hAnsi="Times New Roman"/>
          <w:sz w:val="24"/>
          <w:szCs w:val="24"/>
        </w:rPr>
        <w:t xml:space="preserve">A multivariable regression framework is planned to model heterogeneity in learning gains as a function of baseline covariates, including demographics, financial background, work status, financial stress, self-rated knowledge, prior product experience, and preference-item responses (Q15--Q28). Separate domain-specific models would reveal whether the predictors of learning gains differ across borrowing, investment, and risk management.</w:t>
      </w:r>
    </w:p>
    <w:p>
      <w:pPr>
        <w:spacing w:line="360" w:after="200"/>
      </w:pPr>
      <w:r>
        <w:rPr>
          <w:rFonts w:ascii="Times New Roman" w:cs="Times New Roman" w:eastAsia="Times New Roman" w:hAnsi="Times New Roman"/>
          <w:sz w:val="24"/>
          <w:szCs w:val="24"/>
        </w:rPr>
        <w:t xml:space="preserve">Psychometric validation is planned contingent on adequate sample size. Exploratory Factor Analysis would assess dimensionality within and across domains, Cronbach's alpha would evaluate internal consistency, and item-level statistics would identify items for refinement in future administrations. If IRB-approved, demographic and financial background subgroup comparisons (by gender, race/ethnicity, first-generation status, work experience, financial stress) would be reported with appropriate transparency practices for multiple comparisons.</w:t>
      </w:r>
    </w:p>
    <w:p>
      <w:pPr>
        <w:spacing w:line="360" w:after="200"/>
      </w:pPr>
      <w:r>
        <w:rPr>
          <w:rFonts w:ascii="Times New Roman" w:cs="Times New Roman" w:eastAsia="Times New Roman" w:hAnsi="Times New Roman"/>
          <w:sz w:val="24"/>
          <w:szCs w:val="24"/>
        </w:rPr>
        <w:t xml:space="preserve">A central component of Paper 2 would be the SDM-10 pre-post comparison. Pre-post changes in misconception prevalence, selection error rates, and the distribution of three-way classifications would be analyzed to assess whether instruction reduces specific misconception clusters and improves the alignment between student knowledge and item responses. Paper 2 would pre-specify which misconception codes from the taxonomy are expected to change, based on QUIN 102 curriculum coverage and the 10 recommendations in Table 8.1. Of particular interest is whether the instructional interventions targeting the five dominant misconception clusters identified in Section 7.5 produce measurable reductions in misconception prevalence, and whether the instrument revisions targeting high selection error items (Q36, Q10, Q9, Q14) reduce format-driven errors as predicted.</w:t>
      </w:r>
    </w:p>
    <w:p>
      <w:pPr>
        <w:spacing w:line="360" w:after="200"/>
      </w:pPr>
      <w:r>
        <w:rPr>
          <w:rFonts w:ascii="Times New Roman" w:cs="Times New Roman" w:eastAsia="Times New Roman" w:hAnsi="Times New Roman"/>
          <w:sz w:val="24"/>
          <w:szCs w:val="24"/>
        </w:rPr>
        <w:t xml:space="preserve">Subgroup analyses would examine whether learning gains vary by demographic and financial background characteristics, including gender, race/ethnicity, first-generation status, work experience, and financial stress. These analyses are contingent on IRB approval and would be reported with appropriate transparency practices for multiple comparisons, including false discovery rate adjustments where applicable.</w:t>
      </w:r>
    </w:p>
    <w:p>
      <w:pPr>
        <w:spacing w:line="360" w:after="200"/>
      </w:pPr>
      <w:r>
        <w:rPr>
          <w:rFonts w:ascii="Times New Roman" w:cs="Times New Roman" w:eastAsia="Times New Roman" w:hAnsi="Times New Roman"/>
          <w:sz w:val="24"/>
          <w:szCs w:val="24"/>
        </w:rPr>
        <w:t xml:space="preserve">The publishable evaluation would be conducted only on IRB-consented data. The existing consent infrastructure (Section 5.1) separates instructional use from research use; this separation would be maintained in the post-assessment. All student data would remain de-identified using the one-way hashing architecture described in Appendix F. No raw student identifiers would appear in any dataset or publication. To protect student privacy in subgroup analyses, Paper 2 would suppress any demographic cell with fewer than 10 observations, consistent with the suppression rule applied in Section 6.2. The post-assessment consent screen would implement a forced active choice design (no default selection) to address the status quo bias limitation identified in Section 9.</w:t>
      </w:r>
    </w:p>
    <w:p>
      <w:pPr>
        <w:pStyle w:val="Heading1"/>
        <w:pageBreakBefore/>
        <w:spacing w:before="480" w:after="240"/>
      </w:pPr>
      <w:r>
        <w:rPr>
          <w:rFonts w:ascii="Times New Roman" w:cs="Times New Roman" w:eastAsia="Times New Roman" w:hAnsi="Times New Roman"/>
          <w:sz w:val="24"/>
          <w:szCs w:val="24"/>
        </w:rPr>
        <w:t xml:space="preserve">References</w:t>
      </w:r>
    </w:p>
    <w:p>
      <w:pPr>
        <w:spacing w:line="360" w:after="200"/>
      </w:pPr>
      <w:r>
        <w:rPr>
          <w:rFonts w:ascii="Times New Roman" w:cs="Times New Roman" w:eastAsia="Times New Roman" w:hAnsi="Times New Roman"/>
          <w:sz w:val="24"/>
          <w:szCs w:val="24"/>
        </w:rPr>
        <w:t xml:space="preserve">Akers, B., &amp; Chingos, M. M. (2014). </w:t>
      </w:r>
      <w:r>
        <w:rPr>
          <w:rFonts w:ascii="Times New Roman" w:cs="Times New Roman" w:eastAsia="Times New Roman" w:hAnsi="Times New Roman"/>
          <w:i/>
          <w:iCs/>
          <w:sz w:val="24"/>
          <w:szCs w:val="24"/>
        </w:rPr>
        <w:t xml:space="preserve">Are college students borrowing blindly?</w:t>
      </w:r>
      <w:r>
        <w:rPr>
          <w:rFonts w:ascii="Times New Roman" w:cs="Times New Roman" w:eastAsia="Times New Roman" w:hAnsi="Times New Roman"/>
          <w:sz w:val="24"/>
          <w:szCs w:val="24"/>
        </w:rPr>
        <w:t xml:space="preserve"> Brookings Institution.</w:t>
      </w:r>
    </w:p>
    <w:p>
      <w:pPr>
        <w:spacing w:line="360" w:after="200"/>
      </w:pPr>
      <w:r>
        <w:rPr>
          <w:rFonts w:ascii="Times New Roman" w:cs="Times New Roman" w:eastAsia="Times New Roman" w:hAnsi="Times New Roman"/>
          <w:sz w:val="24"/>
          <w:szCs w:val="24"/>
        </w:rPr>
        <w:t xml:space="preserve">Allgood, S., &amp; Walstad, W. B. (2016). The effects of perceived and actual financial literacy on financial behaviors. </w:t>
      </w:r>
      <w:r>
        <w:rPr>
          <w:rFonts w:ascii="Times New Roman" w:cs="Times New Roman" w:eastAsia="Times New Roman" w:hAnsi="Times New Roman"/>
          <w:i/>
          <w:iCs/>
          <w:sz w:val="24"/>
          <w:szCs w:val="24"/>
        </w:rPr>
        <w:t xml:space="preserve">Economic Inquiry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54</w:t>
      </w:r>
      <w:r>
        <w:rPr>
          <w:rFonts w:ascii="Times New Roman" w:cs="Times New Roman" w:eastAsia="Times New Roman" w:hAnsi="Times New Roman"/>
          <w:sz w:val="24"/>
          <w:szCs w:val="24"/>
        </w:rPr>
        <w:t xml:space="preserve">(1), 675--697.</w:t>
      </w:r>
    </w:p>
    <w:p>
      <w:pPr>
        <w:spacing w:line="360" w:after="200"/>
      </w:pPr>
      <w:r>
        <w:rPr>
          <w:rFonts w:ascii="Times New Roman" w:cs="Times New Roman" w:eastAsia="Times New Roman" w:hAnsi="Times New Roman"/>
          <w:sz w:val="24"/>
          <w:szCs w:val="24"/>
        </w:rPr>
        <w:t xml:space="preserve">Chen, H., &amp; Volpe, R. P. (1998). An analysis of personal financial literacy among college students. </w:t>
      </w:r>
      <w:r>
        <w:rPr>
          <w:rFonts w:ascii="Times New Roman" w:cs="Times New Roman" w:eastAsia="Times New Roman" w:hAnsi="Times New Roman"/>
          <w:i/>
          <w:iCs/>
          <w:sz w:val="24"/>
          <w:szCs w:val="24"/>
        </w:rPr>
        <w:t xml:space="preserve">Financial Services Review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w:t>
      </w:r>
      <w:r>
        <w:rPr>
          <w:rFonts w:ascii="Times New Roman" w:cs="Times New Roman" w:eastAsia="Times New Roman" w:hAnsi="Times New Roman"/>
          <w:sz w:val="24"/>
          <w:szCs w:val="24"/>
        </w:rPr>
        <w:t xml:space="preserve">(2), 107--128.</w:t>
      </w:r>
    </w:p>
    <w:p>
      <w:pPr>
        <w:spacing w:line="360" w:after="200"/>
      </w:pPr>
      <w:r>
        <w:rPr>
          <w:rFonts w:ascii="Times New Roman" w:cs="Times New Roman" w:eastAsia="Times New Roman" w:hAnsi="Times New Roman"/>
          <w:sz w:val="24"/>
          <w:szCs w:val="24"/>
        </w:rPr>
        <w:t xml:space="preserve">Fernandes, D., Lynch, J. G., Jr., &amp; Netemeyer, R. G. (2014). Financial literacy, financial education, and downstream financial behaviors. </w:t>
      </w:r>
      <w:r>
        <w:rPr>
          <w:rFonts w:ascii="Times New Roman" w:cs="Times New Roman" w:eastAsia="Times New Roman" w:hAnsi="Times New Roman"/>
          <w:i/>
          <w:iCs/>
          <w:sz w:val="24"/>
          <w:szCs w:val="24"/>
        </w:rPr>
        <w:t xml:space="preserve">Management Science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60</w:t>
      </w:r>
      <w:r>
        <w:rPr>
          <w:rFonts w:ascii="Times New Roman" w:cs="Times New Roman" w:eastAsia="Times New Roman" w:hAnsi="Times New Roman"/>
          <w:sz w:val="24"/>
          <w:szCs w:val="24"/>
        </w:rPr>
        <w:t xml:space="preserve">(8), 1861--1883.</w:t>
      </w:r>
    </w:p>
    <w:p>
      <w:pPr>
        <w:spacing w:line="360" w:after="200"/>
      </w:pPr>
      <w:r>
        <w:rPr>
          <w:rFonts w:ascii="Times New Roman" w:cs="Times New Roman" w:eastAsia="Times New Roman" w:hAnsi="Times New Roman"/>
          <w:sz w:val="24"/>
          <w:szCs w:val="24"/>
        </w:rPr>
        <w:t xml:space="preserve">Flodén, J. (2025). Grading exams using large language models: A comparison between human and AI grading of exams in higher education using ChatGPT. </w:t>
      </w:r>
      <w:r>
        <w:rPr>
          <w:rFonts w:ascii="Times New Roman" w:cs="Times New Roman" w:eastAsia="Times New Roman" w:hAnsi="Times New Roman"/>
          <w:i/>
          <w:iCs/>
          <w:sz w:val="24"/>
          <w:szCs w:val="24"/>
        </w:rPr>
        <w:t xml:space="preserve">British Educational Research Journal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51</w:t>
      </w:r>
      <w:r>
        <w:rPr>
          <w:rFonts w:ascii="Times New Roman" w:cs="Times New Roman" w:eastAsia="Times New Roman" w:hAnsi="Times New Roman"/>
          <w:sz w:val="24"/>
          <w:szCs w:val="24"/>
        </w:rPr>
        <w:t xml:space="preserve">(1), 201--224.</w:t>
      </w:r>
    </w:p>
    <w:p>
      <w:pPr>
        <w:spacing w:line="360" w:after="200"/>
      </w:pPr>
      <w:r>
        <w:rPr>
          <w:rFonts w:ascii="Times New Roman" w:cs="Times New Roman" w:eastAsia="Times New Roman" w:hAnsi="Times New Roman"/>
          <w:sz w:val="24"/>
          <w:szCs w:val="24"/>
        </w:rPr>
        <w:t xml:space="preserve">Goyal, K., &amp; Kumar, S. (2021). Financial literacy: A systematic review and bibliometric analysis. </w:t>
      </w:r>
      <w:r>
        <w:rPr>
          <w:rFonts w:ascii="Times New Roman" w:cs="Times New Roman" w:eastAsia="Times New Roman" w:hAnsi="Times New Roman"/>
          <w:i/>
          <w:iCs/>
          <w:sz w:val="24"/>
          <w:szCs w:val="24"/>
        </w:rPr>
        <w:t xml:space="preserve">International Journal of Consumer Studies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45</w:t>
      </w:r>
      <w:r>
        <w:rPr>
          <w:rFonts w:ascii="Times New Roman" w:cs="Times New Roman" w:eastAsia="Times New Roman" w:hAnsi="Times New Roman"/>
          <w:sz w:val="24"/>
          <w:szCs w:val="24"/>
        </w:rPr>
        <w:t xml:space="preserve">(1), 80--105.</w:t>
      </w:r>
    </w:p>
    <w:p>
      <w:pPr>
        <w:spacing w:line="360" w:after="200"/>
      </w:pPr>
      <w:r>
        <w:rPr>
          <w:rFonts w:ascii="Times New Roman" w:cs="Times New Roman" w:eastAsia="Times New Roman" w:hAnsi="Times New Roman"/>
          <w:sz w:val="24"/>
          <w:szCs w:val="24"/>
        </w:rPr>
        <w:t xml:space="preserve">Hastings, J. S., Madrian, B. C., &amp; Skimmyhorn, W. L. (2013). Financial literacy, financial education, and economic outcomes. </w:t>
      </w:r>
      <w:r>
        <w:rPr>
          <w:rFonts w:ascii="Times New Roman" w:cs="Times New Roman" w:eastAsia="Times New Roman" w:hAnsi="Times New Roman"/>
          <w:i/>
          <w:iCs/>
          <w:sz w:val="24"/>
          <w:szCs w:val="24"/>
        </w:rPr>
        <w:t xml:space="preserve">Annual Review of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 347--373.</w:t>
      </w:r>
    </w:p>
    <w:p>
      <w:pPr>
        <w:spacing w:line="360" w:after="200"/>
      </w:pPr>
      <w:r>
        <w:rPr>
          <w:rFonts w:ascii="Times New Roman" w:cs="Times New Roman" w:eastAsia="Times New Roman" w:hAnsi="Times New Roman"/>
          <w:sz w:val="24"/>
          <w:szCs w:val="24"/>
        </w:rPr>
        <w:t xml:space="preserve">Huston, S. J. (2010). Measuring financial literacy. </w:t>
      </w:r>
      <w:r>
        <w:rPr>
          <w:rFonts w:ascii="Times New Roman" w:cs="Times New Roman" w:eastAsia="Times New Roman" w:hAnsi="Times New Roman"/>
          <w:i/>
          <w:iCs/>
          <w:sz w:val="24"/>
          <w:szCs w:val="24"/>
        </w:rPr>
        <w:t xml:space="preserve">Journal of Consumer Affairs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44</w:t>
      </w:r>
      <w:r>
        <w:rPr>
          <w:rFonts w:ascii="Times New Roman" w:cs="Times New Roman" w:eastAsia="Times New Roman" w:hAnsi="Times New Roman"/>
          <w:sz w:val="24"/>
          <w:szCs w:val="24"/>
        </w:rPr>
        <w:t xml:space="preserve">(2), 296--316.</w:t>
      </w:r>
    </w:p>
    <w:p>
      <w:pPr>
        <w:spacing w:line="360" w:after="200"/>
      </w:pPr>
      <w:r>
        <w:rPr>
          <w:rFonts w:ascii="Times New Roman" w:cs="Times New Roman" w:eastAsia="Times New Roman" w:hAnsi="Times New Roman"/>
          <w:sz w:val="24"/>
          <w:szCs w:val="24"/>
        </w:rPr>
        <w:t xml:space="preserve">Ipatova, E., &amp; Merheb, K. (2023). Re-examining the Dunning-Kruger effect: Objective vs. subjective financial literacy in the young and overconfident (SSRN Working Paper No. 4645450).</w:t>
      </w:r>
    </w:p>
    <w:p>
      <w:pPr>
        <w:spacing w:line="360" w:after="200"/>
      </w:pPr>
      <w:r>
        <w:rPr>
          <w:rFonts w:ascii="Times New Roman" w:cs="Times New Roman" w:eastAsia="Times New Roman" w:hAnsi="Times New Roman"/>
          <w:sz w:val="24"/>
          <w:szCs w:val="24"/>
        </w:rPr>
        <w:t xml:space="preserve">Kaiser, T., Lusardi, A., Menkhoff, L., &amp; Urban, C. (2022). Financial education affects financial knowledge and downstream behaviors.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145</w:t>
      </w:r>
      <w:r>
        <w:rPr>
          <w:rFonts w:ascii="Times New Roman" w:cs="Times New Roman" w:eastAsia="Times New Roman" w:hAnsi="Times New Roman"/>
          <w:sz w:val="24"/>
          <w:szCs w:val="24"/>
        </w:rPr>
        <w:t xml:space="preserve">(2), 255--272.</w:t>
      </w:r>
    </w:p>
    <w:p>
      <w:pPr>
        <w:spacing w:line="360" w:after="200"/>
      </w:pPr>
      <w:r>
        <w:rPr>
          <w:rFonts w:ascii="Times New Roman" w:cs="Times New Roman" w:eastAsia="Times New Roman" w:hAnsi="Times New Roman"/>
          <w:sz w:val="24"/>
          <w:szCs w:val="24"/>
        </w:rPr>
        <w:t xml:space="preserve">Kramer, M. M. (2016). Financial literacy, confidence and financial advice seeking. </w:t>
      </w:r>
      <w:r>
        <w:rPr>
          <w:rFonts w:ascii="Times New Roman" w:cs="Times New Roman" w:eastAsia="Times New Roman" w:hAnsi="Times New Roman"/>
          <w:i/>
          <w:iCs/>
          <w:sz w:val="24"/>
          <w:szCs w:val="24"/>
        </w:rPr>
        <w:t xml:space="preserve">Journal of Economic Behavior &amp; Organization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131</w:t>
      </w:r>
      <w:r>
        <w:rPr>
          <w:rFonts w:ascii="Times New Roman" w:cs="Times New Roman" w:eastAsia="Times New Roman" w:hAnsi="Times New Roman"/>
          <w:sz w:val="24"/>
          <w:szCs w:val="24"/>
        </w:rPr>
        <w:t xml:space="preserve">(Part A), 198--217.</w:t>
      </w:r>
    </w:p>
    <w:p>
      <w:pPr>
        <w:spacing w:line="360" w:after="200"/>
      </w:pPr>
      <w:r>
        <w:rPr>
          <w:rFonts w:ascii="Times New Roman" w:cs="Times New Roman" w:eastAsia="Times New Roman" w:hAnsi="Times New Roman"/>
          <w:sz w:val="24"/>
          <w:szCs w:val="24"/>
        </w:rPr>
        <w:t xml:space="preserve">Lusardi, A. (2019). Financial literacy and the need for financial education: Evidence and implications. </w:t>
      </w:r>
      <w:r>
        <w:rPr>
          <w:rFonts w:ascii="Times New Roman" w:cs="Times New Roman" w:eastAsia="Times New Roman" w:hAnsi="Times New Roman"/>
          <w:i/>
          <w:iCs/>
          <w:sz w:val="24"/>
          <w:szCs w:val="24"/>
        </w:rPr>
        <w:t xml:space="preserve">Swiss Journal of Economics and Statistics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155</w:t>
      </w:r>
      <w:r>
        <w:rPr>
          <w:rFonts w:ascii="Times New Roman" w:cs="Times New Roman" w:eastAsia="Times New Roman" w:hAnsi="Times New Roman"/>
          <w:sz w:val="24"/>
          <w:szCs w:val="24"/>
        </w:rPr>
        <w:t xml:space="preserve">, Article 1.</w:t>
      </w:r>
    </w:p>
    <w:p>
      <w:pPr>
        <w:spacing w:line="360" w:after="200"/>
      </w:pPr>
      <w:r>
        <w:rPr>
          <w:rFonts w:ascii="Times New Roman" w:cs="Times New Roman" w:eastAsia="Times New Roman" w:hAnsi="Times New Roman"/>
          <w:sz w:val="24"/>
          <w:szCs w:val="24"/>
        </w:rPr>
        <w:t xml:space="preserve">Lusardi, A., &amp; Mitchell, O. S. (2014). The economic importance of financial literacy: Theory and evidence. </w:t>
      </w:r>
      <w:r>
        <w:rPr>
          <w:rFonts w:ascii="Times New Roman" w:cs="Times New Roman" w:eastAsia="Times New Roman" w:hAnsi="Times New Roman"/>
          <w:i/>
          <w:iCs/>
          <w:sz w:val="24"/>
          <w:szCs w:val="24"/>
        </w:rPr>
        <w:t xml:space="preserve">Journal of Economic Literature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52</w:t>
      </w:r>
      <w:r>
        <w:rPr>
          <w:rFonts w:ascii="Times New Roman" w:cs="Times New Roman" w:eastAsia="Times New Roman" w:hAnsi="Times New Roman"/>
          <w:sz w:val="24"/>
          <w:szCs w:val="24"/>
        </w:rPr>
        <w:t xml:space="preserve">(1), 5--44.</w:t>
      </w:r>
    </w:p>
    <w:p>
      <w:pPr>
        <w:spacing w:line="360" w:after="200"/>
      </w:pPr>
      <w:r>
        <w:rPr>
          <w:rFonts w:ascii="Times New Roman" w:cs="Times New Roman" w:eastAsia="Times New Roman" w:hAnsi="Times New Roman"/>
          <w:sz w:val="24"/>
          <w:szCs w:val="24"/>
        </w:rPr>
        <w:t xml:space="preserve">Lusardi, A., &amp; Tufano, P. (2015). Debt literacy, financial experiences, and overindebtedness. </w:t>
      </w:r>
      <w:r>
        <w:rPr>
          <w:rFonts w:ascii="Times New Roman" w:cs="Times New Roman" w:eastAsia="Times New Roman" w:hAnsi="Times New Roman"/>
          <w:i/>
          <w:iCs/>
          <w:sz w:val="24"/>
          <w:szCs w:val="24"/>
        </w:rPr>
        <w:t xml:space="preserve">Journal of Pension Economics and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14</w:t>
      </w:r>
      <w:r>
        <w:rPr>
          <w:rFonts w:ascii="Times New Roman" w:cs="Times New Roman" w:eastAsia="Times New Roman" w:hAnsi="Times New Roman"/>
          <w:sz w:val="24"/>
          <w:szCs w:val="24"/>
        </w:rPr>
        <w:t xml:space="preserve">(4), 332--368.</w:t>
      </w:r>
    </w:p>
    <w:p>
      <w:pPr>
        <w:spacing w:line="360" w:after="200"/>
      </w:pPr>
      <w:r>
        <w:rPr>
          <w:rFonts w:ascii="Times New Roman" w:cs="Times New Roman" w:eastAsia="Times New Roman" w:hAnsi="Times New Roman"/>
          <w:sz w:val="24"/>
          <w:szCs w:val="24"/>
        </w:rPr>
        <w:t xml:space="preserve">Mandell, L., &amp; Klein, L. S. (2009). The impact of financial literacy education on subsequent financial behavior. </w:t>
      </w:r>
      <w:r>
        <w:rPr>
          <w:rFonts w:ascii="Times New Roman" w:cs="Times New Roman" w:eastAsia="Times New Roman" w:hAnsi="Times New Roman"/>
          <w:i/>
          <w:iCs/>
          <w:sz w:val="24"/>
          <w:szCs w:val="24"/>
        </w:rPr>
        <w:t xml:space="preserve">Journal of Financial Counseling and Planning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20</w:t>
      </w:r>
      <w:r>
        <w:rPr>
          <w:rFonts w:ascii="Times New Roman" w:cs="Times New Roman" w:eastAsia="Times New Roman" w:hAnsi="Times New Roman"/>
          <w:sz w:val="24"/>
          <w:szCs w:val="24"/>
        </w:rPr>
        <w:t xml:space="preserve">(1), 15--24.</w:t>
      </w:r>
    </w:p>
    <w:p>
      <w:pPr>
        <w:spacing w:line="360" w:after="200"/>
      </w:pPr>
      <w:r>
        <w:rPr>
          <w:rFonts w:ascii="Times New Roman" w:cs="Times New Roman" w:eastAsia="Times New Roman" w:hAnsi="Times New Roman"/>
          <w:sz w:val="24"/>
          <w:szCs w:val="24"/>
        </w:rPr>
        <w:t xml:space="preserve">Mizumoto, A., &amp; Eguchi, M. (2024). Large language models and automated essay scoring of English language learner writing: Insights into validity and reliability. </w:t>
      </w:r>
      <w:r>
        <w:rPr>
          <w:rFonts w:ascii="Times New Roman" w:cs="Times New Roman" w:eastAsia="Times New Roman" w:hAnsi="Times New Roman"/>
          <w:i/>
          <w:iCs/>
          <w:sz w:val="24"/>
          <w:szCs w:val="24"/>
        </w:rPr>
        <w:t xml:space="preserve">Computers and Education: Artificial Intelligence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w:t>
      </w:r>
      <w:r>
        <w:rPr>
          <w:rFonts w:ascii="Times New Roman" w:cs="Times New Roman" w:eastAsia="Times New Roman" w:hAnsi="Times New Roman"/>
          <w:sz w:val="24"/>
          <w:szCs w:val="24"/>
        </w:rPr>
        <w:t xml:space="preserve">, 100208.</w:t>
      </w:r>
    </w:p>
    <w:p>
      <w:pPr>
        <w:spacing w:line="360" w:after="200"/>
      </w:pPr>
      <w:r>
        <w:rPr>
          <w:rFonts w:ascii="Times New Roman" w:cs="Times New Roman" w:eastAsia="Times New Roman" w:hAnsi="Times New Roman"/>
          <w:sz w:val="24"/>
          <w:szCs w:val="24"/>
        </w:rPr>
        <w:t xml:space="preserve">OECD. (2022). </w:t>
      </w:r>
      <w:r>
        <w:rPr>
          <w:rFonts w:ascii="Times New Roman" w:cs="Times New Roman" w:eastAsia="Times New Roman" w:hAnsi="Times New Roman"/>
          <w:i/>
          <w:iCs/>
          <w:sz w:val="24"/>
          <w:szCs w:val="24"/>
        </w:rPr>
        <w:t xml:space="preserve">OECD/INFE toolkit for measuring financial literacy and financial inclusion 2022</w:t>
      </w:r>
      <w:r>
        <w:rPr>
          <w:rFonts w:ascii="Times New Roman" w:cs="Times New Roman" w:eastAsia="Times New Roman" w:hAnsi="Times New Roman"/>
          <w:sz w:val="24"/>
          <w:szCs w:val="24"/>
        </w:rPr>
        <w:t xml:space="preserve">. OECD Publishing.</w:t>
      </w:r>
    </w:p>
    <w:p>
      <w:pPr>
        <w:spacing w:line="360" w:after="200"/>
      </w:pPr>
      <w:r>
        <w:rPr>
          <w:rFonts w:ascii="Times New Roman" w:cs="Times New Roman" w:eastAsia="Times New Roman" w:hAnsi="Times New Roman"/>
          <w:sz w:val="24"/>
          <w:szCs w:val="24"/>
        </w:rPr>
        <w:t xml:space="preserve">Olivos, F., Kamelski, T., &amp; Ascui-Gac, S. (2025). Assessing instructor-AI cooperation for grading essay-type questions in an introductory sociology course. </w:t>
      </w:r>
      <w:r>
        <w:rPr>
          <w:rFonts w:ascii="Times New Roman" w:cs="Times New Roman" w:eastAsia="Times New Roman" w:hAnsi="Times New Roman"/>
          <w:i/>
          <w:iCs/>
          <w:sz w:val="24"/>
          <w:szCs w:val="24"/>
        </w:rPr>
        <w:t xml:space="preserve">Teaching Sociology</w:t>
      </w:r>
      <w:r>
        <w:rPr>
          <w:rFonts w:ascii="Times New Roman" w:cs="Times New Roman" w:eastAsia="Times New Roman" w:hAnsi="Times New Roman"/>
          <w:sz w:val="24"/>
          <w:szCs w:val="24"/>
        </w:rPr>
        <w:t xml:space="preserve">. Advance online publication. https://doi.org/10.1177/0092055X251397371</w:t>
      </w:r>
    </w:p>
    <w:p>
      <w:pPr>
        <w:spacing w:line="360" w:after="200"/>
      </w:pPr>
      <w:r>
        <w:rPr>
          <w:rFonts w:ascii="Times New Roman" w:cs="Times New Roman" w:eastAsia="Times New Roman" w:hAnsi="Times New Roman"/>
          <w:sz w:val="24"/>
          <w:szCs w:val="24"/>
        </w:rPr>
        <w:t xml:space="preserve">Porto, N., &amp; Xiao, J. J. (2016). Financial literacy overconfidence and financial advice seeking. </w:t>
      </w:r>
      <w:r>
        <w:rPr>
          <w:rFonts w:ascii="Times New Roman" w:cs="Times New Roman" w:eastAsia="Times New Roman" w:hAnsi="Times New Roman"/>
          <w:i/>
          <w:iCs/>
          <w:sz w:val="24"/>
          <w:szCs w:val="24"/>
        </w:rPr>
        <w:t xml:space="preserve">Journal of Financial Service Professionals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70</w:t>
      </w:r>
      <w:r>
        <w:rPr>
          <w:rFonts w:ascii="Times New Roman" w:cs="Times New Roman" w:eastAsia="Times New Roman" w:hAnsi="Times New Roman"/>
          <w:sz w:val="24"/>
          <w:szCs w:val="24"/>
        </w:rPr>
        <w:t xml:space="preserve">(4), 78--88.</w:t>
      </w:r>
    </w:p>
    <w:p>
      <w:pPr>
        <w:spacing w:line="360" w:after="200"/>
      </w:pPr>
      <w:r>
        <w:rPr>
          <w:rFonts w:ascii="Times New Roman" w:cs="Times New Roman" w:eastAsia="Times New Roman" w:hAnsi="Times New Roman"/>
          <w:sz w:val="24"/>
          <w:szCs w:val="24"/>
        </w:rPr>
        <w:t xml:space="preserve">Robb, C. A., &amp; Woodyard, A. (2011). Financial knowledge and best practice behavior. </w:t>
      </w:r>
      <w:r>
        <w:rPr>
          <w:rFonts w:ascii="Times New Roman" w:cs="Times New Roman" w:eastAsia="Times New Roman" w:hAnsi="Times New Roman"/>
          <w:i/>
          <w:iCs/>
          <w:sz w:val="24"/>
          <w:szCs w:val="24"/>
        </w:rPr>
        <w:t xml:space="preserve">Journal of Financial Counseling and Planning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22</w:t>
      </w:r>
      <w:r>
        <w:rPr>
          <w:rFonts w:ascii="Times New Roman" w:cs="Times New Roman" w:eastAsia="Times New Roman" w:hAnsi="Times New Roman"/>
          <w:sz w:val="24"/>
          <w:szCs w:val="24"/>
        </w:rPr>
        <w:t xml:space="preserve">(1), 60--70.</w:t>
      </w:r>
    </w:p>
    <w:p>
      <w:pPr>
        <w:spacing w:line="360" w:after="200"/>
      </w:pPr>
      <w:r>
        <w:rPr>
          <w:rFonts w:ascii="Times New Roman" w:cs="Times New Roman" w:eastAsia="Times New Roman" w:hAnsi="Times New Roman"/>
          <w:sz w:val="24"/>
          <w:szCs w:val="24"/>
        </w:rPr>
        <w:t xml:space="preserve">Stango, V., &amp; Zinman, J. (2009). Exponential growth bias and household finance. </w:t>
      </w:r>
      <w:r>
        <w:rPr>
          <w:rFonts w:ascii="Times New Roman" w:cs="Times New Roman" w:eastAsia="Times New Roman" w:hAnsi="Times New Roman"/>
          <w:i/>
          <w:iCs/>
          <w:sz w:val="24"/>
          <w:szCs w:val="24"/>
        </w:rPr>
        <w:t xml:space="preserve">Journal of Finance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64</w:t>
      </w:r>
      <w:r>
        <w:rPr>
          <w:rFonts w:ascii="Times New Roman" w:cs="Times New Roman" w:eastAsia="Times New Roman" w:hAnsi="Times New Roman"/>
          <w:sz w:val="24"/>
          <w:szCs w:val="24"/>
        </w:rPr>
        <w:t xml:space="preserve">(6), 2807--2849.</w:t>
      </w:r>
    </w:p>
    <w:p>
      <w:pPr>
        <w:spacing w:line="360" w:after="200"/>
      </w:pPr>
      <w:r>
        <w:rPr>
          <w:rFonts w:ascii="Times New Roman" w:cs="Times New Roman" w:eastAsia="Times New Roman" w:hAnsi="Times New Roman"/>
          <w:sz w:val="24"/>
          <w:szCs w:val="24"/>
        </w:rPr>
        <w:t xml:space="preserve">van Rooij, M., Lusardi, A., &amp; Alessie, R. (2011). Financial literacy and stock market participation. </w:t>
      </w:r>
      <w:r>
        <w:rPr>
          <w:rFonts w:ascii="Times New Roman" w:cs="Times New Roman" w:eastAsia="Times New Roman" w:hAnsi="Times New Roman"/>
          <w:i/>
          <w:iCs/>
          <w:sz w:val="24"/>
          <w:szCs w:val="24"/>
        </w:rPr>
        <w:t xml:space="preserve">Journal of Financial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101</w:t>
      </w:r>
      <w:r>
        <w:rPr>
          <w:rFonts w:ascii="Times New Roman" w:cs="Times New Roman" w:eastAsia="Times New Roman" w:hAnsi="Times New Roman"/>
          <w:sz w:val="24"/>
          <w:szCs w:val="24"/>
        </w:rPr>
        <w:t xml:space="preserve">(2), 449--472.</w:t>
      </w:r>
    </w:p>
    <w:p>
      <w:pPr>
        <w:spacing w:line="360" w:after="200"/>
      </w:pPr>
      <w:r>
        <w:rPr>
          <w:rFonts w:ascii="Times New Roman" w:cs="Times New Roman" w:eastAsia="Times New Roman" w:hAnsi="Times New Roman"/>
          <w:sz w:val="24"/>
          <w:szCs w:val="24"/>
        </w:rPr>
        <w:t xml:space="preserve">Wagner, J., &amp; Walstad, W. B. (2019). The effects of financial education on short-term and long-term financial behaviors. </w:t>
      </w:r>
      <w:r>
        <w:rPr>
          <w:rFonts w:ascii="Times New Roman" w:cs="Times New Roman" w:eastAsia="Times New Roman" w:hAnsi="Times New Roman"/>
          <w:i/>
          <w:iCs/>
          <w:sz w:val="24"/>
          <w:szCs w:val="24"/>
        </w:rPr>
        <w:t xml:space="preserve">Journal of Consumer Affairs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53</w:t>
      </w:r>
      <w:r>
        <w:rPr>
          <w:rFonts w:ascii="Times New Roman" w:cs="Times New Roman" w:eastAsia="Times New Roman" w:hAnsi="Times New Roman"/>
          <w:sz w:val="24"/>
          <w:szCs w:val="24"/>
        </w:rPr>
        <w:t xml:space="preserve">(1), 234--259.</w:t>
      </w:r>
    </w:p>
    <w:p>
      <w:pPr>
        <w:spacing w:line="360" w:after="200"/>
      </w:pPr>
      <w:r>
        <w:rPr>
          <w:rFonts w:ascii="Times New Roman" w:cs="Times New Roman" w:eastAsia="Times New Roman" w:hAnsi="Times New Roman"/>
          <w:sz w:val="24"/>
          <w:szCs w:val="24"/>
        </w:rPr>
        <w:t xml:space="preserve">Willis, L. E. (2011). The financial education fallacy. </w:t>
      </w:r>
      <w:r>
        <w:rPr>
          <w:rFonts w:ascii="Times New Roman" w:cs="Times New Roman" w:eastAsia="Times New Roman" w:hAnsi="Times New Roman"/>
          <w:i/>
          <w:iCs/>
          <w:sz w:val="24"/>
          <w:szCs w:val="24"/>
        </w:rPr>
        <w:t xml:space="preserve">American Economic Review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101</w:t>
      </w:r>
      <w:r>
        <w:rPr>
          <w:rFonts w:ascii="Times New Roman" w:cs="Times New Roman" w:eastAsia="Times New Roman" w:hAnsi="Times New Roman"/>
          <w:sz w:val="24"/>
          <w:szCs w:val="24"/>
        </w:rPr>
        <w:t xml:space="preserve">(3), 429--434.</w:t>
      </w:r>
    </w:p>
    <w:p>
      <w:pPr>
        <w:spacing w:line="360" w:after="200"/>
      </w:pPr>
      <w:r>
        <w:rPr>
          <w:rFonts w:ascii="Times New Roman" w:cs="Times New Roman" w:eastAsia="Times New Roman" w:hAnsi="Times New Roman"/>
          <w:sz w:val="24"/>
          <w:szCs w:val="24"/>
        </w:rPr>
        <w:t xml:space="preserve">Yavuz, F. (2025). Utilizing large language models for EFL essay grading: An examination of reliability and validity in rubric-based assessments. </w:t>
      </w:r>
      <w:r>
        <w:rPr>
          <w:rFonts w:ascii="Times New Roman" w:cs="Times New Roman" w:eastAsia="Times New Roman" w:hAnsi="Times New Roman"/>
          <w:i/>
          <w:iCs/>
          <w:sz w:val="24"/>
          <w:szCs w:val="24"/>
        </w:rPr>
        <w:t xml:space="preserve">British Journal of Educational Technology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56</w:t>
      </w:r>
      <w:r>
        <w:rPr>
          <w:rFonts w:ascii="Times New Roman" w:cs="Times New Roman" w:eastAsia="Times New Roman" w:hAnsi="Times New Roman"/>
          <w:sz w:val="24"/>
          <w:szCs w:val="24"/>
        </w:rPr>
        <w:t xml:space="preserve">(2), 487--506.</w:t>
      </w:r>
    </w:p>
    <w:p>
      <w:pPr>
        <w:pStyle w:val="Heading1"/>
        <w:pageBreakBefore/>
        <w:spacing w:before="480" w:after="240"/>
      </w:pPr>
      <w:r>
        <w:rPr>
          <w:rFonts w:ascii="Times New Roman" w:cs="Times New Roman" w:eastAsia="Times New Roman" w:hAnsi="Times New Roman"/>
          <w:sz w:val="24"/>
          <w:szCs w:val="24"/>
        </w:rPr>
        <w:t xml:space="preserve">Declaration of AI and AI-Assisted Technologies</w:t>
      </w:r>
    </w:p>
    <w:p>
      <w:pPr>
        <w:spacing w:line="360" w:after="200"/>
      </w:pPr>
      <w:r>
        <w:rPr>
          <w:rFonts w:ascii="Times New Roman" w:cs="Times New Roman" w:eastAsia="Times New Roman" w:hAnsi="Times New Roman"/>
          <w:sz w:val="24"/>
          <w:szCs w:val="24"/>
        </w:rPr>
        <w:t xml:space="preserve">This study employed AI tools in three capacities, disclosed here in accordance with current best-practice guidelines for transparency in academic publishing.</w:t>
      </w:r>
    </w:p>
    <w:p>
      <w:pPr>
        <w:pStyle w:val="ListParagraph"/>
        <w:numPr>
          <w:ilvl w:val="0"/>
          <w:numId w:val="2"/>
        </w:numPr>
        <w:spacing w:line="360" w:after="100"/>
      </w:pPr>
      <w:r>
        <w:rPr>
          <w:rFonts w:ascii="Times New Roman" w:cs="Times New Roman" w:eastAsia="Times New Roman" w:hAnsi="Times New Roman"/>
          <w:b/>
          <w:bCs/>
          <w:sz w:val="24"/>
          <w:szCs w:val="24"/>
        </w:rPr>
        <w:t xml:space="preserve">Assessment platform development.</w:t>
      </w:r>
      <w:r>
        <w:rPr>
          <w:rFonts w:ascii="Times New Roman" w:cs="Times New Roman" w:eastAsia="Times New Roman" w:hAnsi="Times New Roman"/>
          <w:sz w:val="24"/>
          <w:szCs w:val="24"/>
        </w:rPr>
        <w:t xml:space="preserve"> AI-assisted coding tools (GitHub Copilot, Claude Code) were used during development of the web-based assessment platform to accelerate implementation of the user interface, data collection logic, and adaptive routing algorithm. All platform functionality was independently tested and validated by the research team prior to deployment. The complete source code is publicly available for inspection in the project repository (Bolivard, 2026).</w:t>
      </w:r>
    </w:p>
    <w:p>
      <w:pPr>
        <w:pStyle w:val="ListParagraph"/>
        <w:numPr>
          <w:ilvl w:val="0"/>
          <w:numId w:val="2"/>
        </w:numPr>
        <w:spacing w:line="360" w:after="100"/>
      </w:pPr>
      <w:r>
        <w:rPr>
          <w:rFonts w:ascii="Times New Roman" w:cs="Times New Roman" w:eastAsia="Times New Roman" w:hAnsi="Times New Roman"/>
          <w:b/>
          <w:bCs/>
          <w:sz w:val="24"/>
          <w:szCs w:val="24"/>
        </w:rPr>
        <w:t xml:space="preserve">Open-ended response scoring.</w:t>
      </w:r>
      <w:r>
        <w:rPr>
          <w:rFonts w:ascii="Times New Roman" w:cs="Times New Roman" w:eastAsia="Times New Roman" w:hAnsi="Times New Roman"/>
          <w:sz w:val="24"/>
          <w:szCs w:val="24"/>
        </w:rPr>
        <w:t xml:space="preserve"> GPT-4.1 (OpenAI), accessed via the OpenRouter API, served as the automated scoring engine for classifying open-ended student responses into the three-way taxonomy (misconception, knowledge gap, selection error). The model was selected from among 11 candidate LLMs through a multi-model concordance protocol (Appendix D). The scoring rubric, item-specific prompts, misconception taxonomy, and calibration examples were developed entirely by the research team based on manual analysis of student responses. Low-confidence classifications were flagged for human adjudication by the course instructor. This methodological use of LLM-based scoring follows established practices in educational assessment (Mizumoto &amp; Eguchi, 2024; Yavuz, 2025) and is detailed in Section 4.4.</w:t>
      </w:r>
    </w:p>
    <w:p>
      <w:pPr>
        <w:pStyle w:val="ListParagraph"/>
        <w:numPr>
          <w:ilvl w:val="0"/>
          <w:numId w:val="2"/>
        </w:numPr>
        <w:spacing w:line="360" w:after="100"/>
      </w:pPr>
      <w:r>
        <w:rPr>
          <w:rFonts w:ascii="Times New Roman" w:cs="Times New Roman" w:eastAsia="Times New Roman" w:hAnsi="Times New Roman"/>
          <w:b/>
          <w:bCs/>
          <w:sz w:val="24"/>
          <w:szCs w:val="24"/>
        </w:rPr>
        <w:t xml:space="preserve">Manuscript preparation.</w:t>
      </w:r>
      <w:r>
        <w:rPr>
          <w:rFonts w:ascii="Times New Roman" w:cs="Times New Roman" w:eastAsia="Times New Roman" w:hAnsi="Times New Roman"/>
          <w:sz w:val="24"/>
          <w:szCs w:val="24"/>
        </w:rPr>
        <w:t xml:space="preserve"> Generative AI tools assisted with drafting, editing, and formatting portions of this manuscript. All content was reviewed, revised, and verified by the author, who takes full responsibility for the accuracy and integrity of the publication.</w:t>
      </w:r>
    </w:p>
    <w:p>
      <w:pPr>
        <w:pStyle w:val="Heading1"/>
        <w:pageBreakBefore/>
        <w:spacing w:before="480" w:after="240"/>
      </w:pPr>
      <w:r>
        <w:rPr>
          <w:rFonts w:ascii="Times New Roman" w:cs="Times New Roman" w:eastAsia="Times New Roman" w:hAnsi="Times New Roman"/>
          <w:sz w:val="24"/>
          <w:szCs w:val="24"/>
        </w:rPr>
        <w:t xml:space="preserve">Appendix A: SDM-10 Selection Algorithm and Burden Controls</w:t>
      </w:r>
    </w:p>
    <w:p>
      <w:pPr>
        <w:pStyle w:val="Heading2"/>
        <w:spacing w:before="360" w:after="180"/>
      </w:pPr>
      <w:r>
        <w:rPr>
          <w:rFonts w:ascii="Times New Roman" w:cs="Times New Roman" w:eastAsia="Times New Roman" w:hAnsi="Times New Roman"/>
          <w:sz w:val="24"/>
          <w:szCs w:val="24"/>
        </w:rPr>
        <w:t xml:space="preserve">Table A.1: SDM-10 Selection and Burden Controls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Control</w:t>
            </w:r>
          </w:p>
        </w:tc>
        <w:tc>
          <w:tcPr>
            <w:tcW w:type="dxa" w:w="468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Rule</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SDM size</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Target 10 items after the 40 anchor questions (5--10 delivered depending on available high-priority subcategories)</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Selection basis</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Ranked by diagnostic priority score (0--5) at subcategory level</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Domain balance</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At least 2 items per domain (borrowing/credit, investment, risk management)</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Subcategory cap</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Max 2 SDM items per subcategory</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Open-ended cap</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Max 3 open-ended items per student</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Format fallback</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When open-ended cap reached: Open_Diagnose → Lower_MCQ, Open_Confirm → Same_MCQ</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Item source</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Pre-written 156-variant item bank only; no generated questions</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Grading</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SDM-10 is diagnostic only; grade from 40 anchors only</w:t>
            </w:r>
          </w:p>
        </w:tc>
      </w:tr>
      <w:tr>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Primary outcomes</w:t>
            </w:r>
          </w:p>
        </w:tc>
        <w:tc>
          <w:tcPr>
            <w:tcW w:type="dxa" w:w="468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RQ1/RQ2 use 26 anchor knowledge items; SDM-10 is secondary diagnostic output</w:t>
            </w:r>
          </w:p>
        </w:tc>
      </w:tr>
    </w:tbl>
    <w:p>
      <w:pPr>
        <w:spacing w:after="200"/>
      </w:pPr>
    </w:p>
    <w:p>
      <w:pPr>
        <w:pStyle w:val="Heading2"/>
        <w:spacing w:before="360" w:after="180"/>
      </w:pPr>
      <w:r>
        <w:rPr>
          <w:rFonts w:ascii="Times New Roman" w:cs="Times New Roman" w:eastAsia="Times New Roman" w:hAnsi="Times New Roman"/>
          <w:sz w:val="24"/>
          <w:szCs w:val="24"/>
        </w:rPr>
        <w:t xml:space="preserve">Table A.2: Diagnostic Priority Score Mapping (Correctness x Confidence x Format)</w:t>
      </w:r>
    </w:p>
    <w:p>
      <w:pPr>
        <w:spacing w:line="360" w:after="200"/>
      </w:pPr>
      <w:r>
        <w:rPr>
          <w:rFonts w:ascii="Times New Roman" w:cs="Times New Roman" w:eastAsia="Times New Roman" w:hAnsi="Times New Roman"/>
          <w:sz w:val="24"/>
          <w:szCs w:val="24"/>
        </w:rPr>
        <w:t xml:space="preserve">The diagnostic priority score quantifies residual uncertainty about a student's understanding in each subcategory. Higher values indicate greater need for diagnostic follow-up. The format-aware adjustment reflects differential guessing probability (50% for True/False vs. ~25% for MCQ).</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Confidence</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Correct (MCQ)</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Correct (T/F)</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Incorrect (MCQ)</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Incorrect (T/F)</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 (Low)</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 (Mid)</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 (High)</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r>
    </w:tbl>
    <w:p>
      <w:pPr>
        <w:spacing w:after="200"/>
      </w:pPr>
    </w:p>
    <w:p>
      <w:pPr>
        <w:pStyle w:val="Heading2"/>
        <w:spacing w:before="360" w:after="180"/>
      </w:pPr>
      <w:r>
        <w:rPr>
          <w:rFonts w:ascii="Times New Roman" w:cs="Times New Roman" w:eastAsia="Times New Roman" w:hAnsi="Times New Roman"/>
          <w:sz w:val="24"/>
          <w:szCs w:val="24"/>
        </w:rPr>
        <w:t xml:space="preserve">Table A.3: Variant Type Assignment Rules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Anchor Pattern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Variant Type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Format</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Diagnostic Goal</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Incorrect + High confidence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Open_Diagnose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Open-ended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Surface and classify misconception</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Incorrect + Mid confidence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Lower_MCQ</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Multiple choice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Test foundational understanding</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Incorrect + Low confidence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Lower_TF</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True/False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Confirm basic concept recognition</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Correct + Low confidence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Open_Confirm</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Open-ended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Verify understanding vs. lucky guess</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Correct + Mid confidence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Same_MCQ</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Multiple choice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Confirm at parallel difficulty</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Correct + High confidence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Higher_MCQ</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Multiple choice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Probe deeper application</w:t>
            </w:r>
          </w:p>
        </w:tc>
      </w:tr>
    </w:tbl>
    <w:p>
      <w:pPr>
        <w:spacing w:after="200"/>
      </w:pPr>
    </w:p>
    <w:p>
      <w:pPr>
        <w:pStyle w:val="Heading2"/>
        <w:spacing w:before="360" w:after="180"/>
      </w:pPr>
      <w:r>
        <w:rPr>
          <w:rFonts w:ascii="Times New Roman" w:cs="Times New Roman" w:eastAsia="Times New Roman" w:hAnsi="Times New Roman"/>
          <w:sz w:val="24"/>
          <w:szCs w:val="24"/>
        </w:rPr>
        <w:t xml:space="preserve">Table A.4: Three-Phase Selection Algorithm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Phase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Purpose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Logic</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Phase 1: Domain minimums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Ensure coverage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 highest-priority item from each domain until each has &gt;= 2 items</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Phase 2: Priority-based filling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Maximize diagnostic value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Fill remaining slots in descending diagnostic priority order with 5-level tiebreaker</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Phase 3: Understanding-verification fallback</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Avoid empty slots</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If fewer than 10 subcategories are flagged for follow-up, add understanding-verification items (labeled </w:t>
            </w:r>
            <w:r>
              <w:rPr>
                <w:rFonts w:ascii="Courier New" w:cs="Courier New" w:eastAsia="Courier New" w:hAnsi="Courier New"/>
                <w:sz w:val="22"/>
                <w:szCs w:val="22"/>
              </w:rPr>
              <w:t xml:space="preserve">mastery</w:t>
            </w:r>
            <w:r>
              <w:rPr>
                <w:rFonts w:ascii="Times New Roman" w:cs="Times New Roman" w:eastAsia="Times New Roman" w:hAnsi="Times New Roman"/>
                <w:sz w:val="22"/>
                <w:szCs w:val="22"/>
              </w:rPr>
              <w:t xml:space="preserve"> in the codebase) from strongest subcategories</w:t>
            </w:r>
          </w:p>
        </w:tc>
      </w:tr>
    </w:tbl>
    <w:p>
      <w:pPr>
        <w:spacing w:after="200"/>
      </w:pPr>
    </w:p>
    <w:p>
      <w:pPr>
        <w:pStyle w:val="Heading2"/>
        <w:spacing w:before="360" w:after="180"/>
      </w:pPr>
      <w:r>
        <w:rPr>
          <w:rFonts w:ascii="Times New Roman" w:cs="Times New Roman" w:eastAsia="Times New Roman" w:hAnsi="Times New Roman"/>
          <w:sz w:val="24"/>
          <w:szCs w:val="24"/>
        </w:rPr>
        <w:t xml:space="preserve">Table A.5: Tiebreaker Hierarchy (When Diagnostic Priority Scores Are Equal)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Priority</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Criterion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Rule</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Domain deficit</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Favor domain with fewer items already selected</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Format priority</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True/False prioritized over MCQ (reduces guessing)</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Subcategory spread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Max 2 items per subcategory</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Domain order</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 Investment → Risk Management</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Seeded random</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Deterministic tie resolution using student hash</w:t>
            </w:r>
          </w:p>
        </w:tc>
      </w:tr>
    </w:tbl>
    <w:p>
      <w:pPr>
        <w:spacing w:after="200"/>
      </w:pPr>
    </w:p>
    <w:p>
      <w:pPr>
        <w:pStyle w:val="Heading2"/>
        <w:spacing w:before="360" w:after="180"/>
      </w:pPr>
      <w:r>
        <w:rPr>
          <w:rFonts w:ascii="Times New Roman" w:cs="Times New Roman" w:eastAsia="Times New Roman" w:hAnsi="Times New Roman"/>
          <w:sz w:val="24"/>
          <w:szCs w:val="24"/>
        </w:rPr>
        <w:t xml:space="preserve">Table A.6: Three-Way Classification Decision Tree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Step</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Condition</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Classification</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Blank, "I don't know," or too short to interpret?</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Knowledge gap</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Correct reasoning despite wrong anchor answer?</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Selection error</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Student self-corrects in explanation?</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Selection error</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Specific wrong mental model identified?</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Misconception (assign Layer 1 + Layer 2 codes)</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Vague reasoning, no identifiable pattern?</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Knowledge gap</w:t>
            </w:r>
          </w:p>
        </w:tc>
      </w:tr>
    </w:tbl>
    <w:p>
      <w:pPr>
        <w:spacing w:after="200"/>
      </w:pPr>
    </w:p>
    <w:p>
      <w:pPr>
        <w:pStyle w:val="Heading1"/>
        <w:pageBreakBefore/>
        <w:spacing w:before="480" w:after="240"/>
      </w:pPr>
      <w:r>
        <w:rPr>
          <w:rFonts w:ascii="Times New Roman" w:cs="Times New Roman" w:eastAsia="Times New Roman" w:hAnsi="Times New Roman"/>
          <w:sz w:val="24"/>
          <w:szCs w:val="24"/>
        </w:rPr>
        <w:t xml:space="preserve">Appendix B: Assessment Items (Full Question Bank)</w:t>
      </w:r>
    </w:p>
    <w:p>
      <w:pPr>
        <w:pStyle w:val="Heading2"/>
        <w:spacing w:before="360" w:after="180"/>
      </w:pPr>
      <w:r>
        <w:rPr>
          <w:rFonts w:ascii="Times New Roman" w:cs="Times New Roman" w:eastAsia="Times New Roman" w:hAnsi="Times New Roman"/>
          <w:sz w:val="24"/>
          <w:szCs w:val="24"/>
        </w:rPr>
        <w:t xml:space="preserve">Table B.1: Assessment Questions with Categories and Subcategories</w:t>
      </w:r>
    </w:p>
    <w:p>
      <w:pPr>
        <w:spacing w:line="360" w:after="200"/>
      </w:pPr>
      <w:r>
        <w:rPr>
          <w:rFonts w:ascii="Times New Roman" w:cs="Times New Roman" w:eastAsia="Times New Roman" w:hAnsi="Times New Roman"/>
          <w:sz w:val="24"/>
          <w:szCs w:val="24"/>
        </w:rPr>
        <w:t xml:space="preserve">Q15--Q28 are preference items (unscored).</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Category</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Subcategory</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Count</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Q#</w:t>
            </w:r>
          </w:p>
        </w:tc>
        <w:tc>
          <w:tcPr>
            <w:tcW w:type="dxa" w:w="1872"/>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Scored</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Baseline Covariates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Demographic Characteristics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B1--B5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Baseline Covariates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Financial Background &amp; Context</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B6--B10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Baseline Covariates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Debt status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B11--B13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Compound Interest</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Borrowing/Mortgages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Inflation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 Q6, Q7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Borrowing/Interest</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Saving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Earning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Q9</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 Interest Rates, and Financial Numeracy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Borrowing/Credit</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Diversification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Q11, Q14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Q12, Q13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Allocation Preference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Loss Aversion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Perception</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Social Influence and Herding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Retirement Risk Planning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Q19</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Emotional Response to Loss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Decision Process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Confidence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Attitude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Reaction to Underperformance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Definition of Success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Downside Awareness</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Preference in Income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Behavioral and Risk Management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Scam Skepticism</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Investing</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Q29, Q30, Q31, Q32</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Basic Probability -- Percentage to Frequency</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Q33</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Investment Risk -- Diversification Effect</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Q34</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Investment Risk -- Risk-Return Relationship</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Q35</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Management -- Diversification Principle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Q36</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Management -- Insurance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Q37</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Investment Risk -- Inflation Risk</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Q38</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Investment Risk -- Asset Class Risk</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Q39</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r>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and Return Knowledge</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Crisis/Systemic Risk</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Q40</w:t>
            </w:r>
          </w:p>
        </w:tc>
        <w:tc>
          <w:tcPr>
            <w:tcW w:type="dxa" w:w="1872"/>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r>
    </w:tbl>
    <w:p>
      <w:pPr>
        <w:spacing w:after="200"/>
      </w:pPr>
    </w:p>
    <w:p>
      <w:pPr>
        <w:pStyle w:val="Heading2"/>
        <w:spacing w:before="360" w:after="180"/>
      </w:pPr>
      <w:r>
        <w:rPr>
          <w:rFonts w:ascii="Times New Roman" w:cs="Times New Roman" w:eastAsia="Times New Roman" w:hAnsi="Times New Roman"/>
          <w:sz w:val="24"/>
          <w:szCs w:val="24"/>
        </w:rPr>
        <w:t xml:space="preserve">B.2: Baseline Covariates (B1--B13, Not Scored)</w:t>
      </w:r>
    </w:p>
    <w:p>
      <w:pPr>
        <w:spacing w:line="360" w:after="200"/>
      </w:pPr>
      <w:r>
        <w:rPr>
          <w:rFonts w:ascii="Times New Roman" w:cs="Times New Roman" w:eastAsia="Times New Roman" w:hAnsi="Times New Roman"/>
          <w:sz w:val="24"/>
          <w:szCs w:val="24"/>
        </w:rPr>
        <w:t xml:space="preserve">These items collect demographic characteristics, financial background, and debt status during the onboarding phase. No responses are scored.</w:t>
      </w:r>
    </w:p>
    <w:p>
      <w:pPr>
        <w:spacing w:line="360" w:after="200"/>
      </w:pPr>
      <w:r>
        <w:rPr>
          <w:rFonts w:ascii="Times New Roman" w:cs="Times New Roman" w:eastAsia="Times New Roman" w:hAnsi="Times New Roman"/>
          <w:b/>
          <w:bCs/>
          <w:sz w:val="24"/>
          <w:szCs w:val="24"/>
        </w:rPr>
        <w:t xml:space="preserve">B1.</w:t>
      </w:r>
      <w:r>
        <w:rPr>
          <w:rFonts w:ascii="Times New Roman" w:cs="Times New Roman" w:eastAsia="Times New Roman" w:hAnsi="Times New Roman"/>
          <w:sz w:val="24"/>
          <w:szCs w:val="24"/>
        </w:rPr>
        <w:t xml:space="preserve"> What is your gender? </w:t>
      </w:r>
      <w:r>
        <w:rPr>
          <w:rFonts w:ascii="Times New Roman" w:cs="Times New Roman" w:eastAsia="Times New Roman" w:hAnsi="Times New Roman"/>
          <w:i/>
          <w:iCs/>
          <w:sz w:val="24"/>
          <w:szCs w:val="24"/>
        </w:rPr>
        <w:t xml:space="preserve">(A) Female | (B) Male | (C) Prefer not to say</w:t>
      </w:r>
    </w:p>
    <w:p>
      <w:pPr>
        <w:spacing w:line="360" w:after="200"/>
      </w:pPr>
      <w:r>
        <w:rPr>
          <w:rFonts w:ascii="Times New Roman" w:cs="Times New Roman" w:eastAsia="Times New Roman" w:hAnsi="Times New Roman"/>
          <w:b/>
          <w:bCs/>
          <w:sz w:val="24"/>
          <w:szCs w:val="24"/>
        </w:rPr>
        <w:t xml:space="preserve">B2.</w:t>
      </w:r>
      <w:r>
        <w:rPr>
          <w:rFonts w:ascii="Times New Roman" w:cs="Times New Roman" w:eastAsia="Times New Roman" w:hAnsi="Times New Roman"/>
          <w:sz w:val="24"/>
          <w:szCs w:val="24"/>
        </w:rPr>
        <w:t xml:space="preserve"> Which category best describes your racial or ethnic background? </w:t>
      </w:r>
      <w:r>
        <w:rPr>
          <w:rFonts w:ascii="Times New Roman" w:cs="Times New Roman" w:eastAsia="Times New Roman" w:hAnsi="Times New Roman"/>
          <w:i/>
          <w:iCs/>
          <w:sz w:val="24"/>
          <w:szCs w:val="24"/>
        </w:rPr>
        <w:t xml:space="preserve">(A) White or Caucasian | (B) Asian | (C) Black or African American | (D) Hispanic or Latino | (E) Native Hawaiian or Pacific Islander | (F) Native American or Alaska Native | (G) Two or more racial or ethnic backgrounds | (H) Other | (I) Prefer not to say</w:t>
      </w:r>
    </w:p>
    <w:p>
      <w:pPr>
        <w:spacing w:line="360" w:after="200"/>
      </w:pPr>
      <w:r>
        <w:rPr>
          <w:rFonts w:ascii="Times New Roman" w:cs="Times New Roman" w:eastAsia="Times New Roman" w:hAnsi="Times New Roman"/>
          <w:b/>
          <w:bCs/>
          <w:sz w:val="24"/>
          <w:szCs w:val="24"/>
        </w:rPr>
        <w:t xml:space="preserve">B3.</w:t>
      </w:r>
      <w:r>
        <w:rPr>
          <w:rFonts w:ascii="Times New Roman" w:cs="Times New Roman" w:eastAsia="Times New Roman" w:hAnsi="Times New Roman"/>
          <w:sz w:val="24"/>
          <w:szCs w:val="24"/>
        </w:rPr>
        <w:t xml:space="preserve"> What is your age range? </w:t>
      </w:r>
      <w:r>
        <w:rPr>
          <w:rFonts w:ascii="Times New Roman" w:cs="Times New Roman" w:eastAsia="Times New Roman" w:hAnsi="Times New Roman"/>
          <w:i/>
          <w:iCs/>
          <w:sz w:val="24"/>
          <w:szCs w:val="24"/>
        </w:rPr>
        <w:t xml:space="preserve">(A) 20 or under | (B) Above 20</w:t>
      </w:r>
    </w:p>
    <w:p>
      <w:pPr>
        <w:spacing w:line="360" w:after="200"/>
      </w:pPr>
      <w:r>
        <w:rPr>
          <w:rFonts w:ascii="Times New Roman" w:cs="Times New Roman" w:eastAsia="Times New Roman" w:hAnsi="Times New Roman"/>
          <w:b/>
          <w:bCs/>
          <w:sz w:val="24"/>
          <w:szCs w:val="24"/>
        </w:rPr>
        <w:t xml:space="preserve">B4.</w:t>
      </w:r>
      <w:r>
        <w:rPr>
          <w:rFonts w:ascii="Times New Roman" w:cs="Times New Roman" w:eastAsia="Times New Roman" w:hAnsi="Times New Roman"/>
          <w:sz w:val="24"/>
          <w:szCs w:val="24"/>
        </w:rPr>
        <w:t xml:space="preserve"> What is your first language? </w:t>
      </w:r>
      <w:r>
        <w:rPr>
          <w:rFonts w:ascii="Times New Roman" w:cs="Times New Roman" w:eastAsia="Times New Roman" w:hAnsi="Times New Roman"/>
          <w:i/>
          <w:iCs/>
          <w:sz w:val="24"/>
          <w:szCs w:val="24"/>
        </w:rPr>
        <w:t xml:space="preserve">(A) English | (B) Spanish | (C) Chinese (any dialect) | (D) French | (E) Russian | (F) Dutch | (G) Other (please specify)</w:t>
      </w:r>
    </w:p>
    <w:p>
      <w:pPr>
        <w:spacing w:line="360" w:after="200"/>
      </w:pPr>
      <w:r>
        <w:rPr>
          <w:rFonts w:ascii="Times New Roman" w:cs="Times New Roman" w:eastAsia="Times New Roman" w:hAnsi="Times New Roman"/>
          <w:b/>
          <w:bCs/>
          <w:sz w:val="24"/>
          <w:szCs w:val="24"/>
        </w:rPr>
        <w:t xml:space="preserve">B5.</w:t>
      </w:r>
      <w:r>
        <w:rPr>
          <w:rFonts w:ascii="Times New Roman" w:cs="Times New Roman" w:eastAsia="Times New Roman" w:hAnsi="Times New Roman"/>
          <w:sz w:val="24"/>
          <w:szCs w:val="24"/>
        </w:rPr>
        <w:t xml:space="preserve"> Do you have work experience? </w:t>
      </w:r>
      <w:r>
        <w:rPr>
          <w:rFonts w:ascii="Times New Roman" w:cs="Times New Roman" w:eastAsia="Times New Roman" w:hAnsi="Times New Roman"/>
          <w:i/>
          <w:iCs/>
          <w:sz w:val="24"/>
          <w:szCs w:val="24"/>
        </w:rPr>
        <w:t xml:space="preserve">(A) No work experience | (B) Part-time employment | (C) Full-time employment</w:t>
      </w:r>
    </w:p>
    <w:p>
      <w:pPr>
        <w:spacing w:line="360" w:after="200"/>
      </w:pPr>
      <w:r>
        <w:rPr>
          <w:rFonts w:ascii="Times New Roman" w:cs="Times New Roman" w:eastAsia="Times New Roman" w:hAnsi="Times New Roman"/>
          <w:b/>
          <w:bCs/>
          <w:sz w:val="24"/>
          <w:szCs w:val="24"/>
        </w:rPr>
        <w:t xml:space="preserve">B6.</w:t>
      </w:r>
      <w:r>
        <w:rPr>
          <w:rFonts w:ascii="Times New Roman" w:cs="Times New Roman" w:eastAsia="Times New Roman" w:hAnsi="Times New Roman"/>
          <w:sz w:val="24"/>
          <w:szCs w:val="24"/>
        </w:rPr>
        <w:t xml:space="preserve"> Prior to enrolling in this course, had you personally used any of the following financial products? (Select all that apply) </w:t>
      </w:r>
      <w:r>
        <w:rPr>
          <w:rFonts w:ascii="Times New Roman" w:cs="Times New Roman" w:eastAsia="Times New Roman" w:hAnsi="Times New Roman"/>
          <w:i/>
          <w:iCs/>
          <w:sz w:val="24"/>
          <w:szCs w:val="24"/>
        </w:rPr>
        <w:t xml:space="preserve">(A) Credit card | (B) Student loan | (C) Auto loan | (D) Investment account (stocks, ETFs, mutual funds) | (E) Insurance policy in your own name | (F) None of the above</w:t>
      </w:r>
    </w:p>
    <w:p>
      <w:pPr>
        <w:spacing w:line="360" w:after="200"/>
      </w:pPr>
      <w:r>
        <w:rPr>
          <w:rFonts w:ascii="Times New Roman" w:cs="Times New Roman" w:eastAsia="Times New Roman" w:hAnsi="Times New Roman"/>
          <w:b/>
          <w:bCs/>
          <w:sz w:val="24"/>
          <w:szCs w:val="24"/>
        </w:rPr>
        <w:t xml:space="preserve">B7.</w:t>
      </w:r>
      <w:r>
        <w:rPr>
          <w:rFonts w:ascii="Times New Roman" w:cs="Times New Roman" w:eastAsia="Times New Roman" w:hAnsi="Times New Roman"/>
          <w:sz w:val="24"/>
          <w:szCs w:val="24"/>
        </w:rPr>
        <w:t xml:space="preserve"> Before enrolling in this course, how would you rate your overall financial knowledge? </w:t>
      </w:r>
      <w:r>
        <w:rPr>
          <w:rFonts w:ascii="Times New Roman" w:cs="Times New Roman" w:eastAsia="Times New Roman" w:hAnsi="Times New Roman"/>
          <w:i/>
          <w:iCs/>
          <w:sz w:val="24"/>
          <w:szCs w:val="24"/>
        </w:rPr>
        <w:t xml:space="preserve">(A) Very low | (B) Low | (C) Moderate | (D) High | (E) Very high</w:t>
      </w:r>
    </w:p>
    <w:p>
      <w:pPr>
        <w:spacing w:line="360" w:after="200"/>
      </w:pPr>
      <w:r>
        <w:rPr>
          <w:rFonts w:ascii="Times New Roman" w:cs="Times New Roman" w:eastAsia="Times New Roman" w:hAnsi="Times New Roman"/>
          <w:b/>
          <w:bCs/>
          <w:sz w:val="24"/>
          <w:szCs w:val="24"/>
        </w:rPr>
        <w:t xml:space="preserve">B8.</w:t>
      </w:r>
      <w:r>
        <w:rPr>
          <w:rFonts w:ascii="Times New Roman" w:cs="Times New Roman" w:eastAsia="Times New Roman" w:hAnsi="Times New Roman"/>
          <w:sz w:val="24"/>
          <w:szCs w:val="24"/>
        </w:rPr>
        <w:t xml:space="preserve"> How often do you feel financially stressed? </w:t>
      </w:r>
      <w:r>
        <w:rPr>
          <w:rFonts w:ascii="Times New Roman" w:cs="Times New Roman" w:eastAsia="Times New Roman" w:hAnsi="Times New Roman"/>
          <w:i/>
          <w:iCs/>
          <w:sz w:val="24"/>
          <w:szCs w:val="24"/>
        </w:rPr>
        <w:t xml:space="preserve">(A) Never | (B) Rarely | (C) Sometimes | (D) Often | (E) Always</w:t>
      </w:r>
    </w:p>
    <w:p>
      <w:pPr>
        <w:spacing w:line="360" w:after="200"/>
      </w:pPr>
      <w:r>
        <w:rPr>
          <w:rFonts w:ascii="Times New Roman" w:cs="Times New Roman" w:eastAsia="Times New Roman" w:hAnsi="Times New Roman"/>
          <w:b/>
          <w:bCs/>
          <w:sz w:val="24"/>
          <w:szCs w:val="24"/>
        </w:rPr>
        <w:t xml:space="preserve">B9.</w:t>
      </w:r>
      <w:r>
        <w:rPr>
          <w:rFonts w:ascii="Times New Roman" w:cs="Times New Roman" w:eastAsia="Times New Roman" w:hAnsi="Times New Roman"/>
          <w:sz w:val="24"/>
          <w:szCs w:val="24"/>
        </w:rPr>
        <w:t xml:space="preserve"> Highest Level of Parental Education </w:t>
      </w:r>
      <w:r>
        <w:rPr>
          <w:rFonts w:ascii="Times New Roman" w:cs="Times New Roman" w:eastAsia="Times New Roman" w:hAnsi="Times New Roman"/>
          <w:i/>
          <w:iCs/>
          <w:sz w:val="24"/>
          <w:szCs w:val="24"/>
        </w:rPr>
        <w:t xml:space="preserve">(A) Less than high school | (B) High school diploma or GED | (C) Some college, no degree | (D) Associate degree (AA/AS) | (E) Bachelor's degree (BA/BS) | (F) Graduate or professional degree | (G) Don't know | (H) Prefer not to answer</w:t>
      </w:r>
    </w:p>
    <w:p>
      <w:pPr>
        <w:spacing w:line="360" w:after="200"/>
      </w:pPr>
      <w:r>
        <w:rPr>
          <w:rFonts w:ascii="Times New Roman" w:cs="Times New Roman" w:eastAsia="Times New Roman" w:hAnsi="Times New Roman"/>
          <w:b/>
          <w:bCs/>
          <w:sz w:val="24"/>
          <w:szCs w:val="24"/>
        </w:rPr>
        <w:t xml:space="preserve">B10.</w:t>
      </w:r>
      <w:r>
        <w:rPr>
          <w:rFonts w:ascii="Times New Roman" w:cs="Times New Roman" w:eastAsia="Times New Roman" w:hAnsi="Times New Roman"/>
          <w:sz w:val="24"/>
          <w:szCs w:val="24"/>
        </w:rPr>
        <w:t xml:space="preserve"> Are you a first-generation college student? </w:t>
      </w:r>
      <w:r>
        <w:rPr>
          <w:rFonts w:ascii="Times New Roman" w:cs="Times New Roman" w:eastAsia="Times New Roman" w:hAnsi="Times New Roman"/>
          <w:i/>
          <w:iCs/>
          <w:sz w:val="24"/>
          <w:szCs w:val="24"/>
        </w:rPr>
        <w:t xml:space="preserve">(A) Yes | (B) No | (C) Prefer not to say</w:t>
      </w:r>
    </w:p>
    <w:p>
      <w:pPr>
        <w:spacing w:line="360" w:after="200"/>
      </w:pPr>
      <w:r>
        <w:rPr>
          <w:rFonts w:ascii="Times New Roman" w:cs="Times New Roman" w:eastAsia="Times New Roman" w:hAnsi="Times New Roman"/>
          <w:b/>
          <w:bCs/>
          <w:sz w:val="24"/>
          <w:szCs w:val="24"/>
        </w:rPr>
        <w:t xml:space="preserve">B11.</w:t>
      </w:r>
      <w:r>
        <w:rPr>
          <w:rFonts w:ascii="Times New Roman" w:cs="Times New Roman" w:eastAsia="Times New Roman" w:hAnsi="Times New Roman"/>
          <w:sz w:val="24"/>
          <w:szCs w:val="24"/>
        </w:rPr>
        <w:t xml:space="preserve"> Do you currently have any student loan debt? </w:t>
      </w:r>
      <w:r>
        <w:rPr>
          <w:rFonts w:ascii="Times New Roman" w:cs="Times New Roman" w:eastAsia="Times New Roman" w:hAnsi="Times New Roman"/>
          <w:i/>
          <w:iCs/>
          <w:sz w:val="24"/>
          <w:szCs w:val="24"/>
        </w:rPr>
        <w:t xml:space="preserve">(A) Yes | (B) No | (C) Prefer not to say</w:t>
      </w:r>
    </w:p>
    <w:p>
      <w:pPr>
        <w:spacing w:line="360" w:after="200"/>
      </w:pPr>
      <w:r>
        <w:rPr>
          <w:rFonts w:ascii="Times New Roman" w:cs="Times New Roman" w:eastAsia="Times New Roman" w:hAnsi="Times New Roman"/>
          <w:b/>
          <w:bCs/>
          <w:sz w:val="24"/>
          <w:szCs w:val="24"/>
        </w:rPr>
        <w:t xml:space="preserve">B12.</w:t>
      </w:r>
      <w:r>
        <w:rPr>
          <w:rFonts w:ascii="Times New Roman" w:cs="Times New Roman" w:eastAsia="Times New Roman" w:hAnsi="Times New Roman"/>
          <w:sz w:val="24"/>
          <w:szCs w:val="24"/>
        </w:rPr>
        <w:t xml:space="preserve"> If yes, what is the interest rate on your student loan debt (best estimate)? </w:t>
      </w:r>
      <w:r>
        <w:rPr>
          <w:rFonts w:ascii="Times New Roman" w:cs="Times New Roman" w:eastAsia="Times New Roman" w:hAnsi="Times New Roman"/>
          <w:i/>
          <w:iCs/>
          <w:sz w:val="24"/>
          <w:szCs w:val="24"/>
        </w:rPr>
        <w:t xml:space="preserve">(A) Less than 5% | (B) Between 5% and 10% | (C) Above 10% | (D) I do not know | (E) Prefer not to say</w:t>
      </w:r>
    </w:p>
    <w:p>
      <w:pPr>
        <w:spacing w:line="360" w:after="200"/>
      </w:pPr>
      <w:r>
        <w:rPr>
          <w:rFonts w:ascii="Times New Roman" w:cs="Times New Roman" w:eastAsia="Times New Roman" w:hAnsi="Times New Roman"/>
          <w:b/>
          <w:bCs/>
          <w:sz w:val="24"/>
          <w:szCs w:val="24"/>
        </w:rPr>
        <w:t xml:space="preserve">B13.</w:t>
      </w:r>
      <w:r>
        <w:rPr>
          <w:rFonts w:ascii="Times New Roman" w:cs="Times New Roman" w:eastAsia="Times New Roman" w:hAnsi="Times New Roman"/>
          <w:sz w:val="24"/>
          <w:szCs w:val="24"/>
        </w:rPr>
        <w:t xml:space="preserve"> If yes, what is the maturity of your student loan (time until fully repaid) (best estimate)? </w:t>
      </w:r>
      <w:r>
        <w:rPr>
          <w:rFonts w:ascii="Times New Roman" w:cs="Times New Roman" w:eastAsia="Times New Roman" w:hAnsi="Times New Roman"/>
          <w:i/>
          <w:iCs/>
          <w:sz w:val="24"/>
          <w:szCs w:val="24"/>
        </w:rPr>
        <w:t xml:space="preserve">(A) Less than 5 years | (B) 5 to 10 years | (C) More than 10 years | (D) Do not know | (E) Prefer not to say</w:t>
      </w:r>
    </w:p>
    <w:p>
      <w:pPr>
        <w:pStyle w:val="Heading2"/>
        <w:spacing w:before="360" w:after="180"/>
      </w:pPr>
      <w:r>
        <w:rPr>
          <w:rFonts w:ascii="Times New Roman" w:cs="Times New Roman" w:eastAsia="Times New Roman" w:hAnsi="Times New Roman"/>
          <w:sz w:val="24"/>
          <w:szCs w:val="24"/>
        </w:rPr>
        <w:t xml:space="preserve">B.3: Borrowing, Interest Rates, and Financial Numeracy Knowledge (Q1--Q10, Scored)</w:t>
      </w:r>
    </w:p>
    <w:p>
      <w:pPr>
        <w:spacing w:line="360" w:after="200"/>
      </w:pPr>
      <w:r>
        <w:rPr>
          <w:rFonts w:ascii="Times New Roman" w:cs="Times New Roman" w:eastAsia="Times New Roman" w:hAnsi="Times New Roman"/>
          <w:b/>
          <w:bCs/>
          <w:sz w:val="24"/>
          <w:szCs w:val="24"/>
        </w:rPr>
        <w:t xml:space="preserve">Q1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(Compound Interest).</w:t>
      </w:r>
      <w:r>
        <w:rPr>
          <w:rFonts w:ascii="Times New Roman" w:cs="Times New Roman" w:eastAsia="Times New Roman" w:hAnsi="Times New Roman"/>
          <w:sz w:val="24"/>
          <w:szCs w:val="24"/>
        </w:rPr>
        <w:t xml:space="preserve"> Suppose you had $100 in a savings account and the interest rate was 2% per year. After 5 years, how much do you think you would have in the account if you left the money to grow? </w:t>
      </w:r>
      <w:r>
        <w:rPr>
          <w:rFonts w:ascii="Times New Roman" w:cs="Times New Roman" w:eastAsia="Times New Roman" w:hAnsi="Times New Roman"/>
          <w:i/>
          <w:iCs/>
          <w:sz w:val="24"/>
          <w:szCs w:val="24"/>
        </w:rPr>
        <w:t xml:space="preserve">(A) More than $102 | (B) Exactly $102 | (C) Less than $102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(Borrowing/Mortgages).</w:t>
      </w:r>
      <w:r>
        <w:rPr>
          <w:rFonts w:ascii="Times New Roman" w:cs="Times New Roman" w:eastAsia="Times New Roman" w:hAnsi="Times New Roman"/>
          <w:sz w:val="24"/>
          <w:szCs w:val="24"/>
        </w:rPr>
        <w:t xml:space="preserve"> A 15-year mortgage typically requires higher monthly payments than a 30-year mortgage, but the total interest paid over the life of the loan will be less. True or false? </w:t>
      </w:r>
      <w:r>
        <w:rPr>
          <w:rFonts w:ascii="Times New Roman" w:cs="Times New Roman" w:eastAsia="Times New Roman" w:hAnsi="Times New Roman"/>
          <w:i/>
          <w:iCs/>
          <w:sz w:val="24"/>
          <w:szCs w:val="24"/>
        </w:rPr>
        <w:t xml:space="preserve">(A) True | (B) False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(Inflation).</w:t>
      </w:r>
      <w:r>
        <w:rPr>
          <w:rFonts w:ascii="Times New Roman" w:cs="Times New Roman" w:eastAsia="Times New Roman" w:hAnsi="Times New Roman"/>
          <w:sz w:val="24"/>
          <w:szCs w:val="24"/>
        </w:rPr>
        <w:t xml:space="preserve"> High inflation means that the cost of living is increasing rapidly. True or false? </w:t>
      </w:r>
      <w:r>
        <w:rPr>
          <w:rFonts w:ascii="Times New Roman" w:cs="Times New Roman" w:eastAsia="Times New Roman" w:hAnsi="Times New Roman"/>
          <w:i/>
          <w:iCs/>
          <w:sz w:val="24"/>
          <w:szCs w:val="24"/>
        </w:rPr>
        <w:t xml:space="preserve">(A) True | (B) False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(Borrowing/Interest).</w:t>
      </w:r>
      <w:r>
        <w:rPr>
          <w:rFonts w:ascii="Times New Roman" w:cs="Times New Roman" w:eastAsia="Times New Roman" w:hAnsi="Times New Roman"/>
          <w:sz w:val="24"/>
          <w:szCs w:val="24"/>
        </w:rPr>
        <w:t xml:space="preserve"> You lend $25 to a friend one evening and he gives you $25 back the next day. How much interest has he paid on this loan? </w:t>
      </w:r>
      <w:r>
        <w:rPr>
          <w:rFonts w:ascii="Times New Roman" w:cs="Times New Roman" w:eastAsia="Times New Roman" w:hAnsi="Times New Roman"/>
          <w:i/>
          <w:iCs/>
          <w:sz w:val="24"/>
          <w:szCs w:val="24"/>
        </w:rPr>
        <w:t xml:space="preserve">(A) $25 | (B) $0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B</w:t>
      </w:r>
    </w:p>
    <w:p>
      <w:pPr>
        <w:spacing w:line="360" w:after="200"/>
      </w:pPr>
      <w:r>
        <w:rPr>
          <w:rFonts w:ascii="Times New Roman" w:cs="Times New Roman" w:eastAsia="Times New Roman" w:hAnsi="Times New Roman"/>
          <w:b/>
          <w:bCs/>
          <w:sz w:val="24"/>
          <w:szCs w:val="24"/>
        </w:rPr>
        <w:t xml:space="preserve">Q5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(Saving).</w:t>
      </w:r>
      <w:r>
        <w:rPr>
          <w:rFonts w:ascii="Times New Roman" w:cs="Times New Roman" w:eastAsia="Times New Roman" w:hAnsi="Times New Roman"/>
          <w:sz w:val="24"/>
          <w:szCs w:val="24"/>
        </w:rPr>
        <w:t xml:space="preserve"> Lyle has a good job and earns enough to pay his bills comfortably each month. In terms of his emergency savings, how much should he have set aside? </w:t>
      </w:r>
      <w:r>
        <w:rPr>
          <w:rFonts w:ascii="Times New Roman" w:cs="Times New Roman" w:eastAsia="Times New Roman" w:hAnsi="Times New Roman"/>
          <w:i/>
          <w:iCs/>
          <w:sz w:val="24"/>
          <w:szCs w:val="24"/>
        </w:rPr>
        <w:t xml:space="preserve">(A) $200 or so | (B) Money equal to his share of one month's rent/mortgage | (C) The equivalent of three or more months of living expenses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spacing w:line="360" w:after="200"/>
      </w:pPr>
      <w:r>
        <w:rPr>
          <w:rFonts w:ascii="Times New Roman" w:cs="Times New Roman" w:eastAsia="Times New Roman" w:hAnsi="Times New Roman"/>
          <w:b/>
          <w:bCs/>
          <w:sz w:val="24"/>
          <w:szCs w:val="24"/>
        </w:rPr>
        <w:t xml:space="preserve">Q6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(Inflation).</w:t>
      </w:r>
      <w:r>
        <w:rPr>
          <w:rFonts w:ascii="Times New Roman" w:cs="Times New Roman" w:eastAsia="Times New Roman" w:hAnsi="Times New Roman"/>
          <w:sz w:val="24"/>
          <w:szCs w:val="24"/>
        </w:rPr>
        <w:t xml:space="preserve"> A successful effort to lower inflation would likely be accompanied by which of the following? </w:t>
      </w:r>
      <w:r>
        <w:rPr>
          <w:rFonts w:ascii="Times New Roman" w:cs="Times New Roman" w:eastAsia="Times New Roman" w:hAnsi="Times New Roman"/>
          <w:i/>
          <w:iCs/>
          <w:sz w:val="24"/>
          <w:szCs w:val="24"/>
        </w:rPr>
        <w:t xml:space="preserve">(A) A decrease in the general level of prices | (B) A slower increase in prices | (C) An increase in employment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B</w:t>
      </w:r>
    </w:p>
    <w:p>
      <w:pPr>
        <w:spacing w:line="360" w:after="200"/>
      </w:pPr>
      <w:r>
        <w:rPr>
          <w:rFonts w:ascii="Times New Roman" w:cs="Times New Roman" w:eastAsia="Times New Roman" w:hAnsi="Times New Roman"/>
          <w:b/>
          <w:bCs/>
          <w:sz w:val="24"/>
          <w:szCs w:val="24"/>
        </w:rPr>
        <w:t xml:space="preserve">Q7</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(Inflation).</w:t>
      </w:r>
      <w:r>
        <w:rPr>
          <w:rFonts w:ascii="Times New Roman" w:cs="Times New Roman" w:eastAsia="Times New Roman" w:hAnsi="Times New Roman"/>
          <w:sz w:val="24"/>
          <w:szCs w:val="24"/>
        </w:rPr>
        <w:t xml:space="preserve"> Inflation can cause difficulty in many ways. Which group would have the greatest problem during periods of high inflation? </w:t>
      </w:r>
      <w:r>
        <w:rPr>
          <w:rFonts w:ascii="Times New Roman" w:cs="Times New Roman" w:eastAsia="Times New Roman" w:hAnsi="Times New Roman"/>
          <w:i/>
          <w:iCs/>
          <w:sz w:val="24"/>
          <w:szCs w:val="24"/>
        </w:rPr>
        <w:t xml:space="preserve">(A) Young couples with no children who both work | (B) Older, working couples saving for retirement | (C) Retirees living on a fixed income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spacing w:line="360" w:after="200"/>
      </w:pPr>
      <w:r>
        <w:rPr>
          <w:rFonts w:ascii="Times New Roman" w:cs="Times New Roman" w:eastAsia="Times New Roman" w:hAnsi="Times New Roman"/>
          <w:b/>
          <w:bCs/>
          <w:sz w:val="24"/>
          <w:szCs w:val="24"/>
        </w:rPr>
        <w:t xml:space="preserve">Q8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(Borrowing).</w:t>
      </w:r>
      <w:r>
        <w:rPr>
          <w:rFonts w:ascii="Times New Roman" w:cs="Times New Roman" w:eastAsia="Times New Roman" w:hAnsi="Times New Roman"/>
          <w:sz w:val="24"/>
          <w:szCs w:val="24"/>
        </w:rPr>
        <w:t xml:space="preserve"> Jayden is shopping for an auto loan. Which of the following can he likely negotiate with the lender? </w:t>
      </w:r>
      <w:r>
        <w:rPr>
          <w:rFonts w:ascii="Times New Roman" w:cs="Times New Roman" w:eastAsia="Times New Roman" w:hAnsi="Times New Roman"/>
          <w:i/>
          <w:iCs/>
          <w:sz w:val="24"/>
          <w:szCs w:val="24"/>
        </w:rPr>
        <w:t xml:space="preserve">(A) The interest rate | (B) The required down payment | (C) Both | (D) Neither | (E)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spacing w:line="360" w:after="200"/>
      </w:pPr>
      <w:r>
        <w:rPr>
          <w:rFonts w:ascii="Times New Roman" w:cs="Times New Roman" w:eastAsia="Times New Roman" w:hAnsi="Times New Roman"/>
          <w:b/>
          <w:bCs/>
          <w:sz w:val="24"/>
          <w:szCs w:val="24"/>
        </w:rPr>
        <w:t xml:space="preserve">Q9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(Earning).</w:t>
      </w:r>
      <w:r>
        <w:rPr>
          <w:rFonts w:ascii="Times New Roman" w:cs="Times New Roman" w:eastAsia="Times New Roman" w:hAnsi="Times New Roman"/>
          <w:sz w:val="24"/>
          <w:szCs w:val="24"/>
        </w:rPr>
        <w:t xml:space="preserve"> Considering the strategy of allocating income, what is the PRIMARY advantage to your household of making a budget? </w:t>
      </w:r>
      <w:r>
        <w:rPr>
          <w:rFonts w:ascii="Times New Roman" w:cs="Times New Roman" w:eastAsia="Times New Roman" w:hAnsi="Times New Roman"/>
          <w:i/>
          <w:iCs/>
          <w:sz w:val="24"/>
          <w:szCs w:val="24"/>
        </w:rPr>
        <w:t xml:space="preserve">(A) Ensures funds are available for bill paying and saving | (B) Reduces your taxes | (C) Increases rate of return on your investments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(Borrowing/Credit).</w:t>
      </w:r>
      <w:r>
        <w:rPr>
          <w:rFonts w:ascii="Times New Roman" w:cs="Times New Roman" w:eastAsia="Times New Roman" w:hAnsi="Times New Roman"/>
          <w:sz w:val="24"/>
          <w:szCs w:val="24"/>
        </w:rPr>
        <w:t xml:space="preserve"> Which of the following statements regarding credit reports is FALSE? </w:t>
      </w:r>
      <w:r>
        <w:rPr>
          <w:rFonts w:ascii="Times New Roman" w:cs="Times New Roman" w:eastAsia="Times New Roman" w:hAnsi="Times New Roman"/>
          <w:i/>
          <w:iCs/>
          <w:sz w:val="24"/>
          <w:szCs w:val="24"/>
        </w:rPr>
        <w:t xml:space="preserve">(A) Credit reports are used by employers to screen job applicants | (B) A credit report includes an assessment of your worthiness to receive credit | (C) Your credit report is provided by a single source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pStyle w:val="Heading2"/>
        <w:spacing w:before="360" w:after="180"/>
      </w:pPr>
      <w:r>
        <w:rPr>
          <w:rFonts w:ascii="Times New Roman" w:cs="Times New Roman" w:eastAsia="Times New Roman" w:hAnsi="Times New Roman"/>
          <w:sz w:val="24"/>
          <w:szCs w:val="24"/>
        </w:rPr>
        <w:t xml:space="preserve">B.4: Behavioral and Risk Management -- Factual Knowledge (Q11--Q14, Scored)</w:t>
      </w:r>
    </w:p>
    <w:p>
      <w:pPr>
        <w:spacing w:line="360" w:after="200"/>
      </w:pPr>
      <w:r>
        <w:rPr>
          <w:rFonts w:ascii="Times New Roman" w:cs="Times New Roman" w:eastAsia="Times New Roman" w:hAnsi="Times New Roman"/>
          <w:b/>
          <w:bCs/>
          <w:sz w:val="24"/>
          <w:szCs w:val="24"/>
        </w:rPr>
        <w:t xml:space="preserve">Q11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(Risk Diversification).</w:t>
      </w:r>
      <w:r>
        <w:rPr>
          <w:rFonts w:ascii="Times New Roman" w:cs="Times New Roman" w:eastAsia="Times New Roman" w:hAnsi="Times New Roman"/>
          <w:sz w:val="24"/>
          <w:szCs w:val="24"/>
        </w:rPr>
        <w:t xml:space="preserve"> Please tell me whether this statement is true or false: Buying a single company's stock usually provides a safer return than a stock mutual fund. </w:t>
      </w:r>
      <w:r>
        <w:rPr>
          <w:rFonts w:ascii="Times New Roman" w:cs="Times New Roman" w:eastAsia="Times New Roman" w:hAnsi="Times New Roman"/>
          <w:i/>
          <w:iCs/>
          <w:sz w:val="24"/>
          <w:szCs w:val="24"/>
        </w:rPr>
        <w:t xml:space="preserve">(A) True | (B) False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B</w:t>
      </w:r>
    </w:p>
    <w:p>
      <w:pPr>
        <w:spacing w:line="360" w:after="200"/>
      </w:pPr>
      <w:r>
        <w:rPr>
          <w:rFonts w:ascii="Times New Roman" w:cs="Times New Roman" w:eastAsia="Times New Roman" w:hAnsi="Times New Roman"/>
          <w:b/>
          <w:bCs/>
          <w:sz w:val="24"/>
          <w:szCs w:val="24"/>
        </w:rPr>
        <w:t xml:space="preserve">Q12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(Insurance).</w:t>
      </w:r>
      <w:r>
        <w:rPr>
          <w:rFonts w:ascii="Times New Roman" w:cs="Times New Roman" w:eastAsia="Times New Roman" w:hAnsi="Times New Roman"/>
          <w:sz w:val="24"/>
          <w:szCs w:val="24"/>
        </w:rPr>
        <w:t xml:space="preserve"> Which of the following best describes the PRIMARY function of health insurance? </w:t>
      </w:r>
      <w:r>
        <w:rPr>
          <w:rFonts w:ascii="Times New Roman" w:cs="Times New Roman" w:eastAsia="Times New Roman" w:hAnsi="Times New Roman"/>
          <w:i/>
          <w:iCs/>
          <w:sz w:val="24"/>
          <w:szCs w:val="24"/>
        </w:rPr>
        <w:t xml:space="preserve">(A) Protect against the possibility of large unexpected medical bills | (B) Cover the cost of routine health care expenses | (C) Pay for elective medical procedures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Q13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(Insurance).</w:t>
      </w:r>
      <w:r>
        <w:rPr>
          <w:rFonts w:ascii="Times New Roman" w:cs="Times New Roman" w:eastAsia="Times New Roman" w:hAnsi="Times New Roman"/>
          <w:sz w:val="24"/>
          <w:szCs w:val="24"/>
        </w:rPr>
        <w:t xml:space="preserve"> What does a home insurance deductible represent? </w:t>
      </w:r>
      <w:r>
        <w:rPr>
          <w:rFonts w:ascii="Times New Roman" w:cs="Times New Roman" w:eastAsia="Times New Roman" w:hAnsi="Times New Roman"/>
          <w:i/>
          <w:iCs/>
          <w:sz w:val="24"/>
          <w:szCs w:val="24"/>
        </w:rPr>
        <w:t xml:space="preserve">(A) Amount you pay before insurance covers damages | (B) Monthly premium for coverage | (C) Maximum amount insurance will pay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Q14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(Risk Diversification).</w:t>
      </w:r>
      <w:r>
        <w:rPr>
          <w:rFonts w:ascii="Times New Roman" w:cs="Times New Roman" w:eastAsia="Times New Roman" w:hAnsi="Times New Roman"/>
          <w:sz w:val="24"/>
          <w:szCs w:val="24"/>
        </w:rPr>
        <w:t xml:space="preserve"> When an investor spreads money among different assets, the risk of losing money usually: </w:t>
      </w:r>
      <w:r>
        <w:rPr>
          <w:rFonts w:ascii="Times New Roman" w:cs="Times New Roman" w:eastAsia="Times New Roman" w:hAnsi="Times New Roman"/>
          <w:i/>
          <w:iCs/>
          <w:sz w:val="24"/>
          <w:szCs w:val="24"/>
        </w:rPr>
        <w:t xml:space="preserve">(A) Increases | (B) Decreases | (C) Stays the same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B</w:t>
      </w:r>
    </w:p>
    <w:p>
      <w:pPr>
        <w:pStyle w:val="Heading2"/>
        <w:spacing w:before="360" w:after="180"/>
      </w:pPr>
      <w:r>
        <w:rPr>
          <w:rFonts w:ascii="Times New Roman" w:cs="Times New Roman" w:eastAsia="Times New Roman" w:hAnsi="Times New Roman"/>
          <w:sz w:val="24"/>
          <w:szCs w:val="24"/>
        </w:rPr>
        <w:t xml:space="preserve">B.5: Financial Attitudes and Preferences (Q15--Q28, Not Scored)</w:t>
      </w:r>
    </w:p>
    <w:p>
      <w:pPr>
        <w:spacing w:line="360" w:after="200"/>
      </w:pPr>
      <w:r>
        <w:rPr>
          <w:rFonts w:ascii="Times New Roman" w:cs="Times New Roman" w:eastAsia="Times New Roman" w:hAnsi="Times New Roman"/>
          <w:sz w:val="24"/>
          <w:szCs w:val="24"/>
        </w:rPr>
        <w:t xml:space="preserve">These 14 items capture behavioral attitudes, risk preferences, and financial decision-making tendencies. They are not scored but contribute to the behavioral profile used in the SDM-10 adaptive module.</w:t>
      </w:r>
    </w:p>
    <w:p>
      <w:pPr>
        <w:spacing w:line="360" w:after="200"/>
      </w:pPr>
      <w:r>
        <w:rPr>
          <w:rFonts w:ascii="Times New Roman" w:cs="Times New Roman" w:eastAsia="Times New Roman" w:hAnsi="Times New Roman"/>
          <w:b/>
          <w:bCs/>
          <w:sz w:val="24"/>
          <w:szCs w:val="24"/>
        </w:rPr>
        <w:t xml:space="preserve">Q15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(Allocation Preference).</w:t>
      </w:r>
      <w:r>
        <w:rPr>
          <w:rFonts w:ascii="Times New Roman" w:cs="Times New Roman" w:eastAsia="Times New Roman" w:hAnsi="Times New Roman"/>
          <w:sz w:val="24"/>
          <w:szCs w:val="24"/>
        </w:rPr>
        <w:t xml:space="preserve"> You receive a $10,000 bonus. What would you most likely do with it? </w:t>
      </w:r>
      <w:r>
        <w:rPr>
          <w:rFonts w:ascii="Times New Roman" w:cs="Times New Roman" w:eastAsia="Times New Roman" w:hAnsi="Times New Roman"/>
          <w:i/>
          <w:iCs/>
          <w:sz w:val="24"/>
          <w:szCs w:val="24"/>
        </w:rPr>
        <w:t xml:space="preserve">(A) Put it in a high-interest savings account for safety | (B) Invest it in mutual funds or ETFs for steady growth | (C) Buy individual stocks with potential for high return | (D) Spend most of it and save the rest later</w:t>
      </w:r>
    </w:p>
    <w:p>
      <w:pPr>
        <w:spacing w:line="360" w:after="200"/>
      </w:pPr>
      <w:r>
        <w:rPr>
          <w:rFonts w:ascii="Times New Roman" w:cs="Times New Roman" w:eastAsia="Times New Roman" w:hAnsi="Times New Roman"/>
          <w:b/>
          <w:bCs/>
          <w:sz w:val="24"/>
          <w:szCs w:val="24"/>
        </w:rPr>
        <w:t xml:space="preserve">Q16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(Loss Aversion).</w:t>
      </w:r>
      <w:r>
        <w:rPr>
          <w:rFonts w:ascii="Times New Roman" w:cs="Times New Roman" w:eastAsia="Times New Roman" w:hAnsi="Times New Roman"/>
          <w:sz w:val="24"/>
          <w:szCs w:val="24"/>
        </w:rPr>
        <w:t xml:space="preserve"> Your retirement account drops 20% due to a market downturn. How do you react? </w:t>
      </w:r>
      <w:r>
        <w:rPr>
          <w:rFonts w:ascii="Times New Roman" w:cs="Times New Roman" w:eastAsia="Times New Roman" w:hAnsi="Times New Roman"/>
          <w:i/>
          <w:iCs/>
          <w:sz w:val="24"/>
          <w:szCs w:val="24"/>
        </w:rPr>
        <w:t xml:space="preserve">(A) Sell everything, I can't risk losing more | (B) Do nothing, markets recover over time | (C) Invest more, buy while prices are low | (D) Move funds to safer options like bonds or cash</w:t>
      </w:r>
    </w:p>
    <w:p>
      <w:pPr>
        <w:spacing w:line="360" w:after="200"/>
      </w:pPr>
      <w:r>
        <w:rPr>
          <w:rFonts w:ascii="Times New Roman" w:cs="Times New Roman" w:eastAsia="Times New Roman" w:hAnsi="Times New Roman"/>
          <w:b/>
          <w:bCs/>
          <w:sz w:val="24"/>
          <w:szCs w:val="24"/>
        </w:rPr>
        <w:t xml:space="preserve">Q17</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(Risk Perception).</w:t>
      </w:r>
      <w:r>
        <w:rPr>
          <w:rFonts w:ascii="Times New Roman" w:cs="Times New Roman" w:eastAsia="Times New Roman" w:hAnsi="Times New Roman"/>
          <w:sz w:val="24"/>
          <w:szCs w:val="24"/>
        </w:rPr>
        <w:t xml:space="preserve"> What does "risk" mean to you when it comes to financial decisions? </w:t>
      </w:r>
      <w:r>
        <w:rPr>
          <w:rFonts w:ascii="Times New Roman" w:cs="Times New Roman" w:eastAsia="Times New Roman" w:hAnsi="Times New Roman"/>
          <w:i/>
          <w:iCs/>
          <w:sz w:val="24"/>
          <w:szCs w:val="24"/>
        </w:rPr>
        <w:t xml:space="preserve">(A) The chance I could lose money | (B) The opportunity to earn a higher return | (C) Something unpredictable that needs to be managed | (D) I'm not sure</w:t>
      </w:r>
    </w:p>
    <w:p>
      <w:pPr>
        <w:spacing w:line="360" w:after="200"/>
      </w:pPr>
      <w:r>
        <w:rPr>
          <w:rFonts w:ascii="Times New Roman" w:cs="Times New Roman" w:eastAsia="Times New Roman" w:hAnsi="Times New Roman"/>
          <w:b/>
          <w:bCs/>
          <w:sz w:val="24"/>
          <w:szCs w:val="24"/>
        </w:rPr>
        <w:t xml:space="preserve">Q18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(Social Influence and Herding).</w:t>
      </w:r>
      <w:r>
        <w:rPr>
          <w:rFonts w:ascii="Times New Roman" w:cs="Times New Roman" w:eastAsia="Times New Roman" w:hAnsi="Times New Roman"/>
          <w:sz w:val="24"/>
          <w:szCs w:val="24"/>
        </w:rPr>
        <w:t xml:space="preserve"> You hear that everyone is investing in a new crypto asset. What do you do? </w:t>
      </w:r>
      <w:r>
        <w:rPr>
          <w:rFonts w:ascii="Times New Roman" w:cs="Times New Roman" w:eastAsia="Times New Roman" w:hAnsi="Times New Roman"/>
          <w:i/>
          <w:iCs/>
          <w:sz w:val="24"/>
          <w:szCs w:val="24"/>
        </w:rPr>
        <w:t xml:space="preserve">(A) Invest quickly, don't miss out | (B) Put in a small amount just in case | (C) Research carefully before acting | (D) Stay out, I avoid hype</w:t>
      </w:r>
    </w:p>
    <w:p>
      <w:pPr>
        <w:spacing w:line="360" w:after="200"/>
      </w:pPr>
      <w:r>
        <w:rPr>
          <w:rFonts w:ascii="Times New Roman" w:cs="Times New Roman" w:eastAsia="Times New Roman" w:hAnsi="Times New Roman"/>
          <w:b/>
          <w:bCs/>
          <w:sz w:val="24"/>
          <w:szCs w:val="24"/>
        </w:rPr>
        <w:t xml:space="preserve">Q19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(Retirement Risk Planning).</w:t>
      </w:r>
      <w:r>
        <w:rPr>
          <w:rFonts w:ascii="Times New Roman" w:cs="Times New Roman" w:eastAsia="Times New Roman" w:hAnsi="Times New Roman"/>
          <w:sz w:val="24"/>
          <w:szCs w:val="24"/>
        </w:rPr>
        <w:t xml:space="preserve"> When planning for retirement, how do you factor in risk? </w:t>
      </w:r>
      <w:r>
        <w:rPr>
          <w:rFonts w:ascii="Times New Roman" w:cs="Times New Roman" w:eastAsia="Times New Roman" w:hAnsi="Times New Roman"/>
          <w:i/>
          <w:iCs/>
          <w:sz w:val="24"/>
          <w:szCs w:val="24"/>
        </w:rPr>
        <w:t xml:space="preserve">(A) I ignore it, retirement is far away | (B) I aim for high growth regardless | (C) I diversify and rebalance regularly | (D) I rely on my advisor to guide me</w:t>
      </w:r>
    </w:p>
    <w:p>
      <w:pPr>
        <w:spacing w:line="360" w:after="200"/>
      </w:pPr>
      <w:r>
        <w:rPr>
          <w:rFonts w:ascii="Times New Roman" w:cs="Times New Roman" w:eastAsia="Times New Roman" w:hAnsi="Times New Roman"/>
          <w:b/>
          <w:bCs/>
          <w:sz w:val="24"/>
          <w:szCs w:val="24"/>
        </w:rPr>
        <w:t xml:space="preserve">Q20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(Emotional Response to Loss).</w:t>
      </w:r>
      <w:r>
        <w:rPr>
          <w:rFonts w:ascii="Times New Roman" w:cs="Times New Roman" w:eastAsia="Times New Roman" w:hAnsi="Times New Roman"/>
          <w:sz w:val="24"/>
          <w:szCs w:val="24"/>
        </w:rPr>
        <w:t xml:space="preserve"> You lose $1,000 in an investment. What's your emotional reaction? </w:t>
      </w:r>
      <w:r>
        <w:rPr>
          <w:rFonts w:ascii="Times New Roman" w:cs="Times New Roman" w:eastAsia="Times New Roman" w:hAnsi="Times New Roman"/>
          <w:i/>
          <w:iCs/>
          <w:sz w:val="24"/>
          <w:szCs w:val="24"/>
        </w:rPr>
        <w:t xml:space="preserve">(A) Angry and anxious | (B) Concerned but calm | (C) Indifferent | (D) Curious to understand why</w:t>
      </w:r>
    </w:p>
    <w:p>
      <w:pPr>
        <w:spacing w:line="360" w:after="200"/>
      </w:pPr>
      <w:r>
        <w:rPr>
          <w:rFonts w:ascii="Times New Roman" w:cs="Times New Roman" w:eastAsia="Times New Roman" w:hAnsi="Times New Roman"/>
          <w:b/>
          <w:bCs/>
          <w:sz w:val="24"/>
          <w:szCs w:val="24"/>
        </w:rPr>
        <w:t xml:space="preserve">Q21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(Decision Process).</w:t>
      </w:r>
      <w:r>
        <w:rPr>
          <w:rFonts w:ascii="Times New Roman" w:cs="Times New Roman" w:eastAsia="Times New Roman" w:hAnsi="Times New Roman"/>
          <w:sz w:val="24"/>
          <w:szCs w:val="24"/>
        </w:rPr>
        <w:t xml:space="preserve"> When faced with a complex financial decision, how do you typically proceed? </w:t>
      </w:r>
      <w:r>
        <w:rPr>
          <w:rFonts w:ascii="Times New Roman" w:cs="Times New Roman" w:eastAsia="Times New Roman" w:hAnsi="Times New Roman"/>
          <w:i/>
          <w:iCs/>
          <w:sz w:val="24"/>
          <w:szCs w:val="24"/>
        </w:rPr>
        <w:t xml:space="preserve">(A) Do extensive research and consider all outcomes | (B) Go with your intuition or gut feeling | (C) Rely on advice from friends or family | (D) Delay the decision until you feel more confident</w:t>
      </w:r>
    </w:p>
    <w:p>
      <w:pPr>
        <w:spacing w:line="360" w:after="200"/>
      </w:pPr>
      <w:r>
        <w:rPr>
          <w:rFonts w:ascii="Times New Roman" w:cs="Times New Roman" w:eastAsia="Times New Roman" w:hAnsi="Times New Roman"/>
          <w:b/>
          <w:bCs/>
          <w:sz w:val="24"/>
          <w:szCs w:val="24"/>
        </w:rPr>
        <w:t xml:space="preserve">Q22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(Risk Confidence).</w:t>
      </w:r>
      <w:r>
        <w:rPr>
          <w:rFonts w:ascii="Times New Roman" w:cs="Times New Roman" w:eastAsia="Times New Roman" w:hAnsi="Times New Roman"/>
          <w:sz w:val="24"/>
          <w:szCs w:val="24"/>
        </w:rPr>
        <w:t xml:space="preserve"> How confident are you in recognizing when an investment is too risky for your situation? </w:t>
      </w:r>
      <w:r>
        <w:rPr>
          <w:rFonts w:ascii="Times New Roman" w:cs="Times New Roman" w:eastAsia="Times New Roman" w:hAnsi="Times New Roman"/>
          <w:i/>
          <w:iCs/>
          <w:sz w:val="24"/>
          <w:szCs w:val="24"/>
        </w:rPr>
        <w:t xml:space="preserve">(A) Very confident, I understand my risk limits | (B) Somewhat confident, I can tell when it's extreme | (C) Not very confident, I often second-guess | (D) I usually rely on others to decide for me</w:t>
      </w:r>
    </w:p>
    <w:p>
      <w:pPr>
        <w:spacing w:line="360" w:after="200"/>
      </w:pPr>
      <w:r>
        <w:rPr>
          <w:rFonts w:ascii="Times New Roman" w:cs="Times New Roman" w:eastAsia="Times New Roman" w:hAnsi="Times New Roman"/>
          <w:b/>
          <w:bCs/>
          <w:sz w:val="24"/>
          <w:szCs w:val="24"/>
        </w:rPr>
        <w:t xml:space="preserve">Q23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(Risk Attitude).</w:t>
      </w:r>
      <w:r>
        <w:rPr>
          <w:rFonts w:ascii="Times New Roman" w:cs="Times New Roman" w:eastAsia="Times New Roman" w:hAnsi="Times New Roman"/>
          <w:sz w:val="24"/>
          <w:szCs w:val="24"/>
        </w:rPr>
        <w:t xml:space="preserve"> What best describes your attitude toward risk? </w:t>
      </w:r>
      <w:r>
        <w:rPr>
          <w:rFonts w:ascii="Times New Roman" w:cs="Times New Roman" w:eastAsia="Times New Roman" w:hAnsi="Times New Roman"/>
          <w:i/>
          <w:iCs/>
          <w:sz w:val="24"/>
          <w:szCs w:val="24"/>
        </w:rPr>
        <w:t xml:space="preserve">(A) I avoid risk as much as possible | (B) I'm okay with small risks for modest gains | (C) I take calculated risks for higher rewards | (D) I actively seek out high-risk, high-reward opportunities</w:t>
      </w:r>
    </w:p>
    <w:p>
      <w:pPr>
        <w:spacing w:line="360" w:after="200"/>
      </w:pPr>
      <w:r>
        <w:rPr>
          <w:rFonts w:ascii="Times New Roman" w:cs="Times New Roman" w:eastAsia="Times New Roman" w:hAnsi="Times New Roman"/>
          <w:b/>
          <w:bCs/>
          <w:sz w:val="24"/>
          <w:szCs w:val="24"/>
        </w:rPr>
        <w:t xml:space="preserve">Q24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(Reaction to Underperformance).</w:t>
      </w:r>
      <w:r>
        <w:rPr>
          <w:rFonts w:ascii="Times New Roman" w:cs="Times New Roman" w:eastAsia="Times New Roman" w:hAnsi="Times New Roman"/>
          <w:sz w:val="24"/>
          <w:szCs w:val="24"/>
        </w:rPr>
        <w:t xml:space="preserve"> If your long-term investment underperforms for a year, what would you most likely do? </w:t>
      </w:r>
      <w:r>
        <w:rPr>
          <w:rFonts w:ascii="Times New Roman" w:cs="Times New Roman" w:eastAsia="Times New Roman" w:hAnsi="Times New Roman"/>
          <w:i/>
          <w:iCs/>
          <w:sz w:val="24"/>
          <w:szCs w:val="24"/>
        </w:rPr>
        <w:t xml:space="preserve">(A) Sell and look for a better option | (B) Reduce investment but stay in | (C) Stay the course | (D) Invest more to lower the average cost</w:t>
      </w:r>
    </w:p>
    <w:p>
      <w:pPr>
        <w:spacing w:line="360" w:after="200"/>
      </w:pPr>
      <w:r>
        <w:rPr>
          <w:rFonts w:ascii="Times New Roman" w:cs="Times New Roman" w:eastAsia="Times New Roman" w:hAnsi="Times New Roman"/>
          <w:b/>
          <w:bCs/>
          <w:sz w:val="24"/>
          <w:szCs w:val="24"/>
        </w:rPr>
        <w:t xml:space="preserve">Q25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(Definition of Success).</w:t>
      </w:r>
      <w:r>
        <w:rPr>
          <w:rFonts w:ascii="Times New Roman" w:cs="Times New Roman" w:eastAsia="Times New Roman" w:hAnsi="Times New Roman"/>
          <w:sz w:val="24"/>
          <w:szCs w:val="24"/>
        </w:rPr>
        <w:t xml:space="preserve"> How do you define a "successful" investment? </w:t>
      </w:r>
      <w:r>
        <w:rPr>
          <w:rFonts w:ascii="Times New Roman" w:cs="Times New Roman" w:eastAsia="Times New Roman" w:hAnsi="Times New Roman"/>
          <w:i/>
          <w:iCs/>
          <w:sz w:val="24"/>
          <w:szCs w:val="24"/>
        </w:rPr>
        <w:t xml:space="preserve">(A) One that doesn't lose money | (B) One that beats inflation | (C) One that aligns with my financial goals | (D) One that produces the highest return, regardless of risk</w:t>
      </w:r>
    </w:p>
    <w:p>
      <w:pPr>
        <w:spacing w:line="360" w:after="200"/>
      </w:pPr>
      <w:r>
        <w:rPr>
          <w:rFonts w:ascii="Times New Roman" w:cs="Times New Roman" w:eastAsia="Times New Roman" w:hAnsi="Times New Roman"/>
          <w:b/>
          <w:bCs/>
          <w:sz w:val="24"/>
          <w:szCs w:val="24"/>
        </w:rPr>
        <w:t xml:space="preserve">Q26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(Downside Awareness).</w:t>
      </w:r>
      <w:r>
        <w:rPr>
          <w:rFonts w:ascii="Times New Roman" w:cs="Times New Roman" w:eastAsia="Times New Roman" w:hAnsi="Times New Roman"/>
          <w:sz w:val="24"/>
          <w:szCs w:val="24"/>
        </w:rPr>
        <w:t xml:space="preserve"> When making financial decisions, how often do you consider the potential downside risk? </w:t>
      </w:r>
      <w:r>
        <w:rPr>
          <w:rFonts w:ascii="Times New Roman" w:cs="Times New Roman" w:eastAsia="Times New Roman" w:hAnsi="Times New Roman"/>
          <w:i/>
          <w:iCs/>
          <w:sz w:val="24"/>
          <w:szCs w:val="24"/>
        </w:rPr>
        <w:t xml:space="preserve">(A) Never | (B) Rarely | (C) Sometimes | (D) Always</w:t>
      </w:r>
    </w:p>
    <w:p>
      <w:pPr>
        <w:spacing w:line="360" w:after="200"/>
      </w:pPr>
      <w:r>
        <w:rPr>
          <w:rFonts w:ascii="Times New Roman" w:cs="Times New Roman" w:eastAsia="Times New Roman" w:hAnsi="Times New Roman"/>
          <w:b/>
          <w:bCs/>
          <w:sz w:val="24"/>
          <w:szCs w:val="24"/>
        </w:rPr>
        <w:t xml:space="preserve">Q27</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(Risk Preference in Income).</w:t>
      </w:r>
      <w:r>
        <w:rPr>
          <w:rFonts w:ascii="Times New Roman" w:cs="Times New Roman" w:eastAsia="Times New Roman" w:hAnsi="Times New Roman"/>
          <w:sz w:val="24"/>
          <w:szCs w:val="24"/>
        </w:rPr>
        <w:t xml:space="preserve"> Imagine you're offered two jobs. Job A pays more but has uncertain income and less security. Job B pays less but is stable. Which do you choose? </w:t>
      </w:r>
      <w:r>
        <w:rPr>
          <w:rFonts w:ascii="Times New Roman" w:cs="Times New Roman" w:eastAsia="Times New Roman" w:hAnsi="Times New Roman"/>
          <w:i/>
          <w:iCs/>
          <w:sz w:val="24"/>
          <w:szCs w:val="24"/>
        </w:rPr>
        <w:t xml:space="preserve">(A) Definitely Job A | (B) Probably Job A | (C) Probably Job B | (D) Definitely Job B</w:t>
      </w:r>
    </w:p>
    <w:p>
      <w:pPr>
        <w:spacing w:line="360" w:after="200"/>
      </w:pPr>
      <w:r>
        <w:rPr>
          <w:rFonts w:ascii="Times New Roman" w:cs="Times New Roman" w:eastAsia="Times New Roman" w:hAnsi="Times New Roman"/>
          <w:b/>
          <w:bCs/>
          <w:sz w:val="24"/>
          <w:szCs w:val="24"/>
        </w:rPr>
        <w:t xml:space="preserve">Q28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(Scam Skepticism).</w:t>
      </w:r>
      <w:r>
        <w:rPr>
          <w:rFonts w:ascii="Times New Roman" w:cs="Times New Roman" w:eastAsia="Times New Roman" w:hAnsi="Times New Roman"/>
          <w:sz w:val="24"/>
          <w:szCs w:val="24"/>
        </w:rPr>
        <w:t xml:space="preserve"> If an investment opportunity promises unusually high returns with little explanation of how, what do you do? </w:t>
      </w:r>
      <w:r>
        <w:rPr>
          <w:rFonts w:ascii="Times New Roman" w:cs="Times New Roman" w:eastAsia="Times New Roman" w:hAnsi="Times New Roman"/>
          <w:i/>
          <w:iCs/>
          <w:sz w:val="24"/>
          <w:szCs w:val="24"/>
        </w:rPr>
        <w:t xml:space="preserve">(A) Invest a small amount just to test it | (B) Ask for more details and do research | (C) Avoid it, it seems too good to be true | (D) Immediately take advantage before it's gone</w:t>
      </w:r>
    </w:p>
    <w:p>
      <w:pPr>
        <w:pStyle w:val="Heading2"/>
        <w:spacing w:before="360" w:after="180"/>
      </w:pPr>
      <w:r>
        <w:rPr>
          <w:rFonts w:ascii="Times New Roman" w:cs="Times New Roman" w:eastAsia="Times New Roman" w:hAnsi="Times New Roman"/>
          <w:sz w:val="24"/>
          <w:szCs w:val="24"/>
        </w:rPr>
        <w:t xml:space="preserve">B.6: Risk and Return Knowledge (Q29--Q40, Scored)</w:t>
      </w:r>
    </w:p>
    <w:p>
      <w:pPr>
        <w:spacing w:line="360" w:after="200"/>
      </w:pPr>
      <w:r>
        <w:rPr>
          <w:rFonts w:ascii="Times New Roman" w:cs="Times New Roman" w:eastAsia="Times New Roman" w:hAnsi="Times New Roman"/>
          <w:b/>
          <w:bCs/>
          <w:sz w:val="24"/>
          <w:szCs w:val="24"/>
        </w:rPr>
        <w:t xml:space="preserve">Q29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(Investing).</w:t>
      </w:r>
      <w:r>
        <w:rPr>
          <w:rFonts w:ascii="Times New Roman" w:cs="Times New Roman" w:eastAsia="Times New Roman" w:hAnsi="Times New Roman"/>
          <w:sz w:val="24"/>
          <w:szCs w:val="24"/>
        </w:rPr>
        <w:t xml:space="preserve"> If interest rates rise, what will typically happen to bond prices? </w:t>
      </w:r>
      <w:r>
        <w:rPr>
          <w:rFonts w:ascii="Times New Roman" w:cs="Times New Roman" w:eastAsia="Times New Roman" w:hAnsi="Times New Roman"/>
          <w:i/>
          <w:iCs/>
          <w:sz w:val="24"/>
          <w:szCs w:val="24"/>
        </w:rPr>
        <w:t xml:space="preserve">(A) They will rise | (B) They will fall | (C) They will stay the same | (D) There is no relationship | (E)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B</w:t>
      </w:r>
    </w:p>
    <w:p>
      <w:pPr>
        <w:spacing w:line="360" w:after="200"/>
      </w:pPr>
      <w:r>
        <w:rPr>
          <w:rFonts w:ascii="Times New Roman" w:cs="Times New Roman" w:eastAsia="Times New Roman" w:hAnsi="Times New Roman"/>
          <w:b/>
          <w:bCs/>
          <w:sz w:val="24"/>
          <w:szCs w:val="24"/>
        </w:rPr>
        <w:t xml:space="preserve">Q30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(Investing).</w:t>
      </w:r>
      <w:r>
        <w:rPr>
          <w:rFonts w:ascii="Times New Roman" w:cs="Times New Roman" w:eastAsia="Times New Roman" w:hAnsi="Times New Roman"/>
          <w:sz w:val="24"/>
          <w:szCs w:val="24"/>
        </w:rPr>
        <w:t xml:space="preserve"> An investment with a high return is likely to be high risk. True or false? </w:t>
      </w:r>
      <w:r>
        <w:rPr>
          <w:rFonts w:ascii="Times New Roman" w:cs="Times New Roman" w:eastAsia="Times New Roman" w:hAnsi="Times New Roman"/>
          <w:i/>
          <w:iCs/>
          <w:sz w:val="24"/>
          <w:szCs w:val="24"/>
        </w:rPr>
        <w:t xml:space="preserve">(A) True | (B) False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Q31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(Investing).</w:t>
      </w:r>
      <w:r>
        <w:rPr>
          <w:rFonts w:ascii="Times New Roman" w:cs="Times New Roman" w:eastAsia="Times New Roman" w:hAnsi="Times New Roman"/>
          <w:sz w:val="24"/>
          <w:szCs w:val="24"/>
        </w:rPr>
        <w:t xml:space="preserve"> Which of the following best describes what the stock market does? </w:t>
      </w:r>
      <w:r>
        <w:rPr>
          <w:rFonts w:ascii="Times New Roman" w:cs="Times New Roman" w:eastAsia="Times New Roman" w:hAnsi="Times New Roman"/>
          <w:i/>
          <w:iCs/>
          <w:sz w:val="24"/>
          <w:szCs w:val="24"/>
        </w:rPr>
        <w:t xml:space="preserve">(A) Results in a gain in wealth for investors | (B) Creates liquidity by guaranteeing investors a profit | (C) Brings people who want to buy stocks together with those who want to sell stocks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spacing w:line="360" w:after="200"/>
      </w:pPr>
      <w:r>
        <w:rPr>
          <w:rFonts w:ascii="Times New Roman" w:cs="Times New Roman" w:eastAsia="Times New Roman" w:hAnsi="Times New Roman"/>
          <w:b/>
          <w:bCs/>
          <w:sz w:val="24"/>
          <w:szCs w:val="24"/>
        </w:rPr>
        <w:t xml:space="preserve">Q32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(Investing).</w:t>
      </w:r>
      <w:r>
        <w:rPr>
          <w:rFonts w:ascii="Times New Roman" w:cs="Times New Roman" w:eastAsia="Times New Roman" w:hAnsi="Times New Roman"/>
          <w:sz w:val="24"/>
          <w:szCs w:val="24"/>
        </w:rPr>
        <w:t xml:space="preserve"> Considering a long time period (e.g., 10--20 years), which asset normally gives the highest return? </w:t>
      </w:r>
      <w:r>
        <w:rPr>
          <w:rFonts w:ascii="Times New Roman" w:cs="Times New Roman" w:eastAsia="Times New Roman" w:hAnsi="Times New Roman"/>
          <w:i/>
          <w:iCs/>
          <w:sz w:val="24"/>
          <w:szCs w:val="24"/>
        </w:rPr>
        <w:t xml:space="preserve">(A) Savings accounts | (B) Bonds | (C) Stocks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spacing w:line="360" w:after="200"/>
      </w:pPr>
      <w:r>
        <w:rPr>
          <w:rFonts w:ascii="Times New Roman" w:cs="Times New Roman" w:eastAsia="Times New Roman" w:hAnsi="Times New Roman"/>
          <w:b/>
          <w:bCs/>
          <w:sz w:val="24"/>
          <w:szCs w:val="24"/>
        </w:rPr>
        <w:t xml:space="preserve">Q33</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(Basic Probability).</w:t>
      </w:r>
      <w:r>
        <w:rPr>
          <w:rFonts w:ascii="Times New Roman" w:cs="Times New Roman" w:eastAsia="Times New Roman" w:hAnsi="Times New Roman"/>
          <w:sz w:val="24"/>
          <w:szCs w:val="24"/>
        </w:rPr>
        <w:t xml:space="preserve"> In the BIG BUCKS LOTTERY, the chance of winning a $10 prize is 1%. What is your best guess about how many people would win a $10 prize if 1,000 people each buy a single ticket? </w:t>
      </w:r>
      <w:r>
        <w:rPr>
          <w:rFonts w:ascii="Times New Roman" w:cs="Times New Roman" w:eastAsia="Times New Roman" w:hAnsi="Times New Roman"/>
          <w:i/>
          <w:iCs/>
          <w:sz w:val="24"/>
          <w:szCs w:val="24"/>
        </w:rPr>
        <w:t xml:space="preserve">(A) 5 | (B) 8 | (C) 10 | (D) 12 | (E)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spacing w:line="360" w:after="200"/>
      </w:pPr>
      <w:r>
        <w:rPr>
          <w:rFonts w:ascii="Times New Roman" w:cs="Times New Roman" w:eastAsia="Times New Roman" w:hAnsi="Times New Roman"/>
          <w:b/>
          <w:bCs/>
          <w:sz w:val="24"/>
          <w:szCs w:val="24"/>
        </w:rPr>
        <w:t xml:space="preserve">Q34</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(Diversification Effect).</w:t>
      </w:r>
      <w:r>
        <w:rPr>
          <w:rFonts w:ascii="Times New Roman" w:cs="Times New Roman" w:eastAsia="Times New Roman" w:hAnsi="Times New Roman"/>
          <w:sz w:val="24"/>
          <w:szCs w:val="24"/>
        </w:rPr>
        <w:t xml:space="preserve"> When an investor spreads money among different assets, does the risk of losing money usually increase, decrease, or stay the same? </w:t>
      </w:r>
      <w:r>
        <w:rPr>
          <w:rFonts w:ascii="Times New Roman" w:cs="Times New Roman" w:eastAsia="Times New Roman" w:hAnsi="Times New Roman"/>
          <w:i/>
          <w:iCs/>
          <w:sz w:val="24"/>
          <w:szCs w:val="24"/>
        </w:rPr>
        <w:t xml:space="preserve">(A) Increase | (B) Decrease | (C) Stay the same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B</w:t>
      </w:r>
    </w:p>
    <w:p>
      <w:pPr>
        <w:spacing w:line="360" w:after="200"/>
      </w:pPr>
      <w:r>
        <w:rPr>
          <w:rFonts w:ascii="Times New Roman" w:cs="Times New Roman" w:eastAsia="Times New Roman" w:hAnsi="Times New Roman"/>
          <w:b/>
          <w:bCs/>
          <w:sz w:val="24"/>
          <w:szCs w:val="24"/>
        </w:rPr>
        <w:t xml:space="preserve">Q35</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(Risk-Return Relationship).</w:t>
      </w:r>
      <w:r>
        <w:rPr>
          <w:rFonts w:ascii="Times New Roman" w:cs="Times New Roman" w:eastAsia="Times New Roman" w:hAnsi="Times New Roman"/>
          <w:sz w:val="24"/>
          <w:szCs w:val="24"/>
        </w:rPr>
        <w:t xml:space="preserve"> If someone offers you the chance to make a lot of money, it is likely that there is also a chance that you will lose a lot of money. True or false? </w:t>
      </w:r>
      <w:r>
        <w:rPr>
          <w:rFonts w:ascii="Times New Roman" w:cs="Times New Roman" w:eastAsia="Times New Roman" w:hAnsi="Times New Roman"/>
          <w:i/>
          <w:iCs/>
          <w:sz w:val="24"/>
          <w:szCs w:val="24"/>
        </w:rPr>
        <w:t xml:space="preserve">(A) True | (B) False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Q36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(Diversification Principle).</w:t>
      </w:r>
      <w:r>
        <w:rPr>
          <w:rFonts w:ascii="Times New Roman" w:cs="Times New Roman" w:eastAsia="Times New Roman" w:hAnsi="Times New Roman"/>
          <w:sz w:val="24"/>
          <w:szCs w:val="24"/>
        </w:rPr>
        <w:t xml:space="preserve"> True or false: It is less likely that you will lose all of your money if you save it in more than one place. </w:t>
      </w:r>
      <w:r>
        <w:rPr>
          <w:rFonts w:ascii="Times New Roman" w:cs="Times New Roman" w:eastAsia="Times New Roman" w:hAnsi="Times New Roman"/>
          <w:i/>
          <w:iCs/>
          <w:sz w:val="24"/>
          <w:szCs w:val="24"/>
        </w:rPr>
        <w:t xml:space="preserve">(A) True | (B) False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Q37</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(Insurance).</w:t>
      </w:r>
      <w:r>
        <w:rPr>
          <w:rFonts w:ascii="Times New Roman" w:cs="Times New Roman" w:eastAsia="Times New Roman" w:hAnsi="Times New Roman"/>
          <w:sz w:val="24"/>
          <w:szCs w:val="24"/>
        </w:rPr>
        <w:t xml:space="preserve"> Which of the following insurance policies is most likely to protect you if you cause an accident that injures someone? </w:t>
      </w:r>
      <w:r>
        <w:rPr>
          <w:rFonts w:ascii="Times New Roman" w:cs="Times New Roman" w:eastAsia="Times New Roman" w:hAnsi="Times New Roman"/>
          <w:i/>
          <w:iCs/>
          <w:sz w:val="24"/>
          <w:szCs w:val="24"/>
        </w:rPr>
        <w:t xml:space="preserve">(A) Health insurance | (B) Homeowner's or renter's insurance | (C) Auto insurance liability coverage | (D)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C</w:t>
      </w:r>
    </w:p>
    <w:p>
      <w:pPr>
        <w:spacing w:line="360" w:after="200"/>
      </w:pPr>
      <w:r>
        <w:rPr>
          <w:rFonts w:ascii="Times New Roman" w:cs="Times New Roman" w:eastAsia="Times New Roman" w:hAnsi="Times New Roman"/>
          <w:b/>
          <w:bCs/>
          <w:sz w:val="24"/>
          <w:szCs w:val="24"/>
        </w:rPr>
        <w:t xml:space="preserve">Q38</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(Inflation Risk).</w:t>
      </w:r>
      <w:r>
        <w:rPr>
          <w:rFonts w:ascii="Times New Roman" w:cs="Times New Roman" w:eastAsia="Times New Roman" w:hAnsi="Times New Roman"/>
          <w:sz w:val="24"/>
          <w:szCs w:val="24"/>
        </w:rPr>
        <w:t xml:space="preserve"> Which of the following types of investment would best protect the purchasing power of a family's savings in the event of a sudden increase in inflation? </w:t>
      </w:r>
      <w:r>
        <w:rPr>
          <w:rFonts w:ascii="Times New Roman" w:cs="Times New Roman" w:eastAsia="Times New Roman" w:hAnsi="Times New Roman"/>
          <w:i/>
          <w:iCs/>
          <w:sz w:val="24"/>
          <w:szCs w:val="24"/>
        </w:rPr>
        <w:t xml:space="preserve">(A) A 10-year bond paying a fixed rate of interest | (B) A certificate of deposit at a bank | (C) A 25-year home mortgage at a fixed rate | (D) A house financed with a fixed-rate mortgage | (E)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D</w:t>
      </w:r>
    </w:p>
    <w:p>
      <w:pPr>
        <w:spacing w:line="360" w:after="200"/>
      </w:pPr>
      <w:r>
        <w:rPr>
          <w:rFonts w:ascii="Times New Roman" w:cs="Times New Roman" w:eastAsia="Times New Roman" w:hAnsi="Times New Roman"/>
          <w:b/>
          <w:bCs/>
          <w:sz w:val="24"/>
          <w:szCs w:val="24"/>
        </w:rPr>
        <w:t xml:space="preserve">Q39</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(Asset Class Risk).</w:t>
      </w:r>
      <w:r>
        <w:rPr>
          <w:rFonts w:ascii="Times New Roman" w:cs="Times New Roman" w:eastAsia="Times New Roman" w:hAnsi="Times New Roman"/>
          <w:sz w:val="24"/>
          <w:szCs w:val="24"/>
        </w:rPr>
        <w:t xml:space="preserve"> True or false: Stocks are generally riskier than bonds. </w:t>
      </w:r>
      <w:r>
        <w:rPr>
          <w:rFonts w:ascii="Times New Roman" w:cs="Times New Roman" w:eastAsia="Times New Roman" w:hAnsi="Times New Roman"/>
          <w:i/>
          <w:iCs/>
          <w:sz w:val="24"/>
          <w:szCs w:val="24"/>
        </w:rPr>
        <w:t xml:space="preserve">(A) True | (B) False | (C) Do not know</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A</w:t>
      </w:r>
    </w:p>
    <w:p>
      <w:pPr>
        <w:spacing w:line="360" w:after="200"/>
      </w:pPr>
      <w:r>
        <w:rPr>
          <w:rFonts w:ascii="Times New Roman" w:cs="Times New Roman" w:eastAsia="Times New Roman" w:hAnsi="Times New Roman"/>
          <w:b/>
          <w:bCs/>
          <w:sz w:val="24"/>
          <w:szCs w:val="24"/>
        </w:rPr>
        <w:t xml:space="preserve">Q40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(Crisis/Systemic Risk).</w:t>
      </w:r>
      <w:r>
        <w:rPr>
          <w:rFonts w:ascii="Times New Roman" w:cs="Times New Roman" w:eastAsia="Times New Roman" w:hAnsi="Times New Roman"/>
          <w:sz w:val="24"/>
          <w:szCs w:val="24"/>
        </w:rPr>
        <w:t xml:space="preserve"> What was a key factor contributing to the 2007 to 2008 financial crisis? </w:t>
      </w:r>
      <w:r>
        <w:rPr>
          <w:rFonts w:ascii="Times New Roman" w:cs="Times New Roman" w:eastAsia="Times New Roman" w:hAnsi="Times New Roman"/>
          <w:i/>
          <w:iCs/>
          <w:sz w:val="24"/>
          <w:szCs w:val="24"/>
        </w:rPr>
        <w:t xml:space="preserve">(A) Strong regulation of mortgage lending | (B) Widespread failure to properly assess and manage financial risk | (C) High household savings rates | (D) Low levels of borrowing by households</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Answer: B</w:t>
      </w:r>
    </w:p>
    <w:p>
      <w:pPr>
        <w:pStyle w:val="Heading1"/>
        <w:pageBreakBefore/>
        <w:spacing w:before="480" w:after="240"/>
      </w:pPr>
      <w:r>
        <w:rPr>
          <w:rFonts w:ascii="Times New Roman" w:cs="Times New Roman" w:eastAsia="Times New Roman" w:hAnsi="Times New Roman"/>
          <w:sz w:val="24"/>
          <w:szCs w:val="24"/>
        </w:rPr>
        <w:t xml:space="preserve">Appendix C: Financial Literacy Misconception Taxonomy (Layer 1)</w:t>
      </w:r>
    </w:p>
    <w:p>
      <w:pPr>
        <w:spacing w:line="360" w:after="200"/>
      </w:pPr>
      <w:r>
        <w:rPr>
          <w:rFonts w:ascii="Times New Roman" w:cs="Times New Roman" w:eastAsia="Times New Roman" w:hAnsi="Times New Roman"/>
          <w:sz w:val="24"/>
          <w:szCs w:val="24"/>
        </w:rPr>
        <w:t xml:space="preserve">Layer 1 contains 37 generalizable financial literacy misconception families organized into seven categories. These codes are designed to be reproducible across assessment contexts, student populations, and institutions. Layer 2 item-specific tags (derived from observed student responses) are documented in the supplementary materials.</w:t>
      </w:r>
    </w:p>
    <w:p>
      <w:pPr>
        <w:pStyle w:val="Heading2"/>
        <w:spacing w:before="360" w:after="180"/>
      </w:pPr>
      <w:r>
        <w:rPr>
          <w:rFonts w:ascii="Times New Roman" w:cs="Times New Roman" w:eastAsia="Times New Roman" w:hAnsi="Times New Roman"/>
          <w:sz w:val="24"/>
          <w:szCs w:val="24"/>
        </w:rPr>
        <w:t xml:space="preserve">Category 1: Inflation and Purchasing Power (INF)</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Observed in Test 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Lower inflation = falling prices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Confuses a decrease in the inflation rate with deflation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Q6 (dominant)</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Inflation definition confusion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understand inflation as a general rise in price levels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Fixed income impact misunderstood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understand why fixed income earners are most hurt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Q7</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Inflation protection confusion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know which assets/contracts benefit from inflation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Q38</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INF-05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Empathy-driven inflation reasoning</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Selects "who is hurt most" based on personal identification, not economic logic</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Q7</w:t>
            </w:r>
          </w:p>
        </w:tc>
      </w:tr>
    </w:tbl>
    <w:p>
      <w:pPr>
        <w:spacing w:after="200"/>
      </w:pPr>
    </w:p>
    <w:p>
      <w:pPr>
        <w:pStyle w:val="Heading2"/>
        <w:spacing w:before="360" w:after="180"/>
      </w:pPr>
      <w:r>
        <w:rPr>
          <w:rFonts w:ascii="Times New Roman" w:cs="Times New Roman" w:eastAsia="Times New Roman" w:hAnsi="Times New Roman"/>
          <w:sz w:val="24"/>
          <w:szCs w:val="24"/>
        </w:rPr>
        <w:t xml:space="preserve">Category 2: Interest, Compounding, and Time Value of Money (INT)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Observed in Test 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Interest as a fee to the saver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saving money costs the saver through interest charges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 compounding awareness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Calculates simple interest only</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Loan term does not affect total interest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total interest is the same regardless of loan length</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Q2</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Shorter term = higher total cost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shorter loan terms cost more because payments are higher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Q2</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Interest rates not negotiable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consumer interest rates are fixed by authorities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Q8</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Bond price-interest rate relationship reversed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bond prices rise when interest rates rise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Q29</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INT-07</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Zero interest concept confusion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Cannot calculate interest on a simple borrow/repay scenario</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Q4 (small n)</w:t>
            </w:r>
          </w:p>
        </w:tc>
      </w:tr>
    </w:tbl>
    <w:p>
      <w:pPr>
        <w:spacing w:after="200"/>
      </w:pPr>
    </w:p>
    <w:p>
      <w:pPr>
        <w:pStyle w:val="Heading2"/>
        <w:spacing w:before="360" w:after="180"/>
      </w:pPr>
      <w:r>
        <w:rPr>
          <w:rFonts w:ascii="Times New Roman" w:cs="Times New Roman" w:eastAsia="Times New Roman" w:hAnsi="Times New Roman"/>
          <w:sz w:val="24"/>
          <w:szCs w:val="24"/>
        </w:rPr>
        <w:t xml:space="preserve">Category 3: Risk, Return, and Diversification (RISK)</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Observed in Test 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Safety = highest returns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Equates low risk with high returns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Q32</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Exceptions disprove general rule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specific exceptions invalidate the risk-return principle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Q30, Q35</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Diversification increases risk</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spreading across assets increases complexity and risk</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Q14, Q34</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Diversification understood but misapplied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Correct reasoning but wrong answer (selection error)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Q36</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Single stock safer than mutual fund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concentrated investment is safer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Mutual fund unfamiliarity</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know what a mutual fund is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Q11 (KG)</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RISK-07</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Stock market guarantees returns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the stock market guarantees profit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RISK-08</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Stocks vs. bonds risk confusion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know stocks are generally riskier than bonds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Q39</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RISK-09</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Long-term asset return confusion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know stocks have historically highest long-term returns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Q32</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RISK-10</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Real-world counterexamples applied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Uses non-financial scenarios to disprove financial principles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Q35</w:t>
            </w:r>
          </w:p>
        </w:tc>
      </w:tr>
    </w:tbl>
    <w:p>
      <w:pPr>
        <w:spacing w:after="200"/>
      </w:pPr>
    </w:p>
    <w:p>
      <w:pPr>
        <w:pStyle w:val="Heading2"/>
        <w:spacing w:before="360" w:after="180"/>
      </w:pPr>
      <w:r>
        <w:rPr>
          <w:rFonts w:ascii="Times New Roman" w:cs="Times New Roman" w:eastAsia="Times New Roman" w:hAnsi="Times New Roman"/>
          <w:sz w:val="24"/>
          <w:szCs w:val="24"/>
        </w:rPr>
        <w:t xml:space="preserve">Category 4: Insurance and Risk Management (INS)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Observed in Test 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for routine care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health insurance exists mainly for checkups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Q12</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INS-02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Frequency = purpose reasoning</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Because routine care is used more often, it must be primary</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Q12</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INS-03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Deductible definition wrong</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Confuses deductible with premium, copay, or max payout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Q13</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INS-04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Liability coverage scope wrong</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auto liability covers own injuries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Q37</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INS-05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Insurance excludes large bills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insurance does not cover major unexpected expenses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Q12</w:t>
            </w:r>
          </w:p>
        </w:tc>
      </w:tr>
    </w:tbl>
    <w:p>
      <w:pPr>
        <w:spacing w:after="200"/>
      </w:pPr>
    </w:p>
    <w:p>
      <w:pPr>
        <w:pStyle w:val="Heading2"/>
        <w:spacing w:before="360" w:after="180"/>
      </w:pPr>
      <w:r>
        <w:rPr>
          <w:rFonts w:ascii="Times New Roman" w:cs="Times New Roman" w:eastAsia="Times New Roman" w:hAnsi="Times New Roman"/>
          <w:sz w:val="24"/>
          <w:szCs w:val="24"/>
        </w:rPr>
        <w:t xml:space="preserve">Category 5: Borrowing, Credit, and Personal Finance (BORROW)</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Observed in Test 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Credit report vs. score confusion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Conflates credit report content with credit scoring</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Q10</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Single credit source belief</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credit information comes from one source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Q10</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Employer credit check unknown</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know employers can check credit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Q10</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BORROW-04</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Emergency fund based on income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emergency fund should scale with income, not expenses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Q5</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BORROW-05</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Emergency fund amount too low</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one month or a fixed small amount is sufficient</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Q5</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BORROW-06</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Budgeting purpose misunderstood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Does not understand budgeting as planning for bills and savings</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Q9 (small n)</w:t>
            </w:r>
          </w:p>
        </w:tc>
      </w:tr>
    </w:tbl>
    <w:p>
      <w:pPr>
        <w:spacing w:after="200"/>
      </w:pPr>
    </w:p>
    <w:p>
      <w:pPr>
        <w:pStyle w:val="Heading2"/>
        <w:spacing w:before="360" w:after="180"/>
      </w:pPr>
      <w:r>
        <w:rPr>
          <w:rFonts w:ascii="Times New Roman" w:cs="Times New Roman" w:eastAsia="Times New Roman" w:hAnsi="Times New Roman"/>
          <w:sz w:val="24"/>
          <w:szCs w:val="24"/>
        </w:rPr>
        <w:t xml:space="preserve">Category 6: Financial Crises and Systemic Risk (CRISIS)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Observed in Test 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CRISIS-01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2008 crisis cause reversed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low borrowing caused the crash</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Q40</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CRISIS-02</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Crisis attributed to savings risk</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Believes the crisis was about savings losing value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Q40</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CRISIS-03</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Risk management role misunderstood</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Cannot connect poor risk management to systemic failure</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Q40</w:t>
            </w:r>
          </w:p>
        </w:tc>
      </w:tr>
    </w:tbl>
    <w:p>
      <w:pPr>
        <w:spacing w:after="200"/>
      </w:pPr>
    </w:p>
    <w:p>
      <w:pPr>
        <w:pStyle w:val="Heading2"/>
        <w:spacing w:before="360" w:after="180"/>
      </w:pPr>
      <w:r>
        <w:rPr>
          <w:rFonts w:ascii="Times New Roman" w:cs="Times New Roman" w:eastAsia="Times New Roman" w:hAnsi="Times New Roman"/>
          <w:sz w:val="24"/>
          <w:szCs w:val="24"/>
        </w:rPr>
        <w:t xml:space="preserve">Category 7: Numeracy and Quantitative Reasoning (NUM)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Misconception Family</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c>
          <w:tcPr>
            <w:tcW w:type="dxa" w:w="23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Observed in Test 1</w:t>
            </w:r>
          </w:p>
        </w:tc>
      </w:tr>
      <w:tr>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NUM-01</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Percentage to count conversion error</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Cannot calculate X% of N correctly</w:t>
            </w:r>
          </w:p>
        </w:tc>
        <w:tc>
          <w:tcPr>
            <w:tcW w:type="dxa" w:w="23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 Q33 (small n)</w:t>
            </w:r>
          </w:p>
        </w:tc>
      </w:tr>
    </w:tbl>
    <w:p>
      <w:pPr>
        <w:spacing w:after="200"/>
      </w:pPr>
    </w:p>
    <w:p>
      <w:pPr>
        <w:pStyle w:val="Heading2"/>
        <w:spacing w:before="360" w:after="180"/>
      </w:pPr>
      <w:r>
        <w:rPr>
          <w:rFonts w:ascii="Times New Roman" w:cs="Times New Roman" w:eastAsia="Times New Roman" w:hAnsi="Times New Roman"/>
          <w:sz w:val="24"/>
          <w:szCs w:val="24"/>
        </w:rPr>
        <w:t xml:space="preserve">Cross-Cutting Response Types (Not Misconceptions)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Code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Type</w:t>
            </w:r>
          </w:p>
        </w:tc>
        <w:tc>
          <w:tcPr>
            <w:tcW w:type="dxa" w:w="312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KG</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Knowledge Gap</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Student has no knowledge (explicit IDK, blank, unfamiliar with terms)</w:t>
            </w:r>
          </w:p>
        </w:tc>
      </w:tr>
      <w:tr>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Selection Error</w:t>
            </w:r>
          </w:p>
        </w:tc>
        <w:tc>
          <w:tcPr>
            <w:tcW w:type="dxa" w:w="312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Student demonstrates correct understanding but selected wrong answer</w:t>
            </w:r>
          </w:p>
        </w:tc>
      </w:tr>
    </w:tbl>
    <w:p>
      <w:pPr>
        <w:spacing w:after="200"/>
      </w:pPr>
    </w:p>
    <w:p>
      <w:pPr>
        <w:pStyle w:val="Heading1"/>
        <w:pageBreakBefore/>
        <w:spacing w:before="480" w:after="240"/>
      </w:pPr>
      <w:r>
        <w:rPr>
          <w:rFonts w:ascii="Times New Roman" w:cs="Times New Roman" w:eastAsia="Times New Roman" w:hAnsi="Times New Roman"/>
          <w:sz w:val="24"/>
          <w:szCs w:val="24"/>
        </w:rPr>
        <w:t xml:space="preserve">Appendix D: AI Scorer Model Selection Protocol</w:t>
      </w:r>
    </w:p>
    <w:p>
      <w:pPr>
        <w:spacing w:line="360" w:after="200"/>
      </w:pPr>
      <w:r>
        <w:rPr>
          <w:rFonts w:ascii="Times New Roman" w:cs="Times New Roman" w:eastAsia="Times New Roman" w:hAnsi="Times New Roman"/>
          <w:sz w:val="24"/>
          <w:szCs w:val="24"/>
        </w:rPr>
        <w:t xml:space="preserve">To select the scoring model for the AI-assisted classification pipeline (Section 4.4), we conducted a multi-model concordance evaluation. Twenty identical open-ended student responses (11 diagnose, 9 confirm) were scored by 11 large language models from seven providers, accessed via the OpenRouter API. Models were evaluated on five criteria: (1) JSON schema compliance (whether diagnose items returned the correct diagnose-format output), (2) parse/API error rate, (3) classification nuance (use of partial credit, confidence variation, and balanced classification distributions), (4) throughput (wall-clock time for 20 responses), and (5) estimated cost for the full corpus.</w:t>
      </w:r>
    </w:p>
    <w:p>
      <w:pPr>
        <w:spacing w:line="360" w:after="200"/>
      </w:pPr>
      <w:r>
        <w:rPr>
          <w:rFonts w:ascii="Times New Roman" w:cs="Times New Roman" w:eastAsia="Times New Roman" w:hAnsi="Times New Roman"/>
          <w:b/>
          <w:bCs/>
          <w:sz w:val="24"/>
          <w:szCs w:val="24"/>
        </w:rPr>
        <w:t xml:space="preserve">Table D.1: Multi-Model Concordance Results (n = 20 identical responses)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040"/>
        <w:gridCol w:w="1040"/>
        <w:gridCol w:w="1040"/>
        <w:gridCol w:w="1040"/>
        <w:gridCol w:w="1040"/>
        <w:gridCol w:w="1040"/>
        <w:gridCol w:w="1040"/>
        <w:gridCol w:w="1040"/>
        <w:gridCol w:w="1040"/>
      </w:tblGrid>
      <w:tr>
        <w:trPr>
          <w:tblHeader/>
        </w:trPr>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Model</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Provider</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Schema Violations</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Errors</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Time (20)</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Uses credit=50</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Confidence Variation</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Est. Cost (953)</w:t>
            </w:r>
          </w:p>
        </w:tc>
        <w:tc>
          <w:tcPr>
            <w:tcW w:type="dxa" w:w="1040"/>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Verdict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GPT-4.1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OpenAI</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41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 high / 1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$2.86</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Selected</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DeepSeek V3.2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DeepSeek</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266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 high / 2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$0.24</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Too slow (~3.5 h)</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Grok 4.1 Fast</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xAI</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 parse failure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144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 high / 1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$0.22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 error rate</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Qwen3-235B</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Alibaba</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84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 high / 0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$0.07</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 partial credit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GPT-4o-mini</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OpenAI</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37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 high / 2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$0.22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Overly strict</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Claude Haiku 4.5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Anthropic</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56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 high / 0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$1.58</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Over-detects SE</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Gemini 3 Flash</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Google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 (rate limit)</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42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18 high / 1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$0.80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Schema violation</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Claude Sonnet 4.5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Anthropic</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71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Yes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 high / 1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$4.72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Schema violation</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Gemini 2.0 Flash</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Google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34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No</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 high / 0 medium</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$0.15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Disqualified</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Minimax M2.1</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Minimax</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19 of 20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83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Disqualified</w:t>
            </w:r>
          </w:p>
        </w:tc>
      </w:tr>
      <w:tr>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Kimi K2.5</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Moonshot AI</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20 of 20</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173 s</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w:t>
            </w:r>
          </w:p>
        </w:tc>
        <w:tc>
          <w:tcPr>
            <w:tcW w:type="dxa" w:w="104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Disqualified</w:t>
            </w:r>
          </w:p>
        </w:tc>
      </w:tr>
    </w:tbl>
    <w:p>
      <w:pPr>
        <w:spacing w:after="200"/>
      </w:pPr>
    </w:p>
    <w:p>
      <w:pPr>
        <w:spacing w:line="360" w:after="200"/>
      </w:pPr>
      <w:r>
        <w:rPr>
          <w:rFonts w:ascii="Times New Roman" w:cs="Times New Roman" w:eastAsia="Times New Roman" w:hAnsi="Times New Roman"/>
          <w:sz w:val="24"/>
          <w:szCs w:val="24"/>
        </w:rPr>
        <w:t xml:space="preserve">Schema violations occur when a diagnose item returns the confirm-format JSON (e.g., </w:t>
      </w:r>
      <w:r>
        <w:rPr>
          <w:rFonts w:ascii="Courier New" w:cs="Courier New" w:eastAsia="Courier New" w:hAnsi="Courier New"/>
          <w:sz w:val="24"/>
          <w:szCs w:val="24"/>
        </w:rPr>
        <w:t xml:space="preserve">understanding_level</w:t>
      </w:r>
      <w:r>
        <w:rPr>
          <w:rFonts w:ascii="Times New Roman" w:cs="Times New Roman" w:eastAsia="Times New Roman" w:hAnsi="Times New Roman"/>
          <w:sz w:val="24"/>
          <w:szCs w:val="24"/>
        </w:rPr>
        <w:t xml:space="preserve"> instead of </w:t>
      </w:r>
      <w:r>
        <w:rPr>
          <w:rFonts w:ascii="Courier New" w:cs="Courier New" w:eastAsia="Courier New" w:hAnsi="Courier New"/>
          <w:sz w:val="24"/>
          <w:szCs w:val="24"/>
        </w:rPr>
        <w:t xml:space="preserve">diagnosis_type</w:t>
      </w:r>
      <w:r>
        <w:rPr>
          <w:rFonts w:ascii="Times New Roman" w:cs="Times New Roman" w:eastAsia="Times New Roman" w:hAnsi="Times New Roman"/>
          <w:sz w:val="24"/>
          <w:szCs w:val="24"/>
        </w:rPr>
        <w:t xml:space="preserve">). Three models were disqualified: Minimax M2.1 and Kimi K2.5 returned empty or unparseable responses on nearly all items; Gemini 2.0 Flash produced two schema violations and lacked any partial-credit classifications.</w:t>
      </w:r>
    </w:p>
    <w:p>
      <w:pPr>
        <w:spacing w:line="360" w:after="200"/>
      </w:pPr>
      <w:r>
        <w:rPr>
          <w:rFonts w:ascii="Times New Roman" w:cs="Times New Roman" w:eastAsia="Times New Roman" w:hAnsi="Times New Roman"/>
          <w:b/>
          <w:bCs/>
          <w:sz w:val="24"/>
          <w:szCs w:val="24"/>
        </w:rPr>
        <w:t xml:space="preserve">Table D.2: Inter-Model Agreement on Disputed Classifications</w:t>
      </w:r>
    </w:p>
    <w:p>
      <w:pPr>
        <w:spacing w:line="360" w:after="200"/>
      </w:pPr>
      <w:r>
        <w:rPr>
          <w:rFonts w:ascii="Times New Roman" w:cs="Times New Roman" w:eastAsia="Times New Roman" w:hAnsi="Times New Roman"/>
          <w:sz w:val="24"/>
          <w:szCs w:val="24"/>
        </w:rPr>
        <w:t xml:space="preserve">Four responses produced substantive disagreement among the eight non-disqualified models. Table D.2 shows the classification assigned by the five models with zero schema violations and zero or one errors.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CellMar>
          <w:top w:type="dxa" w:w="60"/>
          <w:left w:type="dxa" w:w="120"/>
          <w:bottom w:type="dxa" w:w="60"/>
          <w:right w:type="dxa" w:w="120"/>
        </w:tblCellMar>
      </w:tblPr>
      <w:tblGrid>
        <w:gridCol w:w="1337"/>
        <w:gridCol w:w="1337"/>
        <w:gridCol w:w="1337"/>
        <w:gridCol w:w="1337"/>
        <w:gridCol w:w="1337"/>
        <w:gridCol w:w="1337"/>
        <w:gridCol w:w="1338"/>
      </w:tblGrid>
      <w:tr>
        <w:trPr>
          <w:tblHeader/>
        </w:trPr>
        <w:tc>
          <w:tcPr>
            <w:tcW w:type="dxa" w:w="1337"/>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Response</w:t>
            </w:r>
          </w:p>
        </w:tc>
        <w:tc>
          <w:tcPr>
            <w:tcW w:type="dxa" w:w="1337"/>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Student Text (abbreviated)</w:t>
            </w:r>
          </w:p>
        </w:tc>
        <w:tc>
          <w:tcPr>
            <w:tcW w:type="dxa" w:w="1337"/>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GPT-4.1</w:t>
            </w:r>
          </w:p>
        </w:tc>
        <w:tc>
          <w:tcPr>
            <w:tcW w:type="dxa" w:w="1337"/>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DeepSeek V3.2</w:t>
            </w:r>
          </w:p>
        </w:tc>
        <w:tc>
          <w:tcPr>
            <w:tcW w:type="dxa" w:w="1337"/>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Grok 4.1 Fast</w:t>
            </w:r>
          </w:p>
        </w:tc>
        <w:tc>
          <w:tcPr>
            <w:tcW w:type="dxa" w:w="1337"/>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Haiku 4.5</w:t>
            </w:r>
          </w:p>
        </w:tc>
        <w:tc>
          <w:tcPr>
            <w:tcW w:type="dxa" w:w="1338"/>
            <w:tcBorders>
              <w:top w:val="single" w:color="000000" w:sz="4"/>
              <w:left w:val="single" w:color="000000" w:sz="4"/>
              <w:bottom w:val="single" w:color="000000" w:sz="4"/>
              <w:right w:val="single" w:color="000000" w:sz="4"/>
            </w:tcBorders>
            <w:shd w:fill="D5E8F0" w:color="auto" w:val="clear"/>
            <w:vAlign w:val="center"/>
          </w:tcPr>
          <w:p>
            <w:pPr>
              <w:jc w:val="center"/>
            </w:pPr>
            <w:r>
              <w:rPr>
                <w:rFonts w:ascii="Times New Roman" w:cs="Times New Roman" w:eastAsia="Times New Roman" w:hAnsi="Times New Roman"/>
                <w:b/>
                <w:bCs/>
                <w:sz w:val="22"/>
                <w:szCs w:val="22"/>
              </w:rPr>
              <w:t xml:space="preserve">Qwen3-235B</w:t>
            </w:r>
          </w:p>
        </w:tc>
      </w:tr>
      <w:tr>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Q9 Diagnose</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"safety net... preventing interest rates"</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 (selfcorrect)</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 (selfcorrect)</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 (BORROW-06)</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 (selfcorrect)</w:t>
            </w:r>
          </w:p>
        </w:tc>
        <w:tc>
          <w:tcPr>
            <w:tcW w:type="dxa" w:w="133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 (BORROW-06)</w:t>
            </w:r>
          </w:p>
        </w:tc>
      </w:tr>
      <w:tr>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Q5 Diagnose</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"having a little extra cash is safe enough"</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 (BORROW-05), credit=50</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 (BORROW-05), credit=50</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 (BORROW-05), credit=100</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KG (idk), credit=0</w:t>
            </w:r>
          </w:p>
        </w:tc>
        <w:tc>
          <w:tcPr>
            <w:tcW w:type="dxa" w:w="133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KG (idk), credit=0</w:t>
            </w:r>
          </w:p>
        </w:tc>
      </w:tr>
      <w:tr>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Q13 Diagnose</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"deductible is $500... insurance pays rest"</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 (selfcorrect)</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 (INS-03), credit=50</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 (selfcorrect)</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SE (INS-03)</w:t>
            </w:r>
          </w:p>
        </w:tc>
        <w:tc>
          <w:tcPr>
            <w:tcW w:type="dxa" w:w="133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misconc. (INS-03)</w:t>
            </w:r>
          </w:p>
        </w:tc>
      </w:tr>
      <w:tr>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Q37 Confirm</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"Liability coverage protects you from large payments..."</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verified, credit=100</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verified, credit=100</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verified, credit=100</w:t>
            </w:r>
          </w:p>
        </w:tc>
        <w:tc>
          <w:tcPr>
            <w:tcW w:type="dxa" w:w="1337"/>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partial, credit=50</w:t>
            </w:r>
          </w:p>
        </w:tc>
        <w:tc>
          <w:tcPr>
            <w:tcW w:type="dxa" w:w="1338"/>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2"/>
                <w:szCs w:val="22"/>
              </w:rPr>
              <w:t xml:space="preserve">verified, credit=100</w:t>
            </w:r>
          </w:p>
        </w:tc>
      </w:tr>
    </w:tbl>
    <w:p>
      <w:pPr>
        <w:spacing w:after="200"/>
      </w:pPr>
    </w:p>
    <w:p>
      <w:pPr>
        <w:spacing w:line="360" w:after="200"/>
      </w:pPr>
      <w:r>
        <w:rPr>
          <w:rFonts w:ascii="Times New Roman" w:cs="Times New Roman" w:eastAsia="Times New Roman" w:hAnsi="Times New Roman"/>
          <w:b/>
          <w:bCs/>
          <w:sz w:val="24"/>
          <w:szCs w:val="24"/>
        </w:rPr>
        <w:t xml:space="preserve">Selection Rationale.</w:t>
      </w:r>
      <w:r>
        <w:rPr>
          <w:rFonts w:ascii="Times New Roman" w:cs="Times New Roman" w:eastAsia="Times New Roman" w:hAnsi="Times New Roman"/>
          <w:sz w:val="24"/>
          <w:szCs w:val="24"/>
        </w:rPr>
        <w:t xml:space="preserve"> GPT-4.1 was selected as the production scorer based on: (a) zero schema violations across all 20 test items, (b) zero parse or API errors, (c) appropriate use of credit=50 for borderline misconceptions, (d) balanced classification distributions, and (e) reasonable throughput and cost (~33 minutes, ~$2.86 for the full corpus). On the disputed items, GPT-4.1's classifications aligned with the majority of the zero-error models in three of four cases, supporting its position as a concordant central scorer.</w:t>
      </w:r>
    </w:p>
    <w:p>
      <w:pPr>
        <w:pStyle w:val="Heading1"/>
        <w:pageBreakBefore/>
        <w:spacing w:before="480" w:after="240"/>
      </w:pPr>
      <w:r>
        <w:rPr>
          <w:rFonts w:ascii="Times New Roman" w:cs="Times New Roman" w:eastAsia="Times New Roman" w:hAnsi="Times New Roman"/>
          <w:sz w:val="24"/>
          <w:szCs w:val="24"/>
        </w:rPr>
        <w:t xml:space="preserve">Appendix E: Supplementary Materials</w:t>
      </w:r>
    </w:p>
    <w:p>
      <w:pPr>
        <w:spacing w:line="360" w:after="200"/>
      </w:pPr>
      <w:r>
        <w:rPr>
          <w:rFonts w:ascii="Times New Roman" w:cs="Times New Roman" w:eastAsia="Times New Roman" w:hAnsi="Times New Roman"/>
          <w:b/>
          <w:bCs/>
          <w:sz w:val="24"/>
          <w:szCs w:val="24"/>
        </w:rPr>
        <w:t xml:space="preserve">Data and materials availability.</w:t>
      </w:r>
      <w:r>
        <w:rPr>
          <w:rFonts w:ascii="Times New Roman" w:cs="Times New Roman" w:eastAsia="Times New Roman" w:hAnsi="Times New Roman"/>
          <w:sz w:val="24"/>
          <w:szCs w:val="24"/>
        </w:rPr>
        <w:t xml:space="preserve"> The de-identified data exports, orientation video, source code, and reproducible verification script (</w:t>
      </w:r>
      <w:r>
        <w:rPr>
          <w:rFonts w:ascii="Courier New" w:cs="Courier New" w:eastAsia="Courier New" w:hAnsi="Courier New"/>
          <w:sz w:val="24"/>
          <w:szCs w:val="24"/>
        </w:rPr>
        <w:t xml:space="preserve">verify_paper_tables.py</w:t>
      </w:r>
      <w:r>
        <w:rPr>
          <w:rFonts w:ascii="Times New Roman" w:cs="Times New Roman" w:eastAsia="Times New Roman" w:hAnsi="Times New Roman"/>
          <w:sz w:val="24"/>
          <w:szCs w:val="24"/>
        </w:rPr>
        <w:t xml:space="preserve">) described below are available in the project repository (Bolivard, 2026). Direct download links are provided in the repository README.</w:t>
      </w:r>
    </w:p>
    <w:p>
      <w:pPr>
        <w:pStyle w:val="ListParagraph"/>
        <w:numPr>
          <w:ilvl w:val="0"/>
          <w:numId w:val="3"/>
        </w:numPr>
        <w:spacing w:line="360" w:after="100"/>
      </w:pPr>
      <w:r>
        <w:rPr>
          <w:rFonts w:ascii="Times New Roman" w:cs="Times New Roman" w:eastAsia="Times New Roman" w:hAnsi="Times New Roman"/>
          <w:b/>
          <w:bCs/>
          <w:sz w:val="24"/>
          <w:szCs w:val="24"/>
        </w:rPr>
        <w:t xml:space="preserve">Introductory orientation video.</w:t>
      </w:r>
      <w:r>
        <w:rPr>
          <w:rFonts w:ascii="Times New Roman" w:cs="Times New Roman" w:eastAsia="Times New Roman" w:hAnsi="Times New Roman"/>
          <w:sz w:val="24"/>
          <w:szCs w:val="24"/>
        </w:rPr>
        <w:t xml:space="preserve"> Before beginning the assessment, each student views a short orientation video explaining the purpose, structure, and non-graded nature of the assessment.</w:t>
      </w:r>
    </w:p>
    <w:p>
      <w:pPr>
        <w:pStyle w:val="ListParagraph"/>
        <w:numPr>
          <w:ilvl w:val="0"/>
          <w:numId w:val="3"/>
        </w:numPr>
        <w:spacing w:line="360" w:after="100"/>
      </w:pPr>
      <w:r>
        <w:rPr>
          <w:rFonts w:ascii="Times New Roman" w:cs="Times New Roman" w:eastAsia="Times New Roman" w:hAnsi="Times New Roman"/>
          <w:b/>
          <w:bCs/>
          <w:sz w:val="24"/>
          <w:szCs w:val="24"/>
        </w:rPr>
        <w:t xml:space="preserve">Source code repository.</w:t>
      </w:r>
      <w:r>
        <w:rPr>
          <w:rFonts w:ascii="Times New Roman" w:cs="Times New Roman" w:eastAsia="Times New Roman" w:hAnsi="Times New Roman"/>
          <w:sz w:val="24"/>
          <w:szCs w:val="24"/>
        </w:rPr>
        <w:t xml:space="preserve"> The complete platform source code, data export scripts, and verification script are publicly available in the project repository (Bolivard, 2026).</w:t>
      </w:r>
    </w:p>
    <w:p>
      <w:pPr>
        <w:pStyle w:val="ListParagraph"/>
        <w:numPr>
          <w:ilvl w:val="0"/>
          <w:numId w:val="3"/>
        </w:numPr>
        <w:spacing w:line="360" w:after="100"/>
      </w:pPr>
      <w:r>
        <w:rPr>
          <w:rFonts w:ascii="Times New Roman" w:cs="Times New Roman" w:eastAsia="Times New Roman" w:hAnsi="Times New Roman"/>
          <w:b/>
          <w:bCs/>
          <w:sz w:val="24"/>
          <w:szCs w:val="24"/>
        </w:rPr>
        <w:t xml:space="preserve">De-identified data exports.</w:t>
      </w:r>
      <w:r>
        <w:rPr>
          <w:rFonts w:ascii="Times New Roman" w:cs="Times New Roman" w:eastAsia="Times New Roman" w:hAnsi="Times New Roman"/>
          <w:sz w:val="24"/>
          <w:szCs w:val="24"/>
        </w:rPr>
        <w:t xml:space="preserve"> The following data files are available for download from the project repository:</w:t>
      </w:r>
    </w:p>
    <w:p>
      <w:pPr>
        <w:pStyle w:val="ListParagraph"/>
        <w:numPr>
          <w:ilvl w:val="0"/>
          <w:numId w:val="3"/>
        </w:numPr>
        <w:spacing w:line="360" w:after="100"/>
      </w:pPr>
      <w:r>
        <w:rPr>
          <w:rFonts w:ascii="Courier New" w:cs="Courier New" w:eastAsia="Courier New" w:hAnsi="Courier New"/>
          <w:sz w:val="24"/>
          <w:szCs w:val="24"/>
        </w:rPr>
        <w:t xml:space="preserve">consented_responses_354.csv</w:t>
      </w:r>
      <w:r>
        <w:rPr>
          <w:rFonts w:ascii="Times New Roman" w:cs="Times New Roman" w:eastAsia="Times New Roman" w:hAnsi="Times New Roman"/>
          <w:sz w:val="24"/>
          <w:szCs w:val="24"/>
        </w:rPr>
        <w:t xml:space="preserve"> -- Primary analysis dataset containing all anchor and SDM-10 responses for the research-consented subset. Fields: attempt_id, submission_type, submitted_at, duration_s, item_id, item_type, domain, subdomain, is_anchor, is_scored, student_answer, item_score, confidence, answered_at.</w:t>
      </w:r>
    </w:p>
    <w:p>
      <w:pPr>
        <w:pStyle w:val="ListParagraph"/>
        <w:numPr>
          <w:ilvl w:val="0"/>
          <w:numId w:val="3"/>
        </w:numPr>
        <w:spacing w:line="360" w:after="100"/>
      </w:pPr>
      <w:r>
        <w:rPr>
          <w:rFonts w:ascii="Courier New" w:cs="Courier New" w:eastAsia="Courier New" w:hAnsi="Courier New"/>
          <w:sz w:val="24"/>
          <w:szCs w:val="24"/>
        </w:rPr>
        <w:t xml:space="preserve">all_responses_421_students.csv</w:t>
      </w:r>
      <w:r>
        <w:rPr>
          <w:rFonts w:ascii="Times New Roman" w:cs="Times New Roman" w:eastAsia="Times New Roman" w:hAnsi="Times New Roman"/>
          <w:sz w:val="24"/>
          <w:szCs w:val="24"/>
        </w:rPr>
        <w:t xml:space="preserve"> -- Operational dataset including non-consented responses. Used for operational context only; not included in research analyses.</w:t>
      </w:r>
    </w:p>
    <w:p>
      <w:pPr>
        <w:pStyle w:val="ListParagraph"/>
        <w:numPr>
          <w:ilvl w:val="0"/>
          <w:numId w:val="3"/>
        </w:numPr>
        <w:spacing w:line="360" w:after="100"/>
      </w:pPr>
      <w:r>
        <w:rPr>
          <w:rFonts w:ascii="Courier New" w:cs="Courier New" w:eastAsia="Courier New" w:hAnsi="Courier New"/>
          <w:sz w:val="24"/>
          <w:szCs w:val="24"/>
        </w:rPr>
        <w:t xml:space="preserve">question_bank_40items.csv</w:t>
      </w:r>
      <w:r>
        <w:rPr>
          <w:rFonts w:ascii="Times New Roman" w:cs="Times New Roman" w:eastAsia="Times New Roman" w:hAnsi="Times New Roman"/>
          <w:sz w:val="24"/>
          <w:szCs w:val="24"/>
        </w:rPr>
        <w:t xml:space="preserve"> -- Item metadata and answer options for all 40 anchor items plus 13 baseline covariates. Fields: section, subsection, range, question_id, question_text, tags, options, correct_answer.</w:t>
      </w:r>
    </w:p>
    <w:p>
      <w:pPr>
        <w:pStyle w:val="ListParagraph"/>
        <w:numPr>
          <w:ilvl w:val="0"/>
          <w:numId w:val="3"/>
        </w:numPr>
        <w:spacing w:line="360" w:after="100"/>
      </w:pPr>
      <w:r>
        <w:rPr>
          <w:rFonts w:ascii="Courier New" w:cs="Courier New" w:eastAsia="Courier New" w:hAnsi="Courier New"/>
          <w:sz w:val="24"/>
          <w:szCs w:val="24"/>
        </w:rPr>
        <w:t xml:space="preserve">diagnose_by_item.csv</w:t>
      </w:r>
      <w:r>
        <w:rPr>
          <w:rFonts w:ascii="Times New Roman" w:cs="Times New Roman" w:eastAsia="Times New Roman" w:hAnsi="Times New Roman"/>
          <w:sz w:val="24"/>
          <w:szCs w:val="24"/>
        </w:rPr>
        <w:t xml:space="preserve"> -- Item-level diagnose classification results showing misconception, knowledge gap, and selection error percentages with Layer 1 and Layer 2 taxonomy codes for each anchor item.</w:t>
      </w:r>
    </w:p>
    <w:p>
      <w:pPr>
        <w:pStyle w:val="ListParagraph"/>
        <w:numPr>
          <w:ilvl w:val="0"/>
          <w:numId w:val="3"/>
        </w:numPr>
        <w:spacing w:line="360" w:after="100"/>
      </w:pPr>
      <w:r>
        <w:rPr>
          <w:rFonts w:ascii="Courier New" w:cs="Courier New" w:eastAsia="Courier New" w:hAnsi="Courier New"/>
          <w:sz w:val="24"/>
          <w:szCs w:val="24"/>
        </w:rPr>
        <w:t xml:space="preserve">confirm_by_item.csv</w:t>
      </w:r>
      <w:r>
        <w:rPr>
          <w:rFonts w:ascii="Times New Roman" w:cs="Times New Roman" w:eastAsia="Times New Roman" w:hAnsi="Times New Roman"/>
          <w:sz w:val="24"/>
          <w:szCs w:val="24"/>
        </w:rPr>
        <w:t xml:space="preserve"> -- Item-level confirm classification results showing verified, partial, and likely-guess percentages for each anchor item.</w:t>
      </w:r>
    </w:p>
    <w:p>
      <w:pPr>
        <w:pStyle w:val="ListParagraph"/>
        <w:numPr>
          <w:ilvl w:val="0"/>
          <w:numId w:val="3"/>
        </w:numPr>
        <w:spacing w:line="360" w:after="100"/>
      </w:pPr>
      <w:r>
        <w:rPr>
          <w:rFonts w:ascii="Courier New" w:cs="Courier New" w:eastAsia="Courier New" w:hAnsi="Courier New"/>
          <w:sz w:val="24"/>
          <w:szCs w:val="24"/>
        </w:rPr>
        <w:t xml:space="preserve">sdm_open_answers.csv</w:t>
      </w:r>
      <w:r>
        <w:rPr>
          <w:rFonts w:ascii="Times New Roman" w:cs="Times New Roman" w:eastAsia="Times New Roman" w:hAnsi="Times New Roman"/>
          <w:sz w:val="24"/>
          <w:szCs w:val="24"/>
        </w:rPr>
        <w:t xml:space="preserve"> -- De-identified open-ended response text from SDM-10 diagnose and confirm items.</w:t>
      </w:r>
    </w:p>
    <w:p>
      <w:pPr>
        <w:pStyle w:val="ListParagraph"/>
        <w:numPr>
          <w:ilvl w:val="0"/>
          <w:numId w:val="3"/>
        </w:numPr>
        <w:spacing w:line="360" w:after="100"/>
      </w:pPr>
      <w:r>
        <w:rPr>
          <w:rFonts w:ascii="Courier New" w:cs="Courier New" w:eastAsia="Courier New" w:hAnsi="Courier New"/>
          <w:sz w:val="24"/>
          <w:szCs w:val="24"/>
        </w:rPr>
        <w:t xml:space="preserve">misconception_taxonomy_observed.csv</w:t>
      </w:r>
      <w:r>
        <w:rPr>
          <w:rFonts w:ascii="Times New Roman" w:cs="Times New Roman" w:eastAsia="Times New Roman" w:hAnsi="Times New Roman"/>
          <w:sz w:val="24"/>
          <w:szCs w:val="24"/>
        </w:rPr>
        <w:t xml:space="preserve"> -- 62 observed misconception patterns mapped to items and subcategories, with Layer 1 codes, Layer 2 tags, and frequency counts.</w:t>
      </w:r>
    </w:p>
    <w:p>
      <w:pPr>
        <w:pStyle w:val="ListParagraph"/>
        <w:numPr>
          <w:ilvl w:val="0"/>
          <w:numId w:val="3"/>
        </w:numPr>
        <w:spacing w:line="360" w:after="100"/>
      </w:pPr>
      <w:r>
        <w:rPr>
          <w:rFonts w:ascii="Courier New" w:cs="Courier New" w:eastAsia="Courier New" w:hAnsi="Courier New"/>
          <w:sz w:val="24"/>
          <w:szCs w:val="24"/>
        </w:rPr>
        <w:t xml:space="preserve">model_selection_concordance.csv</w:t>
      </w:r>
      <w:r>
        <w:rPr>
          <w:rFonts w:ascii="Times New Roman" w:cs="Times New Roman" w:eastAsia="Times New Roman" w:hAnsi="Times New Roman"/>
          <w:sz w:val="24"/>
          <w:szCs w:val="24"/>
        </w:rPr>
        <w:t xml:space="preserve"> -- 11-model comparison for AI scorer selection, with schema compliance, error rates, throughput, cost estimates, and verdict for each model.</w:t>
      </w:r>
    </w:p>
    <w:p>
      <w:pPr>
        <w:pStyle w:val="ListParagraph"/>
        <w:numPr>
          <w:ilvl w:val="0"/>
          <w:numId w:val="3"/>
        </w:numPr>
        <w:spacing w:line="360" w:after="100"/>
      </w:pPr>
      <w:r>
        <w:rPr>
          <w:rFonts w:ascii="Courier New" w:cs="Courier New" w:eastAsia="Courier New" w:hAnsi="Courier New"/>
          <w:sz w:val="24"/>
          <w:szCs w:val="24"/>
        </w:rPr>
        <w:t xml:space="preserve">sdm10_item_bank.xlsx</w:t>
      </w:r>
      <w:r>
        <w:rPr>
          <w:rFonts w:ascii="Times New Roman" w:cs="Times New Roman" w:eastAsia="Times New Roman" w:hAnsi="Times New Roman"/>
          <w:sz w:val="24"/>
          <w:szCs w:val="24"/>
        </w:rPr>
        <w:t xml:space="preserve"> -- Canonical SDM item bank containing 182 variant rows across 26 anchor items. Fields include anchor ID, variant type, trigger condition, question text, answer options, correct answer, scoring rubric, and misconception tags.</w:t>
      </w:r>
    </w:p>
    <w:p>
      <w:pPr>
        <w:pStyle w:val="Heading1"/>
        <w:pageBreakBefore/>
        <w:spacing w:before="480" w:after="240"/>
      </w:pPr>
      <w:r>
        <w:rPr>
          <w:rFonts w:ascii="Times New Roman" w:cs="Times New Roman" w:eastAsia="Times New Roman" w:hAnsi="Times New Roman"/>
          <w:sz w:val="24"/>
          <w:szCs w:val="24"/>
        </w:rPr>
        <w:t xml:space="preserve">Appendix F: Technical Implementation</w:t>
      </w:r>
    </w:p>
    <w:p>
      <w:pPr>
        <w:pStyle w:val="Heading2"/>
        <w:spacing w:before="360" w:after="180"/>
      </w:pPr>
      <w:r>
        <w:rPr>
          <w:rFonts w:ascii="Times New Roman" w:cs="Times New Roman" w:eastAsia="Times New Roman" w:hAnsi="Times New Roman"/>
          <w:sz w:val="24"/>
          <w:szCs w:val="24"/>
        </w:rPr>
        <w:t xml:space="preserve">F.1 Technology Stack</w:t>
      </w:r>
    </w:p>
    <w:p>
      <w:pPr>
        <w:spacing w:line="360" w:after="200"/>
      </w:pPr>
      <w:r>
        <w:rPr>
          <w:rFonts w:ascii="Times New Roman" w:cs="Times New Roman" w:eastAsia="Times New Roman" w:hAnsi="Times New Roman"/>
          <w:sz w:val="24"/>
          <w:szCs w:val="24"/>
        </w:rPr>
        <w:t xml:space="preserve">The assessment is administered through a dedicated web platform -- the Financial Literacy Toolkit -- developed for this study. The platform is built on Next.js 14 (App Router) with PostgreSQL 15 as the data store, accessed through PgBouncer connection pooling to support concurrent users. The application runs as a Docker containerized service with automated deployment via GitHub Actions and Traefik reverse proxy for SSL termination. The complete source code is publicly available in the project repository (Bolivard, 2026).</w:t>
      </w:r>
    </w:p>
    <w:p>
      <w:pPr>
        <w:pStyle w:val="Heading2"/>
        <w:spacing w:before="360" w:after="180"/>
      </w:pPr>
      <w:r>
        <w:rPr>
          <w:rFonts w:ascii="Times New Roman" w:cs="Times New Roman" w:eastAsia="Times New Roman" w:hAnsi="Times New Roman"/>
          <w:sz w:val="24"/>
          <w:szCs w:val="24"/>
        </w:rPr>
        <w:t xml:space="preserve">F.2 Student Authentication and Data Minimization</w:t>
      </w:r>
    </w:p>
    <w:p>
      <w:pPr>
        <w:spacing w:line="360" w:after="200"/>
      </w:pPr>
      <w:r>
        <w:rPr>
          <w:rFonts w:ascii="Times New Roman" w:cs="Times New Roman" w:eastAsia="Times New Roman" w:hAnsi="Times New Roman"/>
          <w:sz w:val="24"/>
          <w:szCs w:val="24"/>
        </w:rPr>
        <w:t xml:space="preserve">Students access the platform by entering their course code and student ID. On receipt, the platform immediately transforms each student ID into a one-way cryptographic hash (SHA-256 with a per-course pepper) and discards the raw identifier; all subsequent data storage and analysis use only the hashed key. No raw student ID numbers, names, email addresses, or other personally identifiable information are stored in the research dataset. The per-course pepper isolates student hashes across courses, preventing cross-course linkage. Age is collected as a categorical range rather than exact date of birth, and geographic identifiers are not collected.</w:t>
      </w:r>
    </w:p>
    <w:sectPr>
      <w:headerReference w:type="default" r:id="rId6"/>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Pre-Course Financial Literacy Assessment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b6fe25ffa323170dc4ce9b7bd716b916ee9a8db.undefined"/><Relationship Id="rId9" Type="http://schemas.openxmlformats.org/officeDocument/2006/relationships/image" Target="media/a2ded5315995609fcf1cc70a7f7a979402eaf036.undefined"/><Relationship Id="rId10" Type="http://schemas.openxmlformats.org/officeDocument/2006/relationships/image" Target="media/1dd102a4ef1d5ee1253ce89081466c70eb774a29.undefined"/><Relationship Id="rId11" Type="http://schemas.openxmlformats.org/officeDocument/2006/relationships/image" Target="media/6b924f66c73cf875d83a03e08e0bb344059457b2.undefined"/><Relationship Id="rId12" Type="http://schemas.openxmlformats.org/officeDocument/2006/relationships/image" Target="media/e20a754195d8797c443e631068bf6cc458b9e9b8.undefined"/><Relationship Id="rId13" Type="http://schemas.openxmlformats.org/officeDocument/2006/relationships/image" Target="media/ad2f2b8ca0c97fa3c78aa94b3459085c92207e53.undefined"/><Relationship Id="rId14" Type="http://schemas.openxmlformats.org/officeDocument/2006/relationships/image" Target="media/0a2b849edc804f65e3c6bff571fb8bd51b09c574.undefined"/><Relationship Id="rId15" Type="http://schemas.openxmlformats.org/officeDocument/2006/relationships/image" Target="media/fb3ef5bb6345b74d5a49530286d89685d865057b.undefined"/><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2026-02-13T22:02:30.613Z</dcterms:created>
  <dcterms:modified xsi:type="dcterms:W3CDTF">2026-02-13T22:02:30.613Z</dcterms:modified>
</cp:coreProperties>
</file>

<file path=docProps/custom.xml><?xml version="1.0" encoding="utf-8"?>
<Properties xmlns="http://schemas.openxmlformats.org/officeDocument/2006/custom-properties" xmlns:vt="http://schemas.openxmlformats.org/officeDocument/2006/docPropsVTypes"/>
</file>