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ACD" w:rsidRPr="006D1ACD" w:rsidRDefault="006D1ACD" w:rsidP="006D1ACD">
      <w:pPr>
        <w:pStyle w:val="Citationintense"/>
        <w:rPr>
          <w:b/>
          <w:i w:val="0"/>
          <w:sz w:val="48"/>
          <w:lang w:val="fr-FR"/>
        </w:rPr>
      </w:pPr>
      <w:r>
        <w:rPr>
          <w:b/>
          <w:i w:val="0"/>
          <w:sz w:val="48"/>
          <w:lang w:val="fr-FR"/>
        </w:rPr>
        <w:t>Titre ?</w:t>
      </w:r>
    </w:p>
    <w:p w:rsidR="00D92ACB" w:rsidRDefault="006D1ACD" w:rsidP="006D1ACD">
      <w:pPr>
        <w:pStyle w:val="Citationintense"/>
        <w:rPr>
          <w:sz w:val="36"/>
          <w:lang w:val="fr-FR"/>
        </w:rPr>
      </w:pPr>
      <w:r w:rsidRPr="006D1ACD">
        <w:rPr>
          <w:sz w:val="36"/>
          <w:lang w:val="fr-FR"/>
        </w:rPr>
        <w:t>Chronique d’une panique bancaire : Northern Rock</w:t>
      </w:r>
    </w:p>
    <w:p w:rsidR="006D1ACD" w:rsidRDefault="006D1ACD" w:rsidP="006D1ACD">
      <w:pPr>
        <w:rPr>
          <w:lang w:val="fr-FR"/>
        </w:rPr>
      </w:pPr>
      <w:r>
        <w:rPr>
          <w:lang w:val="fr-FR"/>
        </w:rPr>
        <w:t>Northern Rock est une banque systémique, les autres banques en dépendaient. Donc quand elle s’approchait de la faillite, la banque centrale a dû l’aider. Année : 2007. La faillite de Lehman Brothers aux US n’a pas fait s’effondrer tout le système grâce aux autres banques, et banques centrales. Prêts gratuits etc… Voilà l’objectif du cours ; Comprendre ces mécanismes.</w:t>
      </w:r>
    </w:p>
    <w:p w:rsidR="006D1ACD" w:rsidRDefault="006D1ACD" w:rsidP="006D1ACD">
      <w:pPr>
        <w:pStyle w:val="Titre1"/>
        <w:rPr>
          <w:lang w:val="fr-FR"/>
        </w:rPr>
      </w:pPr>
      <w:r>
        <w:rPr>
          <w:lang w:val="fr-FR"/>
        </w:rPr>
        <w:t>Chronique d’une panique bancaire</w:t>
      </w:r>
    </w:p>
    <w:p w:rsidR="006D1ACD" w:rsidRDefault="006D1ACD" w:rsidP="006D1ACD">
      <w:pPr>
        <w:rPr>
          <w:color w:val="FF0000"/>
          <w:u w:val="single"/>
          <w:lang w:val="fr-FR"/>
        </w:rPr>
      </w:pPr>
      <w:r>
        <w:rPr>
          <w:lang w:val="fr-FR"/>
        </w:rPr>
        <w:t xml:space="preserve">Les emprunteurs à risque peuvent contracter un emprunt immobilier moyennant un taux d’intérêt révisable, </w:t>
      </w:r>
      <w:r w:rsidRPr="006D1ACD">
        <w:rPr>
          <w:color w:val="FF0000"/>
          <w:u w:val="single"/>
          <w:lang w:val="fr-FR"/>
        </w:rPr>
        <w:t>majoré d’une prime de risque : le subprime</w:t>
      </w:r>
      <w:r>
        <w:rPr>
          <w:color w:val="FF0000"/>
          <w:u w:val="single"/>
          <w:lang w:val="fr-FR"/>
        </w:rPr>
        <w:t>.</w:t>
      </w:r>
    </w:p>
    <w:p w:rsidR="006D1ACD" w:rsidRDefault="006D1ACD" w:rsidP="006D1ACD">
      <w:pPr>
        <w:rPr>
          <w:lang w:val="fr-FR"/>
        </w:rPr>
      </w:pPr>
      <w:r>
        <w:rPr>
          <w:lang w:val="fr-FR"/>
        </w:rPr>
        <w:t xml:space="preserve">Ce marché des subprimes représentait 640 Mds $ en 2006. Cela représente un quart environ des prêts immobiliers aux US à l’époque. Le prêt est fait auprès d’entreprises de crédit hypothécaire, i.e. un crédit avec hypothèque/collatéral. Entre en jeu la titrisation, c’est-à-dire que les entreprises de crédit hypothécaire revendent leurs créances aux banques et peuvent donc prêter alors à nouveau facilement. </w:t>
      </w:r>
    </w:p>
    <w:p w:rsidR="006D1ACD" w:rsidRDefault="006D1ACD" w:rsidP="006D1ACD">
      <w:pPr>
        <w:rPr>
          <w:i/>
          <w:color w:val="808080" w:themeColor="background1" w:themeShade="80"/>
          <w:sz w:val="18"/>
          <w:lang w:val="fr-FR"/>
        </w:rPr>
      </w:pPr>
      <w:r w:rsidRPr="006D1ACD">
        <w:rPr>
          <w:i/>
          <w:color w:val="808080" w:themeColor="background1" w:themeShade="80"/>
          <w:sz w:val="18"/>
          <w:lang w:val="fr-FR"/>
        </w:rPr>
        <w:t xml:space="preserve">//Trump n’a pas réfléchir à infléchir ces politiques, il était en désaccord avec le président de la </w:t>
      </w:r>
      <w:proofErr w:type="gramStart"/>
      <w:r w:rsidRPr="006D1ACD">
        <w:rPr>
          <w:i/>
          <w:color w:val="808080" w:themeColor="background1" w:themeShade="80"/>
          <w:sz w:val="18"/>
          <w:lang w:val="fr-FR"/>
        </w:rPr>
        <w:t>Fed./</w:t>
      </w:r>
      <w:proofErr w:type="gramEnd"/>
      <w:r w:rsidRPr="006D1ACD">
        <w:rPr>
          <w:i/>
          <w:color w:val="808080" w:themeColor="background1" w:themeShade="80"/>
          <w:sz w:val="18"/>
          <w:lang w:val="fr-FR"/>
        </w:rPr>
        <w:t>/</w:t>
      </w:r>
    </w:p>
    <w:p w:rsidR="005565BE" w:rsidRDefault="00AC5788" w:rsidP="006D1ACD">
      <w:pPr>
        <w:rPr>
          <w:lang w:val="fr-FR"/>
        </w:rPr>
      </w:pPr>
      <w:r>
        <w:rPr>
          <w:lang w:val="fr-FR"/>
        </w:rPr>
        <w:t>Les banques fabriquent de</w:t>
      </w:r>
      <w:r w:rsidR="005565BE">
        <w:rPr>
          <w:lang w:val="fr-FR"/>
        </w:rPr>
        <w:t>s</w:t>
      </w:r>
      <w:r>
        <w:rPr>
          <w:lang w:val="fr-FR"/>
        </w:rPr>
        <w:t xml:space="preserve"> </w:t>
      </w:r>
      <w:bookmarkStart w:id="0" w:name="_GoBack"/>
      <w:bookmarkEnd w:id="0"/>
      <w:r w:rsidR="005565BE">
        <w:rPr>
          <w:lang w:val="fr-FR"/>
        </w:rPr>
        <w:t xml:space="preserve">produits financiers à partir de ces créances qu’elles revendent à des investisseurs, notamment des fonds de pension. Les produits financiers (actions, obligations) sont composés d’actifs à risque (mauvais payeur) ou moins à risque (bon payeur) mais donc à rendement plus faible. Le problème, c’est que si les propriétaires ne remboursent pas, i.e. les payeurs ne payent pas, les banques se retrouvent avec des créances à valeur nulle ! Ce qui arrive rapidement ! Les emprunts ne sont pas remboursés… Alors les banques récupèrent les maisons et les revendent mais l’offre devient supérieure à la demande… ce qui entraîne l’effondrement de l’immobilier. </w:t>
      </w:r>
    </w:p>
    <w:p w:rsidR="005565BE" w:rsidRDefault="005565BE" w:rsidP="006D1ACD">
      <w:pPr>
        <w:rPr>
          <w:lang w:val="fr-FR"/>
        </w:rPr>
      </w:pPr>
      <w:r>
        <w:rPr>
          <w:lang w:val="fr-FR"/>
        </w:rPr>
        <w:t xml:space="preserve">On a un graphe par exemple : le prix des maisons a fait +170% en 8 ans puis -50% en 1 ans… La crise a aussi été vécue en GB dans une moindre mesure, et a à peine </w:t>
      </w:r>
      <w:proofErr w:type="gramStart"/>
      <w:r>
        <w:rPr>
          <w:lang w:val="fr-FR"/>
        </w:rPr>
        <w:t>affecté</w:t>
      </w:r>
      <w:proofErr w:type="gramEnd"/>
      <w:r>
        <w:rPr>
          <w:lang w:val="fr-FR"/>
        </w:rPr>
        <w:t xml:space="preserve"> le cours immobilier en Europe hors Allemagne. (</w:t>
      </w:r>
      <w:proofErr w:type="gramStart"/>
      <w:r>
        <w:rPr>
          <w:lang w:val="fr-FR"/>
        </w:rPr>
        <w:t>l’immobilier</w:t>
      </w:r>
      <w:proofErr w:type="gramEnd"/>
      <w:r>
        <w:rPr>
          <w:lang w:val="fr-FR"/>
        </w:rPr>
        <w:t xml:space="preserve"> a rechuté en 2015 environ…)</w:t>
      </w:r>
    </w:p>
    <w:p w:rsidR="005565BE" w:rsidRDefault="005565BE" w:rsidP="006D1ACD">
      <w:pPr>
        <w:rPr>
          <w:lang w:val="fr-FR"/>
        </w:rPr>
      </w:pPr>
      <w:r>
        <w:rPr>
          <w:lang w:val="fr-FR"/>
        </w:rPr>
        <w:t xml:space="preserve">Les bons payeurs décident également de ne plus rembourser leur prêt puisqu’il coûte plus cher que le bien immobilier. 1.3 millions de défauts de paiement constatés en août 2007… Les banques qui détiennent des actifs sans valeur et des maisons à prix faible déclarent faillite. Les fonds de pensions ne sont plus remboursés et certains aussi font faillite. </w:t>
      </w:r>
    </w:p>
    <w:p w:rsidR="005565BE" w:rsidRDefault="005565BE" w:rsidP="006D1ACD">
      <w:pPr>
        <w:rPr>
          <w:lang w:val="fr-FR"/>
        </w:rPr>
      </w:pPr>
      <w:r>
        <w:rPr>
          <w:lang w:val="fr-FR"/>
        </w:rPr>
        <w:t xml:space="preserve">Ce qui à son tour entraîne un accroissement de la méfiance des banques sur la qualité des créances vendues par les entreprises de </w:t>
      </w:r>
      <w:r w:rsidRPr="005565BE">
        <w:rPr>
          <w:u w:val="single"/>
          <w:lang w:val="fr-FR"/>
        </w:rPr>
        <w:t>crédit hypothécaire</w:t>
      </w:r>
      <w:r>
        <w:rPr>
          <w:lang w:val="fr-FR"/>
        </w:rPr>
        <w:t xml:space="preserve"> et refusent d’acheter. </w:t>
      </w:r>
      <w:r w:rsidR="00FB043E">
        <w:rPr>
          <w:lang w:val="fr-FR"/>
        </w:rPr>
        <w:t>Même chose pour les emprunts à risque, ce qui a baissé les prêts aux entreprises, aux chantiers etc… Chute de l’emploi, des chantiers etc…</w:t>
      </w:r>
    </w:p>
    <w:p w:rsidR="00FB043E" w:rsidRDefault="00FB043E" w:rsidP="006D1ACD">
      <w:pPr>
        <w:rPr>
          <w:lang w:val="fr-FR"/>
        </w:rPr>
      </w:pPr>
      <w:r>
        <w:rPr>
          <w:lang w:val="fr-FR"/>
        </w:rPr>
        <w:lastRenderedPageBreak/>
        <w:t xml:space="preserve">Quelques graphes pour illustrer : chute du PIB aux US en 2009 puis est remonté en 2010 au même niveau. En Europe ? Crise encore plus forte en 2009 (notamment en Grèce, avec quasiment une guerre civile… le gouvernement grec qui avait beaucoup de difficultés à se relever) en Europe, qui est remonté avant de rechute encore (30% de la chute précédente seulement) en 2012/2013. Le nombre de crédits accordés aux ménages et mises en chantier a chuté très violemment entre 2007 et 2010 et a peiné à remonter après. Le dernier graphe : la base monétaire qui s’est envolée après 2010 aux US. </w:t>
      </w:r>
      <w:proofErr w:type="gramStart"/>
      <w:r>
        <w:rPr>
          <w:lang w:val="fr-FR"/>
        </w:rPr>
        <w:t>( ?</w:t>
      </w:r>
      <w:proofErr w:type="gramEnd"/>
      <w:r>
        <w:rPr>
          <w:lang w:val="fr-FR"/>
        </w:rPr>
        <w:t>)</w:t>
      </w:r>
    </w:p>
    <w:p w:rsidR="00FB043E" w:rsidRPr="005565BE" w:rsidRDefault="00FB043E" w:rsidP="006D1ACD">
      <w:pPr>
        <w:rPr>
          <w:i/>
          <w:color w:val="808080" w:themeColor="background1" w:themeShade="80"/>
          <w:sz w:val="18"/>
          <w:lang w:val="fr-FR"/>
        </w:rPr>
      </w:pPr>
    </w:p>
    <w:sectPr w:rsidR="00FB043E" w:rsidRPr="005565B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CD"/>
    <w:rsid w:val="00092095"/>
    <w:rsid w:val="005565BE"/>
    <w:rsid w:val="006D1ACD"/>
    <w:rsid w:val="00AC5788"/>
    <w:rsid w:val="00D92ACB"/>
    <w:rsid w:val="00FB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B3BE"/>
  <w15:chartTrackingRefBased/>
  <w15:docId w15:val="{C968FDC1-2A55-4B62-A3DA-77D6DA74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D1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6D1AC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6D1ACD"/>
    <w:rPr>
      <w:i/>
      <w:iCs/>
      <w:color w:val="5B9BD5" w:themeColor="accent1"/>
    </w:rPr>
  </w:style>
  <w:style w:type="character" w:customStyle="1" w:styleId="Titre1Car">
    <w:name w:val="Titre 1 Car"/>
    <w:basedOn w:val="Policepardfaut"/>
    <w:link w:val="Titre1"/>
    <w:uiPriority w:val="9"/>
    <w:rsid w:val="006D1A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495</Words>
  <Characters>2828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2020-11-24T13:24:00Z</dcterms:created>
  <dcterms:modified xsi:type="dcterms:W3CDTF">2021-02-08T08:36:00Z</dcterms:modified>
</cp:coreProperties>
</file>