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Calibri" w:hAnsi="Calibri" w:eastAsia="Calibri" w:cs="Calibri"/>
          <w:i w:val="false"/>
          <w:b w:val="false"/>
          <w:u w:val="none"/>
          <w:sz w:val="24"/>
          <w:szCs w:val="24"/>
          <w:color w:val="000000"/>
        </w:rPr>
        <w:t xml:space="preserve">1. Benadji A, Duval X, Danis K, Hoen B, Page B, Beraud G, Vernet-Garnier V, Strady C, Brieu N, Maulin L, </w:t>
      </w:r>
      <w:r>
        <w:rPr>
          <w:rFonts w:ascii="Calibri" w:hAnsi="Calibri" w:eastAsia="Calibri" w:cs="Calibri"/>
          <w:i w:val="false"/>
          <w:b w:val="true"/>
          <w:u w:val="none"/>
          <w:sz w:val="24"/>
          <w:szCs w:val="24"/>
          <w:color w:val="000000"/>
        </w:rPr>
        <w:t xml:space="preserve">Roy C</w:t>
      </w:r>
      <w:r>
        <w:rPr>
          <w:rFonts w:ascii="Calibri" w:hAnsi="Calibri" w:eastAsia="Calibri" w:cs="Calibri"/>
          <w:i w:val="false"/>
          <w:b w:val="false"/>
          <w:u w:val="none"/>
          <w:sz w:val="24"/>
          <w:szCs w:val="24"/>
          <w:color w:val="000000"/>
        </w:rPr>
        <w:t xml:space="preserve">, Ploy M, Gaillat J, Varon E, Tubiana S. Relationship between serotypes, disease characteristics and 30-day mortality in adults with invasive pneumococcal disease. Infection. 2021 ; 50(1) : 223-233. [PMID : 34468953]</w:t>
      </w:r>
    </w:p>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Calibri" w:hAnsi="Calibri" w:eastAsia="Calibri" w:cs="Calibri"/>
          <w:i w:val="false"/>
          <w:b w:val="false"/>
          <w:u w:val="none"/>
          <w:sz w:val="24"/>
          <w:szCs w:val="24"/>
          <w:color w:val="000000"/>
        </w:rPr>
        <w:t xml:space="preserve">2. Ader F, Peiffer-Smadja N, Poissy J, Bouscambert-Duchamp M, Belhadi D, Diallo A, Delmas C, Saillard J, Dechanet A, Mercier N, </w:t>
      </w:r>
      <w:r>
        <w:rPr>
          <w:rFonts w:ascii="Calibri" w:hAnsi="Calibri" w:eastAsia="Calibri" w:cs="Calibri"/>
          <w:i w:val="false"/>
          <w:b w:val="true"/>
          <w:u w:val="none"/>
          <w:sz w:val="24"/>
          <w:szCs w:val="24"/>
          <w:color w:val="000000"/>
        </w:rPr>
        <w:t xml:space="preserve">Dupont A</w:t>
      </w:r>
      <w:r>
        <w:rPr>
          <w:rFonts w:ascii="Calibri" w:hAnsi="Calibri" w:eastAsia="Calibri" w:cs="Calibri"/>
          <w:i w:val="false"/>
          <w:b w:val="false"/>
          <w:u w:val="none"/>
          <w:sz w:val="24"/>
          <w:szCs w:val="24"/>
          <w:color w:val="000000"/>
        </w:rPr>
        <w:t xml:space="preserve">, Alfaiate T, Lescure F, Raffi F, Goehringer F, Kimmoun A, Jaureguiberry S, Reignier J, Nseir S, Danion F, Clere-Jehl R, Bouiller K, Navellou J, Tolsma V, Cabie A, Dubost C, Courjon J, Leroy S, Mootien J, Gaci R, Mourvillier B, Faure E, Pourcher V, Gallien S, Launay O, Lacombe K, Lanoix J, Makinson A, Martin-Blondel G, Bouadma L, Botelho-Nevers E, Gagneux-Brunon A, Epaulard O, Piroth L, Wallet F, Richard J, Reuter J, Staub T, Lina B, Noret M, Andrejak C, Le M, Peytavin G, Hites M, Costagliola D, Yazdanpanah Y, Burdet C, Mentre F. An open-label randomized controlled trial of the effect of lopinavir/ritonavir, lopinavir/ritonavir plus IFN-β-1a and hydroxychloroquine in hospitalized patients with COVID-19. Clin Microbiol Infect. 2021 ; 27(12) : 1826-1837. [PMID : 34048876]</w:t>
      </w:r>
    </w:p>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Calibri" w:hAnsi="Calibri" w:eastAsia="Calibri" w:cs="Calibri"/>
          <w:i w:val="false"/>
          <w:b w:val="false"/>
          <w:u w:val="none"/>
          <w:sz w:val="24"/>
          <w:szCs w:val="24"/>
          <w:color w:val="000000"/>
        </w:rPr>
        <w:t xml:space="preserve">3. Gras J, Abdel-Nabey M, </w:t>
      </w:r>
      <w:r>
        <w:rPr>
          <w:rFonts w:ascii="Calibri" w:hAnsi="Calibri" w:eastAsia="Calibri" w:cs="Calibri"/>
          <w:i w:val="false"/>
          <w:b w:val="true"/>
          <w:u w:val="none"/>
          <w:sz w:val="24"/>
          <w:szCs w:val="24"/>
          <w:color w:val="000000"/>
        </w:rPr>
        <w:t xml:space="preserve">Dupont A</w:t>
      </w:r>
      <w:r>
        <w:rPr>
          <w:rFonts w:ascii="Calibri" w:hAnsi="Calibri" w:eastAsia="Calibri" w:cs="Calibri"/>
          <w:i w:val="false"/>
          <w:b w:val="false"/>
          <w:u w:val="none"/>
          <w:sz w:val="24"/>
          <w:szCs w:val="24"/>
          <w:color w:val="000000"/>
        </w:rPr>
        <w:t xml:space="preserve">, Le Goff J, Molina J, Peraldi M. Clinical characteristics, risk factors and outcome of severe Norovirus infection in kidney transplant patients: a case-control study. BMC Infect Dis. 2021 ; 21(1) : 351. [PMID : 33858369]</w:t>
      </w:r>
    </w:p>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Calibri" w:hAnsi="Calibri" w:eastAsia="Calibri" w:cs="Calibri"/>
          <w:i w:val="false"/>
          <w:b w:val="false"/>
          <w:u w:val="none"/>
          <w:sz w:val="24"/>
          <w:szCs w:val="24"/>
          <w:color w:val="000000"/>
        </w:rPr>
        <w:t xml:space="preserve">4. de Margerie-Mellon C, Debry J, </w:t>
      </w:r>
      <w:r>
        <w:rPr>
          <w:rFonts w:ascii="Calibri" w:hAnsi="Calibri" w:eastAsia="Calibri" w:cs="Calibri"/>
          <w:i w:val="false"/>
          <w:b w:val="true"/>
          <w:u w:val="none"/>
          <w:sz w:val="24"/>
          <w:szCs w:val="24"/>
          <w:color w:val="000000"/>
        </w:rPr>
        <w:t xml:space="preserve">Dupont A</w:t>
      </w:r>
      <w:r>
        <w:rPr>
          <w:rFonts w:ascii="Calibri" w:hAnsi="Calibri" w:eastAsia="Calibri" w:cs="Calibri"/>
          <w:i w:val="false"/>
          <w:b w:val="false"/>
          <w:u w:val="none"/>
          <w:sz w:val="24"/>
          <w:szCs w:val="24"/>
          <w:color w:val="000000"/>
        </w:rPr>
        <w:t xml:space="preserve">, Cuvier C, Giacchetti S, Teixeira L, Espie M, de Bazelaire C. Nonpalpable breast lesions: impact of a second-opinion review at a breast unit on BI-RADS classification. Eur Radiol. 2021 ; 31(8) : 5913-5923. [PMID : 33462625]</w:t>
      </w:r>
    </w:p>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Calibri" w:hAnsi="Calibri" w:eastAsia="Calibri" w:cs="Calibri"/>
          <w:i w:val="false"/>
          <w:b w:val="false"/>
          <w:u w:val="none"/>
          <w:sz w:val="24"/>
          <w:szCs w:val="24"/>
          <w:color w:val="000000"/>
        </w:rPr>
        <w:t xml:space="preserve">5. Abramowitz L, Mandelbrot L, Tubach F, </w:t>
      </w:r>
      <w:r>
        <w:rPr>
          <w:rFonts w:ascii="Calibri" w:hAnsi="Calibri" w:eastAsia="Calibri" w:cs="Calibri"/>
          <w:i w:val="false"/>
          <w:b w:val="true"/>
          <w:u w:val="none"/>
          <w:sz w:val="24"/>
          <w:szCs w:val="24"/>
          <w:color w:val="000000"/>
        </w:rPr>
        <w:t xml:space="preserve">Roy C</w:t>
      </w:r>
      <w:r>
        <w:rPr>
          <w:rFonts w:ascii="Calibri" w:hAnsi="Calibri" w:eastAsia="Calibri" w:cs="Calibri"/>
          <w:i w:val="false"/>
          <w:b w:val="false"/>
          <w:u w:val="none"/>
          <w:sz w:val="24"/>
          <w:szCs w:val="24"/>
          <w:color w:val="000000"/>
        </w:rPr>
        <w:t xml:space="preserve">. Authors' reply re: Caesarean section in the second delivery to prevent anal incontinence after asymptomatic obstetrical anal sphincter injury: the EPIC multicentre randomised trial. BJOG. 2020 ; 128(4) : 771-772. [PMID : 33215818]</w:t>
      </w:r>
    </w:p>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Calibri" w:hAnsi="Calibri" w:eastAsia="Calibri" w:cs="Calibri"/>
          <w:i w:val="false"/>
          <w:b w:val="false"/>
          <w:u w:val="none"/>
          <w:sz w:val="24"/>
          <w:szCs w:val="24"/>
          <w:color w:val="000000"/>
        </w:rPr>
        <w:t xml:space="preserve">6. Russo I, Levy-Gabriel C, </w:t>
      </w:r>
      <w:r>
        <w:rPr>
          <w:rFonts w:ascii="Calibri" w:hAnsi="Calibri" w:eastAsia="Calibri" w:cs="Calibri"/>
          <w:i w:val="false"/>
          <w:b w:val="true"/>
          <w:u w:val="none"/>
          <w:sz w:val="24"/>
          <w:szCs w:val="24"/>
          <w:color w:val="000000"/>
        </w:rPr>
        <w:t xml:space="preserve">Dupont A</w:t>
      </w:r>
      <w:r>
        <w:rPr>
          <w:rFonts w:ascii="Calibri" w:hAnsi="Calibri" w:eastAsia="Calibri" w:cs="Calibri"/>
          <w:i w:val="false"/>
          <w:b w:val="false"/>
          <w:u w:val="none"/>
          <w:sz w:val="24"/>
          <w:szCs w:val="24"/>
          <w:color w:val="000000"/>
        </w:rPr>
        <w:t xml:space="preserve">, Lumbroso-Le Rouic L, Cassoux N, Desjardins L, Bertozzi A, Coze C, Doz F, Savignoni A, Aerts I. Prospective phase II study of children affected by bilateral intraocular retinoblastoma with macular involvement of both eyes or in the only preserved eye. Macular tumor control, eye preservation rate, and visual outcome. Pediatr Blood Cancer. 2020 ; 68(1) : e28721. [PMID : 33098751]</w:t>
      </w:r>
    </w:p>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Calibri" w:hAnsi="Calibri" w:eastAsia="Calibri" w:cs="Calibri"/>
          <w:i w:val="false"/>
          <w:b w:val="false"/>
          <w:u w:val="none"/>
          <w:sz w:val="24"/>
          <w:szCs w:val="24"/>
          <w:color w:val="000000"/>
        </w:rPr>
        <w:t xml:space="preserve">7. </w:t>
      </w:r>
      <w:r>
        <w:rPr>
          <w:rFonts w:ascii="Calibri" w:hAnsi="Calibri" w:eastAsia="Calibri" w:cs="Calibri"/>
          <w:i w:val="false"/>
          <w:b w:val="true"/>
          <w:u w:val="none"/>
          <w:sz w:val="24"/>
          <w:szCs w:val="24"/>
          <w:color w:val="000000"/>
        </w:rPr>
        <w:t xml:space="preserve">Dupont A</w:t>
      </w:r>
      <w:r>
        <w:rPr>
          <w:rFonts w:ascii="Calibri" w:hAnsi="Calibri" w:eastAsia="Calibri" w:cs="Calibri"/>
          <w:i w:val="false"/>
          <w:b w:val="false"/>
          <w:u w:val="none"/>
          <w:sz w:val="24"/>
          <w:szCs w:val="24"/>
          <w:color w:val="000000"/>
        </w:rPr>
        <w:t xml:space="preserve">, Chevret S, Montlahuc C, Resche-Rigon M, Fontaine Y, Allaoua S, Kiladjian J, Ghrieb Z. [Satisfaction survey in the clinical investigations center (CIC-1427) in Saint-Louis hospital Paris, France]. Therapie. 2020 ; 76(1) : 54-57. [PMID : 32113690]</w:t>
      </w:r>
    </w:p>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2022-09-27T22:59:29Z</dcterms:modified>
  <cp:category/>
</cp:coreProperties>
</file>