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139" w:rsidRPr="00EC3459" w:rsidRDefault="00804357">
      <w:pPr>
        <w:pStyle w:val="Titre"/>
        <w:rPr>
          <w:lang w:val="fr-FR"/>
        </w:rPr>
      </w:pPr>
      <w:r w:rsidRPr="00EC3459">
        <w:rPr>
          <w:lang w:val="fr-FR"/>
        </w:rPr>
        <w:t>Curage de rattrapage dans les carcinomes épidermoïdes des VADS en cas de poursuite évolutive ou de récidive ganglionnaire isolée : A propos de 20 cas</w:t>
      </w:r>
    </w:p>
    <w:p w:rsidR="008C1139" w:rsidRPr="00EC3459" w:rsidRDefault="00804357">
      <w:pPr>
        <w:pStyle w:val="Author"/>
        <w:rPr>
          <w:lang w:val="fr-FR"/>
        </w:rPr>
      </w:pPr>
      <w:proofErr w:type="spellStart"/>
      <w:r w:rsidRPr="00EC3459">
        <w:rPr>
          <w:lang w:val="fr-FR"/>
        </w:rPr>
        <w:t>C.Desbrosses</w:t>
      </w:r>
      <w:proofErr w:type="spellEnd"/>
      <w:r w:rsidRPr="00EC3459">
        <w:rPr>
          <w:lang w:val="fr-FR"/>
        </w:rPr>
        <w:t xml:space="preserve">, </w:t>
      </w:r>
      <w:proofErr w:type="spellStart"/>
      <w:r w:rsidRPr="00EC3459">
        <w:rPr>
          <w:lang w:val="fr-FR"/>
        </w:rPr>
        <w:t>C.Halimi</w:t>
      </w:r>
      <w:proofErr w:type="spellEnd"/>
      <w:r w:rsidRPr="00EC3459">
        <w:rPr>
          <w:lang w:val="fr-FR"/>
        </w:rPr>
        <w:t xml:space="preserve">, </w:t>
      </w:r>
      <w:proofErr w:type="spellStart"/>
      <w:r w:rsidRPr="00EC3459">
        <w:rPr>
          <w:lang w:val="fr-FR"/>
        </w:rPr>
        <w:t>G.Mulier</w:t>
      </w:r>
      <w:proofErr w:type="spellEnd"/>
      <w:r w:rsidRPr="00EC3459">
        <w:rPr>
          <w:lang w:val="fr-FR"/>
        </w:rPr>
        <w:t xml:space="preserve">, </w:t>
      </w:r>
      <w:proofErr w:type="spellStart"/>
      <w:r w:rsidRPr="00EC3459">
        <w:rPr>
          <w:lang w:val="fr-FR"/>
        </w:rPr>
        <w:t>J.Mullaert</w:t>
      </w:r>
      <w:proofErr w:type="spellEnd"/>
    </w:p>
    <w:p w:rsidR="008C1139" w:rsidRDefault="00804357">
      <w:pPr>
        <w:pStyle w:val="Date"/>
      </w:pPr>
      <w:r>
        <w:t>07/08/2020</w:t>
      </w: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u w:val="none"/>
        </w:rPr>
        <w:id w:val="-325900083"/>
        <w:docPartObj>
          <w:docPartGallery w:val="Table of Contents"/>
          <w:docPartUnique/>
        </w:docPartObj>
      </w:sdtPr>
      <w:sdtEndPr/>
      <w:sdtContent>
        <w:p w:rsidR="008C1139" w:rsidRDefault="00804357">
          <w:pPr>
            <w:pStyle w:val="En-ttedetabledesmatires"/>
          </w:pPr>
          <w:r>
            <w:t>Table of Contents</w:t>
          </w:r>
        </w:p>
        <w:p w:rsidR="00EC3459" w:rsidRDefault="00804357">
          <w:pPr>
            <w:pStyle w:val="TM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7692697" w:history="1">
            <w:r w:rsidR="00EC3459" w:rsidRPr="00431184">
              <w:rPr>
                <w:rStyle w:val="Lienhypertexte"/>
                <w:noProof/>
              </w:rPr>
              <w:t>I.</w:t>
            </w:r>
            <w:r w:rsidR="00EC345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Objectifs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_Toc47692697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3E6084">
          <w:pPr>
            <w:pStyle w:val="TM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hyperlink w:anchor="_Toc47692698" w:history="1">
            <w:r w:rsidR="00EC3459" w:rsidRPr="00431184">
              <w:rPr>
                <w:rStyle w:val="Lienhypertexte"/>
                <w:noProof/>
              </w:rPr>
              <w:t>II.</w:t>
            </w:r>
            <w:r w:rsidR="00EC345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Méthodes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_Toc47692698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2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3E6084">
          <w:pPr>
            <w:pStyle w:val="TM1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hyperlink w:anchor="_Toc47692699" w:history="1">
            <w:r w:rsidR="00EC3459" w:rsidRPr="00431184">
              <w:rPr>
                <w:rStyle w:val="Lienhypertexte"/>
                <w:noProof/>
              </w:rPr>
              <w:t>III.</w:t>
            </w:r>
            <w:r w:rsidR="00EC345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Datamanagement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_Toc47692699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3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3E6084">
          <w:pPr>
            <w:pStyle w:val="TM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/>
              <w:i w:val="0"/>
              <w:noProof/>
              <w:sz w:val="22"/>
              <w:szCs w:val="22"/>
              <w:lang w:val="fr-FR" w:eastAsia="fr-FR"/>
            </w:rPr>
          </w:pPr>
          <w:hyperlink w:anchor="_Toc47692700" w:history="1">
            <w:r w:rsidR="00EC3459" w:rsidRPr="00431184">
              <w:rPr>
                <w:rStyle w:val="Lienhypertexte"/>
                <w:noProof/>
              </w:rPr>
              <w:t>1.</w:t>
            </w:r>
            <w:r w:rsidR="00EC3459">
              <w:rPr>
                <w:rFonts w:asciiTheme="minorHAnsi" w:eastAsiaTheme="minorEastAsia" w:hAnsiTheme="minorHAnsi"/>
                <w:i w:val="0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Données manquantes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_Toc47692700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3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3E6084">
          <w:pPr>
            <w:pStyle w:val="TM1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hyperlink w:anchor="_Toc47692701" w:history="1">
            <w:r w:rsidR="00EC3459" w:rsidRPr="00431184">
              <w:rPr>
                <w:rStyle w:val="Lienhypertexte"/>
                <w:noProof/>
              </w:rPr>
              <w:t>IV.</w:t>
            </w:r>
            <w:r w:rsidR="00EC345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Description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_Toc47692701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5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3E6084">
          <w:pPr>
            <w:pStyle w:val="TM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fr-FR" w:eastAsia="fr-FR"/>
            </w:rPr>
          </w:pPr>
          <w:hyperlink w:anchor="_Toc47692702" w:history="1">
            <w:r w:rsidR="00EC3459" w:rsidRPr="00431184">
              <w:rPr>
                <w:rStyle w:val="Lienhypertexte"/>
                <w:noProof/>
              </w:rPr>
              <w:t>V.</w:t>
            </w:r>
            <w:r w:rsidR="00EC3459">
              <w:rPr>
                <w:rFonts w:asciiTheme="minorHAnsi" w:eastAsiaTheme="minorEastAsia" w:hAnsiTheme="minorHAnsi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Analyse de survie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_Toc47692702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9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3E6084">
          <w:pPr>
            <w:pStyle w:val="TM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/>
              <w:i w:val="0"/>
              <w:noProof/>
              <w:sz w:val="22"/>
              <w:szCs w:val="22"/>
              <w:lang w:val="fr-FR" w:eastAsia="fr-FR"/>
            </w:rPr>
          </w:pPr>
          <w:hyperlink w:anchor="_Toc47692703" w:history="1">
            <w:r w:rsidR="00EC3459" w:rsidRPr="00431184">
              <w:rPr>
                <w:rStyle w:val="Lienhypertexte"/>
                <w:noProof/>
              </w:rPr>
              <w:t>1.</w:t>
            </w:r>
            <w:r w:rsidR="00EC3459">
              <w:rPr>
                <w:rFonts w:asciiTheme="minorHAnsi" w:eastAsiaTheme="minorEastAsia" w:hAnsiTheme="minorHAnsi"/>
                <w:i w:val="0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Critère de jugement principal : mortalité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_Toc47692703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9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3E6084">
          <w:pPr>
            <w:pStyle w:val="TM2"/>
            <w:tabs>
              <w:tab w:val="left" w:pos="660"/>
              <w:tab w:val="right" w:leader="dot" w:pos="9396"/>
            </w:tabs>
            <w:rPr>
              <w:rFonts w:asciiTheme="minorHAnsi" w:eastAsiaTheme="minorEastAsia" w:hAnsiTheme="minorHAnsi"/>
              <w:i w:val="0"/>
              <w:noProof/>
              <w:sz w:val="22"/>
              <w:szCs w:val="22"/>
              <w:lang w:val="fr-FR" w:eastAsia="fr-FR"/>
            </w:rPr>
          </w:pPr>
          <w:hyperlink w:anchor="_Toc47692704" w:history="1">
            <w:r w:rsidR="00EC3459" w:rsidRPr="00431184">
              <w:rPr>
                <w:rStyle w:val="Lienhypertexte"/>
                <w:noProof/>
              </w:rPr>
              <w:t>2.</w:t>
            </w:r>
            <w:r w:rsidR="00EC3459">
              <w:rPr>
                <w:rFonts w:asciiTheme="minorHAnsi" w:eastAsiaTheme="minorEastAsia" w:hAnsiTheme="minorHAnsi"/>
                <w:i w:val="0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Critères de jugement secondaires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_Toc47692704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10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3E6084">
          <w:pPr>
            <w:pStyle w:val="TM3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05" w:history="1">
            <w:r w:rsidR="00EC3459" w:rsidRPr="00431184">
              <w:rPr>
                <w:rStyle w:val="Lienhypertexte"/>
                <w:noProof/>
              </w:rPr>
              <w:t>a.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</w:rPr>
              <w:t>Survie sans récidive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_Toc47692705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10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3E6084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06" w:history="1">
            <w:r w:rsidR="00EC3459" w:rsidRPr="00431184">
              <w:rPr>
                <w:rStyle w:val="Lienhypertexte"/>
                <w:noProof/>
                <w:lang w:val="fr-FR"/>
              </w:rPr>
              <w:t>b.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  <w:lang w:val="fr-FR"/>
              </w:rPr>
              <w:t>Survie globale en fonction de la taille de la tumeur initialement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_Toc47692706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11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3E6084">
          <w:pPr>
            <w:pStyle w:val="TM3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07" w:history="1">
            <w:r w:rsidR="00EC3459" w:rsidRPr="00431184">
              <w:rPr>
                <w:rStyle w:val="Lienhypertexte"/>
                <w:noProof/>
                <w:lang w:val="fr-FR"/>
              </w:rPr>
              <w:t>c.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  <w:lang w:val="fr-FR"/>
              </w:rPr>
              <w:t>Survie globale en fonction de l’atteinte ganglionnaire initiale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_Toc47692707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12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3E6084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08" w:history="1">
            <w:r w:rsidR="00EC3459" w:rsidRPr="00431184">
              <w:rPr>
                <w:rStyle w:val="Lienhypertexte"/>
                <w:noProof/>
                <w:lang w:val="fr-FR"/>
              </w:rPr>
              <w:t>d.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  <w:lang w:val="fr-FR"/>
              </w:rPr>
              <w:t>Survie globale en fonction de la survenue d’une récidive après le curage de rattrapage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_Toc47692708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13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3E6084">
          <w:pPr>
            <w:pStyle w:val="TM3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09" w:history="1">
            <w:r w:rsidR="00EC3459" w:rsidRPr="00431184">
              <w:rPr>
                <w:rStyle w:val="Lienhypertexte"/>
                <w:noProof/>
                <w:lang w:val="fr-FR"/>
              </w:rPr>
              <w:t>e.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  <w:lang w:val="fr-FR"/>
              </w:rPr>
              <w:t>Survie globale en fonction du délai entre le curage de rattrapage et la fin du traitement initial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_Toc47692709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14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EC3459" w:rsidRDefault="003E6084">
          <w:pPr>
            <w:pStyle w:val="TM3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47692710" w:history="1">
            <w:r w:rsidR="00EC3459" w:rsidRPr="00431184">
              <w:rPr>
                <w:rStyle w:val="Lienhypertexte"/>
                <w:noProof/>
                <w:lang w:val="fr-FR"/>
              </w:rPr>
              <w:t>f.</w:t>
            </w:r>
            <w:r w:rsidR="00EC3459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EC3459" w:rsidRPr="00431184">
              <w:rPr>
                <w:rStyle w:val="Lienhypertexte"/>
                <w:noProof/>
                <w:lang w:val="fr-FR"/>
              </w:rPr>
              <w:t>Survie globale en fonction de la rupture capsulaire lors du curage de rattrapage</w:t>
            </w:r>
            <w:r w:rsidR="00EC3459">
              <w:rPr>
                <w:noProof/>
                <w:webHidden/>
              </w:rPr>
              <w:tab/>
            </w:r>
            <w:r w:rsidR="00EC3459">
              <w:rPr>
                <w:noProof/>
                <w:webHidden/>
              </w:rPr>
              <w:fldChar w:fldCharType="begin"/>
            </w:r>
            <w:r w:rsidR="00EC3459">
              <w:rPr>
                <w:noProof/>
                <w:webHidden/>
              </w:rPr>
              <w:instrText xml:space="preserve"> PAGEREF _Toc47692710 \h </w:instrText>
            </w:r>
            <w:r w:rsidR="00EC3459">
              <w:rPr>
                <w:noProof/>
                <w:webHidden/>
              </w:rPr>
            </w:r>
            <w:r w:rsidR="00EC3459">
              <w:rPr>
                <w:noProof/>
                <w:webHidden/>
              </w:rPr>
              <w:fldChar w:fldCharType="separate"/>
            </w:r>
            <w:r w:rsidR="00EC3459">
              <w:rPr>
                <w:noProof/>
                <w:webHidden/>
              </w:rPr>
              <w:t>15</w:t>
            </w:r>
            <w:r w:rsidR="00EC3459">
              <w:rPr>
                <w:noProof/>
                <w:webHidden/>
              </w:rPr>
              <w:fldChar w:fldCharType="end"/>
            </w:r>
          </w:hyperlink>
        </w:p>
        <w:p w:rsidR="008C1139" w:rsidRDefault="00804357">
          <w:r>
            <w:fldChar w:fldCharType="end"/>
          </w:r>
        </w:p>
      </w:sdtContent>
    </w:sdt>
    <w:p w:rsidR="00EC3459" w:rsidRDefault="00EC3459">
      <w:pPr>
        <w:rPr>
          <w:rFonts w:ascii="Arial" w:eastAsiaTheme="majorEastAsia" w:hAnsi="Arial" w:cstheme="majorBidi"/>
          <w:b/>
          <w:bCs/>
          <w:sz w:val="32"/>
          <w:szCs w:val="32"/>
          <w:u w:val="single"/>
        </w:rPr>
      </w:pPr>
      <w:bookmarkStart w:id="0" w:name="objectifs"/>
      <w:bookmarkStart w:id="1" w:name="_Toc47692697"/>
      <w:r>
        <w:br w:type="page"/>
      </w:r>
    </w:p>
    <w:p w:rsidR="008C1139" w:rsidRDefault="00804357">
      <w:pPr>
        <w:pStyle w:val="Titre1"/>
      </w:pPr>
      <w:proofErr w:type="spellStart"/>
      <w:r>
        <w:lastRenderedPageBreak/>
        <w:t>Objectifs</w:t>
      </w:r>
      <w:bookmarkEnd w:id="0"/>
      <w:bookmarkEnd w:id="1"/>
      <w:proofErr w:type="spellEnd"/>
    </w:p>
    <w:p w:rsidR="008C1139" w:rsidRDefault="00804357">
      <w:pPr>
        <w:pStyle w:val="FirstParagraph"/>
      </w:pPr>
      <w:r>
        <w:t> </w:t>
      </w:r>
    </w:p>
    <w:p w:rsidR="008C1139" w:rsidRPr="00EC3459" w:rsidRDefault="00804357">
      <w:pPr>
        <w:numPr>
          <w:ilvl w:val="0"/>
          <w:numId w:val="23"/>
        </w:numPr>
        <w:rPr>
          <w:lang w:val="fr-FR"/>
        </w:rPr>
      </w:pPr>
      <w:r w:rsidRPr="00EC3459">
        <w:rPr>
          <w:lang w:val="fr-FR"/>
        </w:rPr>
        <w:t>Principal : Survie globale des patients ayant bénéficié d’un curage de rattrapage pour poursuite évolutive ou récidive ganglionnaire isolée pour un carcinome épidermoïde des voies aéro-digestives supérieures.</w:t>
      </w:r>
    </w:p>
    <w:p w:rsidR="008C1139" w:rsidRDefault="00804357">
      <w:pPr>
        <w:numPr>
          <w:ilvl w:val="0"/>
          <w:numId w:val="23"/>
        </w:numPr>
      </w:pPr>
      <w:proofErr w:type="spellStart"/>
      <w:r>
        <w:t>Secondaires</w:t>
      </w:r>
      <w:proofErr w:type="spellEnd"/>
      <w:r>
        <w:t xml:space="preserve"> :</w:t>
      </w:r>
    </w:p>
    <w:p w:rsidR="008C1139" w:rsidRPr="00EC3459" w:rsidRDefault="00804357">
      <w:pPr>
        <w:pStyle w:val="Compact"/>
        <w:numPr>
          <w:ilvl w:val="1"/>
          <w:numId w:val="24"/>
        </w:numPr>
        <w:rPr>
          <w:lang w:val="fr-FR"/>
        </w:rPr>
      </w:pPr>
      <w:r w:rsidRPr="00EC3459">
        <w:rPr>
          <w:lang w:val="fr-FR"/>
        </w:rPr>
        <w:t>Survie sans récidive des patients ayant bénéficié d’un curage de rattrapage pour poursuite évolutive ou récidive ganglionnaire isolée pour un carcinome épidermoïde des voies aéro-digestives supérieures.</w:t>
      </w:r>
    </w:p>
    <w:p w:rsidR="008C1139" w:rsidRPr="00EC3459" w:rsidRDefault="00804357">
      <w:pPr>
        <w:pStyle w:val="Compact"/>
        <w:numPr>
          <w:ilvl w:val="1"/>
          <w:numId w:val="24"/>
        </w:numPr>
        <w:rPr>
          <w:lang w:val="fr-FR"/>
        </w:rPr>
      </w:pPr>
      <w:r w:rsidRPr="00EC3459">
        <w:rPr>
          <w:lang w:val="fr-FR"/>
        </w:rPr>
        <w:t>Recherche de facteurs associés à un</w:t>
      </w:r>
      <w:r w:rsidR="00EC3459">
        <w:rPr>
          <w:lang w:val="fr-FR"/>
        </w:rPr>
        <w:t>e</w:t>
      </w:r>
      <w:r w:rsidRPr="00EC3459">
        <w:rPr>
          <w:lang w:val="fr-FR"/>
        </w:rPr>
        <w:t xml:space="preserve"> meilleure survie globale.</w:t>
      </w:r>
    </w:p>
    <w:p w:rsidR="008C1139" w:rsidRDefault="00804357">
      <w:pPr>
        <w:pStyle w:val="Titre1"/>
      </w:pPr>
      <w:bookmarkStart w:id="2" w:name="méthodes"/>
      <w:bookmarkStart w:id="3" w:name="_Toc47692698"/>
      <w:proofErr w:type="spellStart"/>
      <w:r>
        <w:t>Méthodes</w:t>
      </w:r>
      <w:bookmarkEnd w:id="2"/>
      <w:bookmarkEnd w:id="3"/>
      <w:proofErr w:type="spellEnd"/>
    </w:p>
    <w:p w:rsidR="008C1139" w:rsidRDefault="00804357">
      <w:pPr>
        <w:pStyle w:val="FirstParagraph"/>
      </w:pPr>
      <w:r>
        <w:t> 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Les variables catégorielles sont présentées par leurs effectifs assortis des pourcentages. Les variables continues sont présentées sous la forme : médiane (Q1;Q3) [min; max].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Les courbes de survie et les médianes de survie ainsi que leurs intervalles de confiance ont été obtenue à partir de l’estimateur de Kaplan Meier. Les comparaisons entre courbes de survie ont été réalisés à l’aide du test du log-</w:t>
      </w:r>
      <w:proofErr w:type="spellStart"/>
      <w:r w:rsidRPr="00EC3459">
        <w:rPr>
          <w:lang w:val="fr-FR"/>
        </w:rPr>
        <w:t>rank</w:t>
      </w:r>
      <w:proofErr w:type="spellEnd"/>
      <w:r w:rsidRPr="00EC3459">
        <w:rPr>
          <w:lang w:val="fr-FR"/>
        </w:rPr>
        <w:t xml:space="preserve"> lorsque les conditions d’application du test étaient respectées.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La survie globale et la survie sans récidive sont comptées à partir de la date de curage de rattrapage et sont censurées à la date du 15/06/2020.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 </w:t>
      </w:r>
    </w:p>
    <w:p w:rsidR="008C1139" w:rsidRPr="00EC3459" w:rsidRDefault="00804357">
      <w:pPr>
        <w:rPr>
          <w:lang w:val="fr-FR"/>
        </w:rPr>
      </w:pPr>
      <w:r w:rsidRPr="00EC3459">
        <w:rPr>
          <w:lang w:val="fr-FR"/>
        </w:rPr>
        <w:br w:type="page"/>
      </w:r>
    </w:p>
    <w:p w:rsidR="008C1139" w:rsidRDefault="00804357">
      <w:pPr>
        <w:pStyle w:val="Titre1"/>
      </w:pPr>
      <w:bookmarkStart w:id="4" w:name="datamanagement"/>
      <w:bookmarkStart w:id="5" w:name="_Toc47692699"/>
      <w:proofErr w:type="spellStart"/>
      <w:r>
        <w:lastRenderedPageBreak/>
        <w:t>Datamanagement</w:t>
      </w:r>
      <w:bookmarkEnd w:id="4"/>
      <w:bookmarkEnd w:id="5"/>
      <w:proofErr w:type="spellEnd"/>
    </w:p>
    <w:p w:rsidR="008C1139" w:rsidRDefault="00804357">
      <w:pPr>
        <w:pStyle w:val="FirstParagraph"/>
      </w:pPr>
      <w:r>
        <w:t> </w:t>
      </w:r>
    </w:p>
    <w:p w:rsidR="008C1139" w:rsidRDefault="00804357">
      <w:pPr>
        <w:pStyle w:val="Titre2"/>
      </w:pPr>
      <w:bookmarkStart w:id="6" w:name="données-manquantes"/>
      <w:bookmarkStart w:id="7" w:name="_Toc47692700"/>
      <w:proofErr w:type="spellStart"/>
      <w:r>
        <w:t>Données</w:t>
      </w:r>
      <w:proofErr w:type="spellEnd"/>
      <w:r>
        <w:t xml:space="preserve"> </w:t>
      </w:r>
      <w:proofErr w:type="spellStart"/>
      <w:r>
        <w:t>manquantes</w:t>
      </w:r>
      <w:bookmarkEnd w:id="6"/>
      <w:bookmarkEnd w:id="7"/>
      <w:proofErr w:type="spellEnd"/>
    </w:p>
    <w:p w:rsidR="008C1139" w:rsidRDefault="00804357">
      <w:pPr>
        <w:pStyle w:val="FirstParagraph"/>
      </w:pPr>
      <w:r>
        <w:t> 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Les colonnes qui ne figurent pas dans les tableaux suivants n’ont pas de données manquantes.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 xml:space="preserve">Parmi les 9 durées de trachéotomie manquantes, il y en a 8 qui n’ont pas eu de </w:t>
      </w:r>
      <w:proofErr w:type="spellStart"/>
      <w:r w:rsidRPr="00EC3459">
        <w:rPr>
          <w:lang w:val="fr-FR"/>
        </w:rPr>
        <w:t>trachéo</w:t>
      </w:r>
      <w:proofErr w:type="spellEnd"/>
      <w:r w:rsidRPr="00EC3459">
        <w:rPr>
          <w:lang w:val="fr-FR"/>
        </w:rPr>
        <w:t xml:space="preserve"> et un qui est le manquant de </w:t>
      </w:r>
      <w:proofErr w:type="spellStart"/>
      <w:r w:rsidRPr="00EC3459">
        <w:rPr>
          <w:lang w:val="fr-FR"/>
        </w:rPr>
        <w:t>trachéo</w:t>
      </w:r>
      <w:proofErr w:type="spellEnd"/>
      <w:r w:rsidRPr="00EC3459">
        <w:rPr>
          <w:lang w:val="fr-FR"/>
        </w:rPr>
        <w:t>. 3 des 9 SUV manquantes sont parmi des patients ayant eu une TEP.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1</w:t>
      </w:r>
      <w:r>
        <w:fldChar w:fldCharType="end"/>
      </w:r>
      <w:r>
        <w:t xml:space="preserve">: </w:t>
      </w:r>
    </w:p>
    <w:tbl>
      <w:tblPr>
        <w:tblW w:w="9216" w:type="dxa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2880"/>
        <w:gridCol w:w="1584"/>
        <w:gridCol w:w="1584"/>
      </w:tblGrid>
      <w:tr w:rsidR="008C1139">
        <w:trPr>
          <w:cantSplit/>
          <w:tblHeader/>
          <w:jc w:val="center"/>
        </w:trPr>
        <w:tc>
          <w:tcPr>
            <w:tcW w:w="1584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584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Nom dans tableau</w:t>
            </w:r>
          </w:p>
        </w:tc>
        <w:tc>
          <w:tcPr>
            <w:tcW w:w="288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Description de la variable</w:t>
            </w:r>
          </w:p>
        </w:tc>
        <w:tc>
          <w:tcPr>
            <w:tcW w:w="1584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Nombre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valeurs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manquantes</w:t>
            </w:r>
            <w:proofErr w:type="spellEnd"/>
          </w:p>
        </w:tc>
        <w:tc>
          <w:tcPr>
            <w:tcW w:w="1584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Liste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des DM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adp_initiale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ADP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initiale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Présence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d'adénopathies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initiales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5/6/7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dose_rt_n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dose RT sur N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Dose de radiothérapie sur les aires ganglionnaires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6/8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tolerance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tolérence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Tolérance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radiothérapie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12/18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evolution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evolution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Type d'évolution après le 1er traitement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suv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SUV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SUV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1/2/3/7/9/10/11/16/20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date_tep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date TEP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Date de la TEP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1/3/7/9/11/20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chirurgien_curage1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Chirurgien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Chirurgien du curage pour la 1ère récidive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5/6/12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poursuite_intoxication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poursuite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intoxication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Poursuite de l'intoxication alcoolo-tabagique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2/3/6/8/10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duree_tracheo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duree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trach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Durée de la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trachéotomie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1/2/7/8/11/15/18/19/20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particularite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particularité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Conditions du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curage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5/6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dt_recidive2</w:t>
            </w:r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Date de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récidive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Date de 2ème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récidive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3/6/10/11/12/14/15/16/17/18/20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dt_deces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Date DC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Date de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décès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6/14/15/16/17/18/20</w:t>
            </w:r>
          </w:p>
        </w:tc>
      </w:tr>
      <w:tr w:rsidR="008C1139">
        <w:trPr>
          <w:cantSplit/>
          <w:jc w:val="center"/>
        </w:trPr>
        <w:tc>
          <w:tcPr>
            <w:tcW w:w="1584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autres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autres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Commentaires</w:t>
            </w:r>
            <w:proofErr w:type="spellEnd"/>
          </w:p>
        </w:tc>
        <w:tc>
          <w:tcPr>
            <w:tcW w:w="1584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584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1/2/3/4/5/6/8/9/10/11/12/18/19</w:t>
            </w:r>
          </w:p>
        </w:tc>
      </w:tr>
    </w:tbl>
    <w:p w:rsidR="008C1139" w:rsidRDefault="00804357">
      <w:pPr>
        <w:pStyle w:val="Corpsdetexte"/>
      </w:pPr>
      <w:r>
        <w:lastRenderedPageBreak/>
        <w:t> 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Le patient 10 a un nombre de ganglions manquant sur son 1er prélèvement, mais en remarque “plus de parenchyme individualisable”.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2</w:t>
      </w:r>
      <w:r>
        <w:fldChar w:fldCharType="end"/>
      </w:r>
      <w:r>
        <w:t xml:space="preserve">: </w:t>
      </w:r>
    </w:p>
    <w:tbl>
      <w:tblPr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2880"/>
        <w:gridCol w:w="1440"/>
        <w:gridCol w:w="1440"/>
      </w:tblGrid>
      <w:tr w:rsidR="008C1139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44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Nom dans tableau</w:t>
            </w:r>
          </w:p>
        </w:tc>
        <w:tc>
          <w:tcPr>
            <w:tcW w:w="288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Description de la variable</w:t>
            </w:r>
          </w:p>
        </w:tc>
        <w:tc>
          <w:tcPr>
            <w:tcW w:w="144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Nombre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valeurs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manquantes</w:t>
            </w:r>
            <w:proofErr w:type="spellEnd"/>
          </w:p>
        </w:tc>
        <w:tc>
          <w:tcPr>
            <w:tcW w:w="1440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Liste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des DM</w:t>
            </w:r>
          </w:p>
        </w:tc>
      </w:tr>
      <w:tr w:rsidR="008C1139">
        <w:trPr>
          <w:cantSplit/>
          <w:jc w:val="center"/>
        </w:trPr>
        <w:tc>
          <w:tcPr>
            <w:tcW w:w="144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nb_gglions</w:t>
            </w:r>
            <w:proofErr w:type="spellEnd"/>
          </w:p>
        </w:tc>
        <w:tc>
          <w:tcPr>
            <w:tcW w:w="144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nombre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ganglions total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Nombre de ganglions par curage</w:t>
            </w:r>
          </w:p>
        </w:tc>
        <w:tc>
          <w:tcPr>
            <w:tcW w:w="144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</w:tr>
      <w:tr w:rsidR="008C1139">
        <w:trPr>
          <w:cantSplit/>
          <w:jc w:val="center"/>
        </w:trPr>
        <w:tc>
          <w:tcPr>
            <w:tcW w:w="144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zone</w:t>
            </w:r>
          </w:p>
        </w:tc>
        <w:tc>
          <w:tcPr>
            <w:tcW w:w="144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zone</w:t>
            </w:r>
          </w:p>
        </w:tc>
        <w:tc>
          <w:tcPr>
            <w:tcW w:w="288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Remarques sur le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curage</w:t>
            </w:r>
            <w:proofErr w:type="spellEnd"/>
          </w:p>
        </w:tc>
        <w:tc>
          <w:tcPr>
            <w:tcW w:w="1440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2/3/4/5/6/7/12/14/17/20</w:t>
            </w:r>
          </w:p>
        </w:tc>
      </w:tr>
      <w:tr w:rsidR="008C1139">
        <w:trPr>
          <w:cantSplit/>
          <w:jc w:val="center"/>
        </w:trPr>
        <w:tc>
          <w:tcPr>
            <w:tcW w:w="144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anapath_curage</w:t>
            </w:r>
            <w:proofErr w:type="spellEnd"/>
          </w:p>
        </w:tc>
        <w:tc>
          <w:tcPr>
            <w:tcW w:w="1440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anapath</w:t>
            </w:r>
            <w:proofErr w:type="spellEnd"/>
          </w:p>
        </w:tc>
        <w:tc>
          <w:tcPr>
            <w:tcW w:w="2880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Compte rendu </w:t>
            </w:r>
            <w:proofErr w:type="spellStart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anapath</w:t>
            </w:r>
            <w:proofErr w:type="spellEnd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 du curage</w:t>
            </w:r>
          </w:p>
        </w:tc>
        <w:tc>
          <w:tcPr>
            <w:tcW w:w="1440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18/19</w:t>
            </w:r>
          </w:p>
        </w:tc>
      </w:tr>
    </w:tbl>
    <w:p w:rsidR="008C1139" w:rsidRDefault="00804357">
      <w:r>
        <w:br w:type="page"/>
      </w:r>
    </w:p>
    <w:p w:rsidR="008C1139" w:rsidRDefault="00804357">
      <w:pPr>
        <w:pStyle w:val="Titre1"/>
      </w:pPr>
      <w:bookmarkStart w:id="8" w:name="description"/>
      <w:bookmarkStart w:id="9" w:name="_Toc47692701"/>
      <w:r>
        <w:lastRenderedPageBreak/>
        <w:t>Description</w:t>
      </w:r>
      <w:bookmarkEnd w:id="8"/>
      <w:bookmarkEnd w:id="9"/>
    </w:p>
    <w:p w:rsidR="008C1139" w:rsidRDefault="00804357">
      <w:pPr>
        <w:pStyle w:val="FirstParagraph"/>
      </w:pPr>
      <w:r>
        <w:t> 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Facteurs</w:t>
      </w:r>
      <w:proofErr w:type="spellEnd"/>
      <w:r>
        <w:t xml:space="preserve"> de </w:t>
      </w:r>
      <w:proofErr w:type="spellStart"/>
      <w:r>
        <w:t>risque</w:t>
      </w:r>
      <w:proofErr w:type="spellEnd"/>
    </w:p>
    <w:tbl>
      <w:tblPr>
        <w:tblW w:w="5378" w:type="dxa"/>
        <w:jc w:val="center"/>
        <w:tblLayout w:type="fixed"/>
        <w:tblLook w:val="0420" w:firstRow="1" w:lastRow="0" w:firstColumn="0" w:lastColumn="0" w:noHBand="0" w:noVBand="1"/>
      </w:tblPr>
      <w:tblGrid>
        <w:gridCol w:w="2686"/>
        <w:gridCol w:w="1083"/>
        <w:gridCol w:w="1609"/>
      </w:tblGrid>
      <w:tr w:rsidR="008C1139">
        <w:trPr>
          <w:cantSplit/>
          <w:tblHeader/>
          <w:jc w:val="center"/>
        </w:trPr>
        <w:tc>
          <w:tcPr>
            <w:tcW w:w="2686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1609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268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60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268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Intoxication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tabagique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160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17(85%)</w:t>
            </w:r>
          </w:p>
        </w:tc>
      </w:tr>
      <w:tr w:rsidR="008C1139">
        <w:trPr>
          <w:cantSplit/>
          <w:jc w:val="center"/>
        </w:trPr>
        <w:tc>
          <w:tcPr>
            <w:tcW w:w="268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Intoxication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éthylique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160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10(50%)</w:t>
            </w:r>
          </w:p>
        </w:tc>
      </w:tr>
      <w:tr w:rsidR="008C1139">
        <w:trPr>
          <w:cantSplit/>
          <w:jc w:val="center"/>
        </w:trPr>
        <w:tc>
          <w:tcPr>
            <w:tcW w:w="2686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 Infection à HPV</w:t>
            </w:r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1609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2(10%)</w:t>
            </w:r>
          </w:p>
        </w:tc>
      </w:tr>
      <w:tr w:rsidR="008C1139">
        <w:trPr>
          <w:cantSplit/>
          <w:jc w:val="center"/>
        </w:trPr>
        <w:tc>
          <w:tcPr>
            <w:tcW w:w="537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</w:p>
        </w:tc>
      </w:tr>
    </w:tbl>
    <w:p w:rsidR="008C1139" w:rsidRPr="00EC3459" w:rsidRDefault="00804357">
      <w:pPr>
        <w:pStyle w:val="Corpsdetexte"/>
        <w:rPr>
          <w:lang w:val="fr-FR"/>
        </w:rPr>
      </w:pPr>
      <w:r w:rsidRPr="00EC3459">
        <w:rPr>
          <w:i/>
          <w:lang w:val="fr-FR"/>
        </w:rPr>
        <w:t>Remarque : Même s’ils sont sevrés, j’ai compté comme présentant le facteur de risque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4</w:t>
      </w:r>
      <w:r>
        <w:fldChar w:fldCharType="end"/>
      </w:r>
      <w:r>
        <w:t>: Au diagnostic</w:t>
      </w:r>
    </w:p>
    <w:tbl>
      <w:tblPr>
        <w:tblW w:w="7015" w:type="dxa"/>
        <w:jc w:val="center"/>
        <w:tblLayout w:type="fixed"/>
        <w:tblLook w:val="0420" w:firstRow="1" w:lastRow="0" w:firstColumn="0" w:lastColumn="0" w:noHBand="0" w:noVBand="1"/>
      </w:tblPr>
      <w:tblGrid>
        <w:gridCol w:w="3907"/>
        <w:gridCol w:w="1083"/>
        <w:gridCol w:w="2025"/>
      </w:tblGrid>
      <w:tr w:rsidR="008C1139">
        <w:trPr>
          <w:cantSplit/>
          <w:tblHeader/>
          <w:jc w:val="center"/>
        </w:trPr>
        <w:tc>
          <w:tcPr>
            <w:tcW w:w="3907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2025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Localisation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du cancer--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Hypopharynx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7(35%)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Larynx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Oropharynx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12(60%)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--Stade T de la classification TNM--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1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2(10%)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2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8(40%)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3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7(35%)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4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3(15%)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--Stade N de la classification TNM--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0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3(15%)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1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4(20%)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2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9(45%)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3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4(20%)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--Stade M de la classification TNM--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0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19(95%)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1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025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1(5%)</w:t>
            </w:r>
          </w:p>
        </w:tc>
      </w:tr>
      <w:tr w:rsidR="008C1139">
        <w:trPr>
          <w:cantSplit/>
          <w:jc w:val="center"/>
        </w:trPr>
        <w:tc>
          <w:tcPr>
            <w:tcW w:w="3907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Âge au moment du diagnostic</w:t>
            </w:r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025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62(56;64)[51;74]</w:t>
            </w:r>
          </w:p>
        </w:tc>
      </w:tr>
      <w:tr w:rsidR="008C1139">
        <w:trPr>
          <w:cantSplit/>
          <w:jc w:val="center"/>
        </w:trPr>
        <w:tc>
          <w:tcPr>
            <w:tcW w:w="701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Default="00804357">
      <w:r>
        <w:br w:type="page"/>
      </w:r>
    </w:p>
    <w:p w:rsidR="008C1139" w:rsidRDefault="00804357">
      <w:pPr>
        <w:pStyle w:val="TableCaption"/>
      </w:pPr>
      <w:r>
        <w:lastRenderedPageBreak/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Traitement</w:t>
      </w:r>
      <w:proofErr w:type="spellEnd"/>
      <w:r>
        <w:t xml:space="preserve"> initial</w:t>
      </w:r>
    </w:p>
    <w:tbl>
      <w:tblPr>
        <w:tblW w:w="9474" w:type="dxa"/>
        <w:jc w:val="center"/>
        <w:tblLayout w:type="fixed"/>
        <w:tblLook w:val="0420" w:firstRow="1" w:lastRow="0" w:firstColumn="0" w:lastColumn="0" w:noHBand="0" w:noVBand="1"/>
      </w:tblPr>
      <w:tblGrid>
        <w:gridCol w:w="6243"/>
        <w:gridCol w:w="1083"/>
        <w:gridCol w:w="2148"/>
      </w:tblGrid>
      <w:tr w:rsidR="008C1139">
        <w:trPr>
          <w:cantSplit/>
          <w:tblHeader/>
          <w:jc w:val="center"/>
        </w:trPr>
        <w:tc>
          <w:tcPr>
            <w:tcW w:w="6244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2148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Durée du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initial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66(51;91)[23;151]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initial par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radiothérapie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20(100%)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initial par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chimiothérapie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17(85%)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initial par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chirurgie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5(25%)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Dose de radiothérapie sur le site tumoral (en Gy)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70(69;70)[50;72]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Dose de radiothérapie sur les aires ganglionnaires (en Gy)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n=18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70(58;70)[40;72]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Tolérance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radiothérapie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n=18</w:t>
            </w: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Mauvaise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1(6%)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Médiocre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3(17%)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Bonne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13(72%)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Parfaite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14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1(6%)</w:t>
            </w:r>
          </w:p>
        </w:tc>
      </w:tr>
      <w:tr w:rsidR="008C1139">
        <w:trPr>
          <w:cantSplit/>
          <w:jc w:val="center"/>
        </w:trPr>
        <w:tc>
          <w:tcPr>
            <w:tcW w:w="6244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Manquants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148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</w:tr>
      <w:tr w:rsidR="008C1139">
        <w:trPr>
          <w:cantSplit/>
          <w:jc w:val="center"/>
        </w:trPr>
        <w:tc>
          <w:tcPr>
            <w:tcW w:w="947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Default="00804357">
      <w:pPr>
        <w:pStyle w:val="Corpsdetexte"/>
      </w:pPr>
      <w:r>
        <w:t> </w:t>
      </w:r>
    </w:p>
    <w:p w:rsidR="008C1139" w:rsidRPr="00EC3459" w:rsidRDefault="00804357">
      <w:pPr>
        <w:pStyle w:val="TableCaption"/>
        <w:rPr>
          <w:lang w:val="fr-FR"/>
        </w:rPr>
      </w:pPr>
      <w:r w:rsidRPr="00EC3459">
        <w:rPr>
          <w:lang w:val="fr-FR"/>
        </w:rPr>
        <w:t xml:space="preserve">Table </w:t>
      </w:r>
      <w:r>
        <w:fldChar w:fldCharType="begin"/>
      </w:r>
      <w:r w:rsidRPr="00EC3459">
        <w:rPr>
          <w:lang w:val="fr-FR"/>
        </w:rPr>
        <w:instrText>SEQ table \* Arabic</w:instrText>
      </w:r>
      <w:r>
        <w:fldChar w:fldCharType="separate"/>
      </w:r>
      <w:r w:rsidR="00EC3459" w:rsidRPr="00EC3459">
        <w:rPr>
          <w:noProof/>
          <w:lang w:val="fr-FR"/>
        </w:rPr>
        <w:t>6</w:t>
      </w:r>
      <w:r>
        <w:fldChar w:fldCharType="end"/>
      </w:r>
      <w:r w:rsidRPr="00EC3459">
        <w:rPr>
          <w:lang w:val="fr-FR"/>
        </w:rPr>
        <w:t>: Diagnostic de la 1ère récidive</w:t>
      </w:r>
    </w:p>
    <w:tbl>
      <w:tblPr>
        <w:tblW w:w="9964" w:type="dxa"/>
        <w:jc w:val="center"/>
        <w:tblLayout w:type="fixed"/>
        <w:tblLook w:val="0420" w:firstRow="1" w:lastRow="0" w:firstColumn="0" w:lastColumn="0" w:noHBand="0" w:noVBand="1"/>
      </w:tblPr>
      <w:tblGrid>
        <w:gridCol w:w="6122"/>
        <w:gridCol w:w="1083"/>
        <w:gridCol w:w="2759"/>
      </w:tblGrid>
      <w:tr w:rsidR="008C1139">
        <w:trPr>
          <w:cantSplit/>
          <w:tblHeader/>
          <w:jc w:val="center"/>
        </w:trPr>
        <w:tc>
          <w:tcPr>
            <w:tcW w:w="6121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2759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Délai de 1ère récidive par rapport au diagnostic en jours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244(184;555)[122;7486]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Délai entre la fin du traitement et la 1ère récidive en jours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91(47;244)[29;7436]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--Type d'évolution après le 1er traitement--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n=19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Poursuite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évolutive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13(68%)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Récidive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6(32%)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Manquants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 TDM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17(85%)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 IRM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3(15%)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 TEP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14(70%)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Ponction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5(25%)</w:t>
            </w:r>
          </w:p>
        </w:tc>
      </w:tr>
      <w:tr w:rsidR="008C1139">
        <w:trPr>
          <w:cantSplit/>
          <w:jc w:val="center"/>
        </w:trPr>
        <w:tc>
          <w:tcPr>
            <w:tcW w:w="6121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 SUV</w:t>
            </w:r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n=11</w:t>
            </w:r>
          </w:p>
        </w:tc>
        <w:tc>
          <w:tcPr>
            <w:tcW w:w="2759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8(7;32)[3;88]</w:t>
            </w:r>
          </w:p>
        </w:tc>
      </w:tr>
      <w:tr w:rsidR="008C1139">
        <w:trPr>
          <w:cantSplit/>
          <w:jc w:val="center"/>
        </w:trPr>
        <w:tc>
          <w:tcPr>
            <w:tcW w:w="9963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Default="00804357">
      <w:r>
        <w:br w:type="page"/>
      </w:r>
    </w:p>
    <w:p w:rsidR="008C1139" w:rsidRPr="00EC3459" w:rsidRDefault="00804357">
      <w:pPr>
        <w:pStyle w:val="TableCaption"/>
        <w:rPr>
          <w:lang w:val="fr-FR"/>
        </w:rPr>
      </w:pPr>
      <w:r w:rsidRPr="00EC3459">
        <w:rPr>
          <w:lang w:val="fr-FR"/>
        </w:rPr>
        <w:lastRenderedPageBreak/>
        <w:t xml:space="preserve">Table </w:t>
      </w:r>
      <w:r>
        <w:fldChar w:fldCharType="begin"/>
      </w:r>
      <w:r w:rsidRPr="00EC3459">
        <w:rPr>
          <w:lang w:val="fr-FR"/>
        </w:rPr>
        <w:instrText>SEQ table \* Arabic</w:instrText>
      </w:r>
      <w:r>
        <w:fldChar w:fldCharType="separate"/>
      </w:r>
      <w:r w:rsidR="00EC3459" w:rsidRPr="00EC3459">
        <w:rPr>
          <w:noProof/>
          <w:lang w:val="fr-FR"/>
        </w:rPr>
        <w:t>7</w:t>
      </w:r>
      <w:r>
        <w:fldChar w:fldCharType="end"/>
      </w:r>
      <w:r w:rsidRPr="00EC3459">
        <w:rPr>
          <w:lang w:val="fr-FR"/>
        </w:rPr>
        <w:t>: Traitement de la 1ère récidive</w:t>
      </w:r>
    </w:p>
    <w:tbl>
      <w:tblPr>
        <w:tblW w:w="10306" w:type="dxa"/>
        <w:jc w:val="center"/>
        <w:tblLayout w:type="fixed"/>
        <w:tblLook w:val="0420" w:firstRow="1" w:lastRow="0" w:firstColumn="0" w:lastColumn="0" w:noHBand="0" w:noVBand="1"/>
      </w:tblPr>
      <w:tblGrid>
        <w:gridCol w:w="6464"/>
        <w:gridCol w:w="1083"/>
        <w:gridCol w:w="2759"/>
      </w:tblGrid>
      <w:tr w:rsidR="008C1139">
        <w:trPr>
          <w:cantSplit/>
          <w:tblHeader/>
          <w:jc w:val="center"/>
        </w:trPr>
        <w:tc>
          <w:tcPr>
            <w:tcW w:w="6464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2759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Âge lors du curage de rattrapage (en années)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63(60;68)[51;75]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Délai entre le curage de rattrapage et le diagnostic (en jours)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306(255;600)[153;7528]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--Type de curage pour la 1ère récidive--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Fonctionnel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5(25%)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Radical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Radical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modifié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14(70%)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--Côté du curage pour la 1ère récidive--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Bilatéral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3(15%)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Droit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8(40%)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 Gauche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  <w:jc w:val="right"/>
            </w:pP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9(45%)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Trachéotomie lors de l'hospitalisation pour 1ère récidive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11(55%)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Durée de la trachéotomie (en jours)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n=11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6(4;8)[3;24]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Lambeau de grand pectoral lors du curage de rattrapage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5(25%)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Curage de rattrapage macroscopiquement complet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17(85%)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Durée d'hospitalisation du curage de rattrapage (en jours)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7(5;9)[2;30]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- Complications </w:t>
            </w:r>
            <w:proofErr w:type="spellStart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per-opératoires</w:t>
            </w:r>
            <w:proofErr w:type="spellEnd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 du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1(5%)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complémentaire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par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radiothérapie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6(30%)</w:t>
            </w:r>
          </w:p>
        </w:tc>
      </w:tr>
      <w:tr w:rsidR="008C1139">
        <w:trPr>
          <w:cantSplit/>
          <w:jc w:val="center"/>
        </w:trPr>
        <w:tc>
          <w:tcPr>
            <w:tcW w:w="6464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Traitement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complémentaire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par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chimiothérapie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8(40%)</w:t>
            </w:r>
          </w:p>
        </w:tc>
      </w:tr>
      <w:tr w:rsidR="008C1139">
        <w:trPr>
          <w:cantSplit/>
          <w:jc w:val="center"/>
        </w:trPr>
        <w:tc>
          <w:tcPr>
            <w:tcW w:w="103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Default="00804357">
      <w:pPr>
        <w:pStyle w:val="Corpsdetexte"/>
      </w:pPr>
      <w:r>
        <w:t> 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Curage</w:t>
      </w:r>
      <w:proofErr w:type="spellEnd"/>
      <w:r>
        <w:t xml:space="preserve"> de </w:t>
      </w:r>
      <w:proofErr w:type="spellStart"/>
      <w:r>
        <w:t>rattrapage</w:t>
      </w:r>
      <w:proofErr w:type="spellEnd"/>
    </w:p>
    <w:tbl>
      <w:tblPr>
        <w:tblW w:w="8166" w:type="dxa"/>
        <w:jc w:val="center"/>
        <w:tblLayout w:type="fixed"/>
        <w:tblLook w:val="0420" w:firstRow="1" w:lastRow="0" w:firstColumn="0" w:lastColumn="0" w:noHBand="0" w:noVBand="1"/>
      </w:tblPr>
      <w:tblGrid>
        <w:gridCol w:w="5425"/>
        <w:gridCol w:w="1083"/>
        <w:gridCol w:w="1658"/>
      </w:tblGrid>
      <w:tr w:rsidR="008C1139">
        <w:trPr>
          <w:cantSplit/>
          <w:tblHeader/>
          <w:jc w:val="center"/>
        </w:trPr>
        <w:tc>
          <w:tcPr>
            <w:tcW w:w="5424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1658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Nombre de ganglions par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n=22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4(1;10)[1;24]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Nombre de ganglions atteints sur chaque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n=23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1(1;1)[0;1]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Pas de métastase au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n=23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1(4%)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- Présence de métastase non </w:t>
            </w:r>
            <w:proofErr w:type="spellStart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stériliséesau</w:t>
            </w:r>
            <w:proofErr w:type="spellEnd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n=23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18(78%)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Rupture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capsulaire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n=23</w:t>
            </w:r>
          </w:p>
        </w:tc>
        <w:tc>
          <w:tcPr>
            <w:tcW w:w="1658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12(52%)</w:t>
            </w:r>
          </w:p>
        </w:tc>
      </w:tr>
      <w:tr w:rsidR="008C1139">
        <w:trPr>
          <w:cantSplit/>
          <w:jc w:val="center"/>
        </w:trPr>
        <w:tc>
          <w:tcPr>
            <w:tcW w:w="5424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- Emboles vasculaires et </w:t>
            </w:r>
            <w:proofErr w:type="spellStart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engainement</w:t>
            </w:r>
            <w:proofErr w:type="spellEnd"/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 xml:space="preserve"> péri-nerveux</w:t>
            </w:r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n=23</w:t>
            </w:r>
          </w:p>
        </w:tc>
        <w:tc>
          <w:tcPr>
            <w:tcW w:w="1658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2(9%)</w:t>
            </w:r>
          </w:p>
        </w:tc>
      </w:tr>
      <w:tr w:rsidR="008C1139">
        <w:trPr>
          <w:cantSplit/>
          <w:jc w:val="center"/>
        </w:trPr>
        <w:tc>
          <w:tcPr>
            <w:tcW w:w="8165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t>Ici, l’unité du tableau est le curage, raison pour laquelle il y a un effectif total de 23.</w:t>
      </w:r>
    </w:p>
    <w:p w:rsidR="008C1139" w:rsidRPr="00EC3459" w:rsidRDefault="00804357">
      <w:pPr>
        <w:pStyle w:val="Corpsdetexte"/>
        <w:rPr>
          <w:lang w:val="fr-FR"/>
        </w:rPr>
      </w:pPr>
      <w:r w:rsidRPr="00EC3459">
        <w:rPr>
          <w:lang w:val="fr-FR"/>
        </w:rPr>
        <w:lastRenderedPageBreak/>
        <w:t> </w:t>
      </w:r>
    </w:p>
    <w:p w:rsidR="008C1139" w:rsidRDefault="00804357">
      <w:pPr>
        <w:pStyle w:val="TableCaption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EC3459">
        <w:rPr>
          <w:noProof/>
        </w:rPr>
        <w:t>9</w:t>
      </w:r>
      <w:r>
        <w:fldChar w:fldCharType="end"/>
      </w:r>
      <w:r>
        <w:t xml:space="preserve">: Complications du </w:t>
      </w:r>
      <w:proofErr w:type="spellStart"/>
      <w:r>
        <w:t>curage</w:t>
      </w:r>
      <w:proofErr w:type="spellEnd"/>
    </w:p>
    <w:tbl>
      <w:tblPr>
        <w:tblW w:w="7860" w:type="dxa"/>
        <w:jc w:val="center"/>
        <w:tblLayout w:type="fixed"/>
        <w:tblLook w:val="0420" w:firstRow="1" w:lastRow="0" w:firstColumn="0" w:lastColumn="0" w:noHBand="0" w:noVBand="1"/>
      </w:tblPr>
      <w:tblGrid>
        <w:gridCol w:w="5168"/>
        <w:gridCol w:w="1083"/>
        <w:gridCol w:w="1609"/>
      </w:tblGrid>
      <w:tr w:rsidR="008C1139">
        <w:trPr>
          <w:cantSplit/>
          <w:tblHeader/>
          <w:jc w:val="center"/>
        </w:trPr>
        <w:tc>
          <w:tcPr>
            <w:tcW w:w="5168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1609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5168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60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5168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Présence de complications précoces au curage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160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6(30%)</w:t>
            </w:r>
          </w:p>
        </w:tc>
      </w:tr>
      <w:tr w:rsidR="008C1139">
        <w:trPr>
          <w:cantSplit/>
          <w:jc w:val="center"/>
        </w:trPr>
        <w:tc>
          <w:tcPr>
            <w:tcW w:w="5168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Présence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séquelles</w:t>
            </w:r>
            <w:proofErr w:type="spellEnd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tardives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1609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14(70%)</w:t>
            </w:r>
          </w:p>
        </w:tc>
      </w:tr>
      <w:tr w:rsidR="008C1139">
        <w:trPr>
          <w:cantSplit/>
          <w:jc w:val="center"/>
        </w:trPr>
        <w:tc>
          <w:tcPr>
            <w:tcW w:w="786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</w:p>
        </w:tc>
      </w:tr>
    </w:tbl>
    <w:p w:rsidR="008C1139" w:rsidRDefault="00804357">
      <w:pPr>
        <w:pStyle w:val="Corpsdetexte"/>
      </w:pPr>
      <w:r>
        <w:t> </w:t>
      </w:r>
    </w:p>
    <w:p w:rsidR="008C1139" w:rsidRPr="00EC3459" w:rsidRDefault="00804357">
      <w:pPr>
        <w:pStyle w:val="TableCaption"/>
        <w:rPr>
          <w:lang w:val="fr-FR"/>
        </w:rPr>
      </w:pPr>
      <w:r w:rsidRPr="00EC3459">
        <w:rPr>
          <w:lang w:val="fr-FR"/>
        </w:rPr>
        <w:t xml:space="preserve">Table </w:t>
      </w:r>
      <w:r>
        <w:fldChar w:fldCharType="begin"/>
      </w:r>
      <w:r w:rsidRPr="00EC3459">
        <w:rPr>
          <w:lang w:val="fr-FR"/>
        </w:rPr>
        <w:instrText>SEQ table \* Arabic</w:instrText>
      </w:r>
      <w:r>
        <w:fldChar w:fldCharType="separate"/>
      </w:r>
      <w:r w:rsidR="00EC3459" w:rsidRPr="00EC3459">
        <w:rPr>
          <w:noProof/>
          <w:lang w:val="fr-FR"/>
        </w:rPr>
        <w:t>10</w:t>
      </w:r>
      <w:r>
        <w:fldChar w:fldCharType="end"/>
      </w:r>
      <w:r w:rsidRPr="00EC3459">
        <w:rPr>
          <w:lang w:val="fr-FR"/>
        </w:rPr>
        <w:t>: Après le curage de rattrapage</w:t>
      </w:r>
    </w:p>
    <w:tbl>
      <w:tblPr>
        <w:tblW w:w="10502" w:type="dxa"/>
        <w:jc w:val="center"/>
        <w:tblLayout w:type="fixed"/>
        <w:tblLook w:val="0420" w:firstRow="1" w:lastRow="0" w:firstColumn="0" w:lastColumn="0" w:noHBand="0" w:noVBand="1"/>
      </w:tblPr>
      <w:tblGrid>
        <w:gridCol w:w="6660"/>
        <w:gridCol w:w="1083"/>
        <w:gridCol w:w="2759"/>
      </w:tblGrid>
      <w:tr w:rsidR="008C1139">
        <w:trPr>
          <w:cantSplit/>
          <w:tblHeader/>
          <w:jc w:val="center"/>
        </w:trPr>
        <w:tc>
          <w:tcPr>
            <w:tcW w:w="6660" w:type="dxa"/>
            <w:tcBorders>
              <w:top w:val="single" w:sz="16" w:space="0" w:color="000000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1083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Effectif</w:t>
            </w:r>
            <w:proofErr w:type="spellEnd"/>
          </w:p>
        </w:tc>
        <w:tc>
          <w:tcPr>
            <w:tcW w:w="2759" w:type="dxa"/>
            <w:tcBorders>
              <w:top w:val="single" w:sz="16" w:space="0" w:color="000000"/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Statistiques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C1139">
            <w:pPr>
              <w:spacing w:before="40" w:after="40"/>
              <w:ind w:left="100" w:right="100"/>
            </w:pP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Récidive après curage de rattrapage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9(45%)</w:t>
            </w: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Âge lors de la récidive après curage de rattrapage (en années)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n=9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64(55;64)[52;75]</w:t>
            </w: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Délai entre le diagnostic et la 2ème récidive en jours</w:t>
            </w:r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n=9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426(337;669)[242;1217]</w:t>
            </w: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Décès</w:t>
            </w:r>
            <w:proofErr w:type="spellEnd"/>
          </w:p>
        </w:tc>
        <w:tc>
          <w:tcPr>
            <w:tcW w:w="1083" w:type="dxa"/>
            <w:tcBorders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n=20</w:t>
            </w:r>
          </w:p>
        </w:tc>
        <w:tc>
          <w:tcPr>
            <w:tcW w:w="2759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13(65%)</w:t>
            </w:r>
          </w:p>
        </w:tc>
      </w:tr>
      <w:tr w:rsidR="008C1139">
        <w:trPr>
          <w:cantSplit/>
          <w:jc w:val="center"/>
        </w:trPr>
        <w:tc>
          <w:tcPr>
            <w:tcW w:w="6660" w:type="dxa"/>
            <w:tcBorders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Pr="00EC3459" w:rsidRDefault="00804357">
            <w:pPr>
              <w:spacing w:before="40" w:after="40"/>
              <w:ind w:left="100" w:right="100"/>
              <w:rPr>
                <w:lang w:val="fr-FR"/>
              </w:rPr>
            </w:pPr>
            <w:r w:rsidRPr="00EC3459">
              <w:rPr>
                <w:rFonts w:ascii="Arial" w:eastAsia="Arial" w:hAnsi="Arial" w:cs="Arial"/>
                <w:color w:val="111111"/>
                <w:sz w:val="22"/>
                <w:szCs w:val="22"/>
                <w:lang w:val="fr-FR"/>
              </w:rPr>
              <w:t>- Âge à la mort (en années)</w:t>
            </w:r>
          </w:p>
        </w:tc>
        <w:tc>
          <w:tcPr>
            <w:tcW w:w="1083" w:type="dxa"/>
            <w:tcBorders>
              <w:left w:val="single" w:sz="8" w:space="0" w:color="BEBEBE"/>
              <w:bottom w:val="single" w:sz="16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n=13</w:t>
            </w:r>
          </w:p>
        </w:tc>
        <w:tc>
          <w:tcPr>
            <w:tcW w:w="2759" w:type="dxa"/>
            <w:tcBorders>
              <w:left w:val="single" w:sz="8" w:space="0" w:color="BEBEBE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63(56;65)[52;76]</w:t>
            </w:r>
          </w:p>
        </w:tc>
      </w:tr>
      <w:tr w:rsidR="008C1139">
        <w:trPr>
          <w:cantSplit/>
          <w:jc w:val="center"/>
        </w:trPr>
        <w:tc>
          <w:tcPr>
            <w:tcW w:w="10502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1139" w:rsidRDefault="00804357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med, (Q1;Q3), 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min;max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:rsidR="008C1139" w:rsidRDefault="00804357">
      <w:pPr>
        <w:pStyle w:val="Titre1"/>
      </w:pPr>
      <w:bookmarkStart w:id="10" w:name="analyse-de-survie"/>
      <w:bookmarkStart w:id="11" w:name="_Toc47692702"/>
      <w:proofErr w:type="spellStart"/>
      <w:r>
        <w:lastRenderedPageBreak/>
        <w:t>Analyse</w:t>
      </w:r>
      <w:proofErr w:type="spellEnd"/>
      <w:r>
        <w:t xml:space="preserve"> de </w:t>
      </w:r>
      <w:proofErr w:type="spellStart"/>
      <w:r>
        <w:t>survie</w:t>
      </w:r>
      <w:bookmarkEnd w:id="10"/>
      <w:bookmarkEnd w:id="11"/>
      <w:proofErr w:type="spellEnd"/>
    </w:p>
    <w:p w:rsidR="008C1139" w:rsidRDefault="00804357" w:rsidP="00EC3459">
      <w:pPr>
        <w:pStyle w:val="Titre2"/>
        <w:numPr>
          <w:ilvl w:val="0"/>
          <w:numId w:val="25"/>
        </w:numPr>
      </w:pPr>
      <w:bookmarkStart w:id="12" w:name="critère-de-jugement-principal-mortalité"/>
      <w:bookmarkStart w:id="13" w:name="_Toc47692703"/>
      <w:proofErr w:type="spellStart"/>
      <w:r>
        <w:t>Critère</w:t>
      </w:r>
      <w:proofErr w:type="spellEnd"/>
      <w:r>
        <w:t xml:space="preserve"> de </w:t>
      </w:r>
      <w:proofErr w:type="spellStart"/>
      <w:r>
        <w:t>jugement</w:t>
      </w:r>
      <w:proofErr w:type="spellEnd"/>
      <w:r>
        <w:t xml:space="preserve"> </w:t>
      </w:r>
      <w:proofErr w:type="gramStart"/>
      <w:r>
        <w:t>principal :</w:t>
      </w:r>
      <w:proofErr w:type="gramEnd"/>
      <w:r>
        <w:t xml:space="preserve"> </w:t>
      </w:r>
      <w:proofErr w:type="spellStart"/>
      <w:r>
        <w:t>mortalité</w:t>
      </w:r>
      <w:bookmarkEnd w:id="12"/>
      <w:bookmarkEnd w:id="13"/>
      <w:proofErr w:type="spellEnd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Default="00804357">
      <w:pPr>
        <w:pStyle w:val="Titre2"/>
      </w:pPr>
      <w:bookmarkStart w:id="14" w:name="critères-de-jugement-secondaires"/>
      <w:bookmarkStart w:id="15" w:name="_Toc47692704"/>
      <w:proofErr w:type="spellStart"/>
      <w:r>
        <w:lastRenderedPageBreak/>
        <w:t>Critères</w:t>
      </w:r>
      <w:proofErr w:type="spellEnd"/>
      <w:r>
        <w:t xml:space="preserve"> de </w:t>
      </w:r>
      <w:proofErr w:type="spellStart"/>
      <w:r>
        <w:t>jugement</w:t>
      </w:r>
      <w:proofErr w:type="spellEnd"/>
      <w:r>
        <w:t xml:space="preserve"> </w:t>
      </w:r>
      <w:proofErr w:type="spellStart"/>
      <w:r>
        <w:t>secondaires</w:t>
      </w:r>
      <w:bookmarkEnd w:id="14"/>
      <w:bookmarkEnd w:id="15"/>
      <w:proofErr w:type="spellEnd"/>
    </w:p>
    <w:p w:rsidR="008C1139" w:rsidRDefault="00804357">
      <w:pPr>
        <w:pStyle w:val="Titre3"/>
      </w:pPr>
      <w:bookmarkStart w:id="16" w:name="survie-sans-récidive"/>
      <w:bookmarkStart w:id="17" w:name="_Toc47692705"/>
      <w:proofErr w:type="spellStart"/>
      <w:r>
        <w:t>Survie</w:t>
      </w:r>
      <w:proofErr w:type="spellEnd"/>
      <w:r>
        <w:t xml:space="preserve"> sans </w:t>
      </w:r>
      <w:proofErr w:type="spellStart"/>
      <w:r>
        <w:t>récidive</w:t>
      </w:r>
      <w:bookmarkEnd w:id="16"/>
      <w:bookmarkEnd w:id="17"/>
      <w:proofErr w:type="spellEnd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recidiv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Pr="00EC3459" w:rsidRDefault="00804357">
      <w:pPr>
        <w:pStyle w:val="Titre3"/>
        <w:rPr>
          <w:lang w:val="fr-FR"/>
        </w:rPr>
      </w:pPr>
      <w:bookmarkStart w:id="18" w:name="X1e79552c39614a374899b5986de3afad8420caa"/>
      <w:bookmarkStart w:id="19" w:name="_Toc47692706"/>
      <w:r w:rsidRPr="00EC3459">
        <w:rPr>
          <w:lang w:val="fr-FR"/>
        </w:rPr>
        <w:lastRenderedPageBreak/>
        <w:t>Survie globale en fonction de la taille de la tumeur initialement</w:t>
      </w:r>
      <w:bookmarkEnd w:id="18"/>
      <w:bookmarkEnd w:id="19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_f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Pr="00EC3459" w:rsidRDefault="00804357">
      <w:pPr>
        <w:pStyle w:val="Titre3"/>
        <w:rPr>
          <w:lang w:val="fr-FR"/>
        </w:rPr>
      </w:pPr>
      <w:bookmarkStart w:id="20" w:name="X6322982c5f67697bb0e7584ced5d7578bde0154"/>
      <w:bookmarkStart w:id="21" w:name="_Toc47692707"/>
      <w:r w:rsidRPr="00EC3459">
        <w:rPr>
          <w:lang w:val="fr-FR"/>
        </w:rPr>
        <w:lastRenderedPageBreak/>
        <w:t>Survie globale en fonction de l’atteinte ganglionnaire initiale</w:t>
      </w:r>
      <w:bookmarkEnd w:id="20"/>
      <w:bookmarkEnd w:id="21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_f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Pr="00EC3459" w:rsidRDefault="00804357">
      <w:pPr>
        <w:pStyle w:val="Titre3"/>
        <w:rPr>
          <w:lang w:val="fr-FR"/>
        </w:rPr>
      </w:pPr>
      <w:bookmarkStart w:id="22" w:name="X7dd2ae24d6cf513d66087a5954558794354a9c2"/>
      <w:bookmarkStart w:id="23" w:name="_Toc47692708"/>
      <w:r w:rsidRPr="00EC3459">
        <w:rPr>
          <w:lang w:val="fr-FR"/>
        </w:rPr>
        <w:lastRenderedPageBreak/>
        <w:t>Survie globale en fonction de la survenue d’une récidive après le curage de rattrapage</w:t>
      </w:r>
      <w:bookmarkEnd w:id="22"/>
      <w:bookmarkEnd w:id="23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_frec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Pr="00EC3459" w:rsidRDefault="00804357">
      <w:pPr>
        <w:pStyle w:val="Titre3"/>
        <w:rPr>
          <w:lang w:val="fr-FR"/>
        </w:rPr>
      </w:pPr>
      <w:bookmarkStart w:id="24" w:name="Xb2c79705345e7ab6536477ca96415a116bb8b30"/>
      <w:bookmarkStart w:id="25" w:name="_Toc47692709"/>
      <w:r w:rsidRPr="00EC3459">
        <w:rPr>
          <w:lang w:val="fr-FR"/>
        </w:rPr>
        <w:lastRenderedPageBreak/>
        <w:t>Survie globale en fonction du délai entre le curage de rattrapage et la fin du traitement initial</w:t>
      </w:r>
      <w:bookmarkEnd w:id="24"/>
      <w:bookmarkEnd w:id="25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_fdelai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39" w:rsidRPr="00EC3459" w:rsidRDefault="00804357">
      <w:pPr>
        <w:pStyle w:val="Titre3"/>
        <w:rPr>
          <w:lang w:val="fr-FR"/>
        </w:rPr>
      </w:pPr>
      <w:bookmarkStart w:id="26" w:name="Xafa27bf69ee33e284f1d0eff5f7959f130bb60a"/>
      <w:bookmarkStart w:id="27" w:name="_Toc47692710"/>
      <w:r w:rsidRPr="00EC3459">
        <w:rPr>
          <w:lang w:val="fr-FR"/>
        </w:rPr>
        <w:lastRenderedPageBreak/>
        <w:t>Survie globale en fonction de la rupture capsulaire lors du curage de rattrapage</w:t>
      </w:r>
      <w:bookmarkEnd w:id="26"/>
      <w:bookmarkEnd w:id="27"/>
    </w:p>
    <w:p w:rsidR="008C1139" w:rsidRDefault="00804357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969000" cy="5969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/Bichat/these_orl/figures/km_glob_fr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113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0444" w:rsidRDefault="00804357">
      <w:pPr>
        <w:spacing w:after="0"/>
      </w:pPr>
      <w:r>
        <w:separator/>
      </w:r>
    </w:p>
  </w:endnote>
  <w:endnote w:type="continuationSeparator" w:id="0">
    <w:p w:rsidR="00520444" w:rsidRDefault="00804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7A93" w:rsidRDefault="003E608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3966704"/>
      <w:docPartObj>
        <w:docPartGallery w:val="Page Numbers (Bottom of Page)"/>
        <w:docPartUnique/>
      </w:docPartObj>
    </w:sdtPr>
    <w:sdtEndPr/>
    <w:sdtContent>
      <w:p w:rsidR="00BC7A93" w:rsidRDefault="008043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7B2" w:rsidRPr="004F67B2">
          <w:rPr>
            <w:noProof/>
            <w:lang w:val="fr-FR"/>
          </w:rPr>
          <w:t>4</w:t>
        </w:r>
        <w:r>
          <w:fldChar w:fldCharType="end"/>
        </w:r>
      </w:p>
    </w:sdtContent>
  </w:sdt>
  <w:p w:rsidR="00BC7A93" w:rsidRDefault="003E608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7A93" w:rsidRDefault="003E60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C1139" w:rsidRDefault="00804357">
      <w:r>
        <w:separator/>
      </w:r>
    </w:p>
  </w:footnote>
  <w:footnote w:type="continuationSeparator" w:id="0">
    <w:p w:rsidR="008C1139" w:rsidRDefault="00804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7A93" w:rsidRDefault="003E608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7A93" w:rsidRDefault="003E608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7A93" w:rsidRDefault="003E608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AD602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71AB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4100E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B76E9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D3ECA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D9CD1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80E1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F7085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E449A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FCAA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86261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B757576"/>
    <w:multiLevelType w:val="multilevel"/>
    <w:tmpl w:val="44BC59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7038A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37A7B96"/>
    <w:multiLevelType w:val="hybridMultilevel"/>
    <w:tmpl w:val="CD66408E"/>
    <w:lvl w:ilvl="0" w:tplc="5FE8A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C0453"/>
    <w:multiLevelType w:val="hybridMultilevel"/>
    <w:tmpl w:val="44BC59A8"/>
    <w:lvl w:ilvl="0" w:tplc="8B2C7C1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5738D"/>
    <w:multiLevelType w:val="hybridMultilevel"/>
    <w:tmpl w:val="86864A3C"/>
    <w:lvl w:ilvl="0" w:tplc="282EE7D6">
      <w:start w:val="1"/>
      <w:numFmt w:val="decimal"/>
      <w:pStyle w:val="Titre2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A6166"/>
    <w:multiLevelType w:val="hybridMultilevel"/>
    <w:tmpl w:val="8D7082CA"/>
    <w:lvl w:ilvl="0" w:tplc="C9624BA8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14"/>
  </w:num>
  <w:num w:numId="15">
    <w:abstractNumId w:val="13"/>
  </w:num>
  <w:num w:numId="16">
    <w:abstractNumId w:val="16"/>
  </w:num>
  <w:num w:numId="17">
    <w:abstractNumId w:val="15"/>
  </w:num>
  <w:num w:numId="18">
    <w:abstractNumId w:val="12"/>
  </w:num>
  <w:num w:numId="19">
    <w:abstractNumId w:val="0"/>
  </w:num>
  <w:num w:numId="20">
    <w:abstractNumId w:val="0"/>
  </w:num>
  <w:num w:numId="21">
    <w:abstractNumId w:val="15"/>
    <w:lvlOverride w:ilvl="0">
      <w:startOverride w:val="1"/>
    </w:lvlOverride>
  </w:num>
  <w:num w:numId="22">
    <w:abstractNumId w:val="12"/>
  </w:num>
  <w:num w:numId="23">
    <w:abstractNumId w:val="0"/>
  </w:num>
  <w:num w:numId="24">
    <w:abstractNumId w:val="0"/>
  </w:num>
  <w:num w:numId="25">
    <w:abstractNumId w:val="15"/>
    <w:lvlOverride w:ilvl="0">
      <w:startOverride w:val="1"/>
    </w:lvlOverride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E6084"/>
    <w:rsid w:val="004E29B3"/>
    <w:rsid w:val="004F67B2"/>
    <w:rsid w:val="00520444"/>
    <w:rsid w:val="00590D07"/>
    <w:rsid w:val="00784D58"/>
    <w:rsid w:val="00804357"/>
    <w:rsid w:val="008C1139"/>
    <w:rsid w:val="008D6863"/>
    <w:rsid w:val="00B46486"/>
    <w:rsid w:val="00B86B75"/>
    <w:rsid w:val="00BC48D5"/>
    <w:rsid w:val="00C36279"/>
    <w:rsid w:val="00E315A3"/>
    <w:rsid w:val="00EC34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E8DBD-8F53-9747-8776-CAA22F60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3E6084"/>
    <w:pPr>
      <w:keepNext/>
      <w:keepLines/>
      <w:numPr>
        <w:numId w:val="14"/>
      </w:numPr>
      <w:spacing w:before="360" w:after="120"/>
      <w:ind w:left="714" w:hanging="357"/>
      <w:outlineLvl w:val="0"/>
    </w:pPr>
    <w:rPr>
      <w:rFonts w:ascii="Arial" w:eastAsiaTheme="majorEastAsia" w:hAnsi="Arial" w:cstheme="majorBidi"/>
      <w:b/>
      <w:bCs/>
      <w:sz w:val="32"/>
      <w:szCs w:val="32"/>
      <w:u w:val="single"/>
    </w:rPr>
  </w:style>
  <w:style w:type="paragraph" w:styleId="Titre2">
    <w:name w:val="heading 2"/>
    <w:basedOn w:val="Normal"/>
    <w:next w:val="Corpsdetexte"/>
    <w:uiPriority w:val="9"/>
    <w:unhideWhenUsed/>
    <w:qFormat/>
    <w:rsid w:val="003E6084"/>
    <w:pPr>
      <w:keepNext/>
      <w:keepLines/>
      <w:numPr>
        <w:numId w:val="17"/>
      </w:numPr>
      <w:spacing w:before="120" w:after="80"/>
      <w:outlineLvl w:val="1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3E6084"/>
    <w:pPr>
      <w:keepNext/>
      <w:keepLines/>
      <w:numPr>
        <w:numId w:val="16"/>
      </w:numPr>
      <w:spacing w:before="120" w:after="80"/>
      <w:ind w:left="714" w:hanging="357"/>
      <w:outlineLvl w:val="2"/>
    </w:pPr>
    <w:rPr>
      <w:rFonts w:asciiTheme="majorHAnsi" w:eastAsiaTheme="majorEastAsia" w:hAnsiTheme="majorHAnsi" w:cstheme="majorBidi"/>
      <w:bCs/>
      <w:u w:val="single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4F67B2"/>
    <w:pPr>
      <w:spacing w:before="180" w:after="180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64147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36"/>
      <w:u w:val="single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641470"/>
    <w:pPr>
      <w:keepNext/>
    </w:pPr>
    <w:rPr>
      <w:b/>
      <w:i w:val="0"/>
      <w:color w:val="4F81BD" w:themeColor="accent1"/>
    </w:rPr>
  </w:style>
  <w:style w:type="paragraph" w:customStyle="1" w:styleId="ImageCaption">
    <w:name w:val="Image Caption"/>
    <w:basedOn w:val="Lgende"/>
    <w:rsid w:val="00641470"/>
    <w:rPr>
      <w:b/>
      <w:i w:val="0"/>
      <w:color w:val="4F81BD" w:themeColor="accen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B46486"/>
    <w:rPr>
      <w:i/>
      <w:sz w:val="22"/>
      <w:shd w:val="clear" w:color="auto" w:fill="F8F8F8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sid w:val="00641470"/>
    <w:rPr>
      <w:rFonts w:ascii="Times New Roman" w:hAnsi="Times New Roman"/>
      <w:i/>
      <w:color w:val="auto"/>
      <w:sz w:val="24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641470"/>
    <w:pPr>
      <w:numPr>
        <w:numId w:val="0"/>
      </w:numPr>
      <w:spacing w:before="240" w:line="259" w:lineRule="auto"/>
      <w:outlineLvl w:val="9"/>
    </w:pPr>
    <w:rPr>
      <w:rFonts w:ascii="Times New Roman" w:hAnsi="Times New Roman"/>
      <w:bCs w:val="0"/>
    </w:rPr>
  </w:style>
  <w:style w:type="paragraph" w:customStyle="1" w:styleId="SourceCode">
    <w:name w:val="Source Code"/>
    <w:basedOn w:val="Normal"/>
    <w:link w:val="VerbatimChar"/>
    <w:rsid w:val="00B46486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F8F8F8"/>
      <w:wordWrap w:val="0"/>
    </w:pPr>
    <w:rPr>
      <w:i/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rsid w:val="00641470"/>
    <w:pPr>
      <w:spacing w:after="100"/>
    </w:pPr>
    <w:rPr>
      <w:rFonts w:ascii="Times New Roman" w:hAnsi="Times New Roman"/>
    </w:rPr>
  </w:style>
  <w:style w:type="paragraph" w:styleId="TM2">
    <w:name w:val="toc 2"/>
    <w:basedOn w:val="Normal"/>
    <w:next w:val="Normal"/>
    <w:autoRedefine/>
    <w:uiPriority w:val="39"/>
    <w:rsid w:val="00641470"/>
    <w:pPr>
      <w:spacing w:after="100"/>
      <w:ind w:left="240"/>
    </w:pPr>
    <w:rPr>
      <w:rFonts w:ascii="Times New Roman" w:hAnsi="Times New Roman"/>
      <w:i/>
    </w:rPr>
  </w:style>
  <w:style w:type="paragraph" w:styleId="Textedebulles">
    <w:name w:val="Balloon Text"/>
    <w:basedOn w:val="Normal"/>
    <w:link w:val="TextedebullesCar"/>
    <w:rsid w:val="00994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9411F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rsid w:val="004F67B2"/>
  </w:style>
  <w:style w:type="paragraph" w:styleId="En-tte">
    <w:name w:val="header"/>
    <w:basedOn w:val="Normal"/>
    <w:link w:val="En-tteCar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7A93"/>
  </w:style>
  <w:style w:type="paragraph" w:styleId="Pieddepage">
    <w:name w:val="footer"/>
    <w:basedOn w:val="Normal"/>
    <w:link w:val="PieddepageCar"/>
    <w:uiPriority w:val="99"/>
    <w:rsid w:val="00BC7A9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7A93"/>
  </w:style>
  <w:style w:type="paragraph" w:styleId="TM3">
    <w:name w:val="toc 3"/>
    <w:basedOn w:val="Normal"/>
    <w:next w:val="Normal"/>
    <w:autoRedefine/>
    <w:uiPriority w:val="39"/>
    <w:rsid w:val="00EC345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1459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Curage de rattrapage dans les carcinomes épidermoïdes des VADS en cas de poursuite évolutive ou de récidive ganglionnaire isolée : A propos de 20 cas</vt:lpstr>
    </vt:vector>
  </TitlesOfParts>
  <Company>APHP</Company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Curage de rattrapage dans les carcinomes épidermoïdes des VADS en cas de poursuite évolutive ou de récidive ganglionnaire isolée : A propos de 20 cas</dc:title>
  <dc:creator>C.Desbrosses, C.Halimi, G.Mulier, J.Mullaert</dc:creator>
  <cp:lastModifiedBy>Guillaume Mulier</cp:lastModifiedBy>
  <cp:revision>5</cp:revision>
  <dcterms:created xsi:type="dcterms:W3CDTF">2020-08-07T09:40:00Z</dcterms:created>
  <dcterms:modified xsi:type="dcterms:W3CDTF">2020-12-21T11:24:00Z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07/08/2020</vt:lpwstr>
  </property>
  <property fmtid="{D5CDD505-2E9C-101B-9397-08002B2CF9AE}" pid="3" name="output">
    <vt:lpwstr/>
  </property>
</Properties>
</file>