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85"/>
        <w:gridCol w:w="6126"/>
      </w:tblGrid>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Titre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Rappelle en quelques mots l’objectif principal du cas d’utilisation</w:t>
            </w:r>
            <w:r>
              <w:t>.</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Résumé</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2341C5">
            <w:pPr>
              <w:pStyle w:val="Sansinterligne"/>
              <w:rPr>
                <w:rFonts w:cs="Calibri"/>
              </w:rPr>
            </w:pPr>
            <w:r>
              <w:t>Décrit brièvement le comportement du cas d’utilisation.</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Acteur Principal</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Acteur qui déclenche le CU.</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Acteur Secondaire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Acteurs qui participent au CU.</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Portée</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Définit la portée de conception du CU (étendue spatiale).</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Pré conditions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Ensemble des conditions qui doivent être vérifiées avant le déroulement du CU. Les préconditions, sans mention contraire explicite, des CU parents au CU doivent toujours être vérifiées.</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Niveau</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Niveau de granularité du cas d’utilisation (Stratégique, utilisateur ou sous-fonction).</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Garanties Minimales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Définit ce qui est garantie par le système à l’étude même en cas d’échec du cas d’utilisation</w:t>
            </w:r>
            <w:r>
              <w:t>.</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Garantie en cas de succès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0537A0">
            <w:pPr>
              <w:pStyle w:val="Sansinterligne"/>
              <w:rPr>
                <w:rFonts w:cs="Calibri"/>
              </w:rPr>
            </w:pPr>
            <w:r>
              <w:t>Définit les garanties en cas de succès (par le scénario nominal ou par ses variantes).</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Scénario nominal</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Pr="00AB2DF1" w:rsidRDefault="003515EA" w:rsidP="003515EA">
            <w:pPr>
              <w:pStyle w:val="Sansinterligne"/>
              <w:suppressAutoHyphens/>
              <w:spacing w:line="240" w:lineRule="auto"/>
              <w:jc w:val="both"/>
              <w:rPr>
                <w:rFonts w:cs="Calibri"/>
              </w:rPr>
            </w:pPr>
            <w:r>
              <w:t>C’est un scénario représentatif de l’utilisation du système ou tout se passe bien. Il se termine par la réussite des objectifs. Il est constitué d’une condition déclenchant le scénario, d’un ensemble d’étape, d’une condition de fin, et éventuellement d’extensions ou de variantes. Une étape peut être une interaction entre acteurs, une étape de validation, ou un changement interne</w:t>
            </w:r>
            <w:r>
              <w:t>.</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Variantes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Pr="00D67ED7" w:rsidRDefault="003515EA" w:rsidP="000537A0">
            <w:pPr>
              <w:pStyle w:val="Sansinterligne"/>
              <w:rPr>
                <w:rFonts w:cs="Calibri"/>
              </w:rPr>
            </w:pPr>
            <w:r>
              <w:t>Lorsqu’il y a plusieurs façons de procéder à une même étape sans remise en cause du scénario nominal.</w:t>
            </w:r>
          </w:p>
        </w:tc>
      </w:tr>
      <w:tr w:rsidR="00E80E0C" w:rsidTr="000537A0">
        <w:tc>
          <w:tcPr>
            <w:tcW w:w="3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E80E0C" w:rsidRDefault="00E80E0C" w:rsidP="000537A0">
            <w:pPr>
              <w:pStyle w:val="Sansinterligne"/>
              <w:rPr>
                <w:rFonts w:cs="Calibri"/>
              </w:rPr>
            </w:pPr>
            <w:r>
              <w:rPr>
                <w:rFonts w:cs="Calibri"/>
              </w:rPr>
              <w:t>Extensions</w:t>
            </w:r>
          </w:p>
        </w:tc>
        <w:tc>
          <w:tcPr>
            <w:tcW w:w="6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80E0C" w:rsidRDefault="003515EA" w:rsidP="004D2ED1">
            <w:pPr>
              <w:pStyle w:val="Sansinterligne"/>
              <w:rPr>
                <w:rFonts w:cs="Calibri"/>
              </w:rPr>
            </w:pPr>
            <w:r>
              <w:t xml:space="preserve">Définissent les autres scénarios que le scénario nominal (par exemple ceux qui se terminent par un échec). Ils se déclenchent sur des conditions spécifiques détectées par le </w:t>
            </w:r>
            <w:proofErr w:type="spellStart"/>
            <w:r>
              <w:t>SaE</w:t>
            </w:r>
            <w:proofErr w:type="spellEnd"/>
            <w:r>
              <w:t>.</w:t>
            </w:r>
            <w:bookmarkStart w:id="0" w:name="_GoBack"/>
            <w:bookmarkEnd w:id="0"/>
          </w:p>
        </w:tc>
      </w:tr>
    </w:tbl>
    <w:p w:rsidR="000F4C58" w:rsidRDefault="000F4C58" w:rsidP="00E80E0C"/>
    <w:sectPr w:rsidR="000F4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32C5B"/>
    <w:multiLevelType w:val="hybridMultilevel"/>
    <w:tmpl w:val="45D8D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C329CB"/>
    <w:multiLevelType w:val="hybridMultilevel"/>
    <w:tmpl w:val="34702B52"/>
    <w:lvl w:ilvl="0" w:tplc="040C000F">
      <w:start w:val="1"/>
      <w:numFmt w:val="decimal"/>
      <w:lvlText w:val="%1."/>
      <w:lvlJc w:val="left"/>
      <w:pPr>
        <w:ind w:left="754" w:hanging="360"/>
      </w:pPr>
    </w:lvl>
    <w:lvl w:ilvl="1" w:tplc="040C0019" w:tentative="1">
      <w:start w:val="1"/>
      <w:numFmt w:val="lowerLetter"/>
      <w:lvlText w:val="%2."/>
      <w:lvlJc w:val="left"/>
      <w:pPr>
        <w:ind w:left="1474" w:hanging="360"/>
      </w:pPr>
    </w:lvl>
    <w:lvl w:ilvl="2" w:tplc="040C001B" w:tentative="1">
      <w:start w:val="1"/>
      <w:numFmt w:val="lowerRoman"/>
      <w:lvlText w:val="%3."/>
      <w:lvlJc w:val="right"/>
      <w:pPr>
        <w:ind w:left="2194" w:hanging="180"/>
      </w:pPr>
    </w:lvl>
    <w:lvl w:ilvl="3" w:tplc="040C000F" w:tentative="1">
      <w:start w:val="1"/>
      <w:numFmt w:val="decimal"/>
      <w:lvlText w:val="%4."/>
      <w:lvlJc w:val="left"/>
      <w:pPr>
        <w:ind w:left="2914" w:hanging="360"/>
      </w:pPr>
    </w:lvl>
    <w:lvl w:ilvl="4" w:tplc="040C0019" w:tentative="1">
      <w:start w:val="1"/>
      <w:numFmt w:val="lowerLetter"/>
      <w:lvlText w:val="%5."/>
      <w:lvlJc w:val="left"/>
      <w:pPr>
        <w:ind w:left="3634" w:hanging="360"/>
      </w:pPr>
    </w:lvl>
    <w:lvl w:ilvl="5" w:tplc="040C001B" w:tentative="1">
      <w:start w:val="1"/>
      <w:numFmt w:val="lowerRoman"/>
      <w:lvlText w:val="%6."/>
      <w:lvlJc w:val="right"/>
      <w:pPr>
        <w:ind w:left="4354" w:hanging="180"/>
      </w:pPr>
    </w:lvl>
    <w:lvl w:ilvl="6" w:tplc="040C000F" w:tentative="1">
      <w:start w:val="1"/>
      <w:numFmt w:val="decimal"/>
      <w:lvlText w:val="%7."/>
      <w:lvlJc w:val="left"/>
      <w:pPr>
        <w:ind w:left="5074" w:hanging="360"/>
      </w:pPr>
    </w:lvl>
    <w:lvl w:ilvl="7" w:tplc="040C0019" w:tentative="1">
      <w:start w:val="1"/>
      <w:numFmt w:val="lowerLetter"/>
      <w:lvlText w:val="%8."/>
      <w:lvlJc w:val="left"/>
      <w:pPr>
        <w:ind w:left="5794" w:hanging="360"/>
      </w:pPr>
    </w:lvl>
    <w:lvl w:ilvl="8" w:tplc="040C001B" w:tentative="1">
      <w:start w:val="1"/>
      <w:numFmt w:val="lowerRoman"/>
      <w:lvlText w:val="%9."/>
      <w:lvlJc w:val="right"/>
      <w:pPr>
        <w:ind w:left="6514" w:hanging="180"/>
      </w:pPr>
    </w:lvl>
  </w:abstractNum>
  <w:abstractNum w:abstractNumId="2" w15:restartNumberingAfterBreak="0">
    <w:nsid w:val="42003B7D"/>
    <w:multiLevelType w:val="multilevel"/>
    <w:tmpl w:val="EE7EE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4B449C"/>
    <w:multiLevelType w:val="multilevel"/>
    <w:tmpl w:val="7FA8CC92"/>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pStyle w:val="Titre3"/>
      <w:isLgl/>
      <w:lvlText w:val="%1.%2.%3."/>
      <w:lvlJc w:val="left"/>
      <w:pPr>
        <w:ind w:left="1080" w:hanging="720"/>
      </w:pPr>
      <w:rPr>
        <w:rFonts w:hint="default"/>
      </w:rPr>
    </w:lvl>
    <w:lvl w:ilvl="3">
      <w:start w:val="1"/>
      <w:numFmt w:val="decimal"/>
      <w:pStyle w:val="Titre4"/>
      <w:isLgl/>
      <w:lvlText w:val="%1.%2.%3.%4."/>
      <w:lvlJc w:val="left"/>
      <w:pPr>
        <w:ind w:left="14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51"/>
    <w:rsid w:val="0001602D"/>
    <w:rsid w:val="00067EFF"/>
    <w:rsid w:val="000F4593"/>
    <w:rsid w:val="000F4C58"/>
    <w:rsid w:val="00144575"/>
    <w:rsid w:val="001F1800"/>
    <w:rsid w:val="002341C5"/>
    <w:rsid w:val="00237A14"/>
    <w:rsid w:val="00297BAD"/>
    <w:rsid w:val="002B681E"/>
    <w:rsid w:val="003122C7"/>
    <w:rsid w:val="0034374D"/>
    <w:rsid w:val="003515EA"/>
    <w:rsid w:val="00354AFD"/>
    <w:rsid w:val="003B4F9D"/>
    <w:rsid w:val="003D5BF6"/>
    <w:rsid w:val="00422E0C"/>
    <w:rsid w:val="0043631F"/>
    <w:rsid w:val="00452651"/>
    <w:rsid w:val="00454351"/>
    <w:rsid w:val="0046157E"/>
    <w:rsid w:val="004907D3"/>
    <w:rsid w:val="004B68DD"/>
    <w:rsid w:val="004D2ED1"/>
    <w:rsid w:val="004D384A"/>
    <w:rsid w:val="004D7DC4"/>
    <w:rsid w:val="00535DB0"/>
    <w:rsid w:val="00536789"/>
    <w:rsid w:val="00572593"/>
    <w:rsid w:val="0058275D"/>
    <w:rsid w:val="00586727"/>
    <w:rsid w:val="005D1EF5"/>
    <w:rsid w:val="00637961"/>
    <w:rsid w:val="00673242"/>
    <w:rsid w:val="00680649"/>
    <w:rsid w:val="006A2E00"/>
    <w:rsid w:val="006A70D9"/>
    <w:rsid w:val="007324ED"/>
    <w:rsid w:val="0074299A"/>
    <w:rsid w:val="007E461B"/>
    <w:rsid w:val="007F69E6"/>
    <w:rsid w:val="00832C33"/>
    <w:rsid w:val="008C3F0E"/>
    <w:rsid w:val="008D6657"/>
    <w:rsid w:val="008E3D92"/>
    <w:rsid w:val="00906846"/>
    <w:rsid w:val="009276C7"/>
    <w:rsid w:val="0095454A"/>
    <w:rsid w:val="00967234"/>
    <w:rsid w:val="009F5C85"/>
    <w:rsid w:val="00A0321B"/>
    <w:rsid w:val="00A47BD0"/>
    <w:rsid w:val="00A7352B"/>
    <w:rsid w:val="00A81D36"/>
    <w:rsid w:val="00AA0846"/>
    <w:rsid w:val="00AB2DF1"/>
    <w:rsid w:val="00B07510"/>
    <w:rsid w:val="00B47486"/>
    <w:rsid w:val="00B80B3F"/>
    <w:rsid w:val="00BC3DF5"/>
    <w:rsid w:val="00BD760F"/>
    <w:rsid w:val="00C65422"/>
    <w:rsid w:val="00C656BB"/>
    <w:rsid w:val="00C86311"/>
    <w:rsid w:val="00CA1FDD"/>
    <w:rsid w:val="00CB1115"/>
    <w:rsid w:val="00CD0696"/>
    <w:rsid w:val="00D03F87"/>
    <w:rsid w:val="00D148C2"/>
    <w:rsid w:val="00D24BCE"/>
    <w:rsid w:val="00D4630D"/>
    <w:rsid w:val="00D65A77"/>
    <w:rsid w:val="00D67ED7"/>
    <w:rsid w:val="00D765CE"/>
    <w:rsid w:val="00DA1EBB"/>
    <w:rsid w:val="00DA68BC"/>
    <w:rsid w:val="00DB6BAA"/>
    <w:rsid w:val="00DD2D89"/>
    <w:rsid w:val="00DD3F7D"/>
    <w:rsid w:val="00E80E0C"/>
    <w:rsid w:val="00E8562A"/>
    <w:rsid w:val="00ED3BD4"/>
    <w:rsid w:val="00F0682E"/>
    <w:rsid w:val="00F1176A"/>
    <w:rsid w:val="00F30D33"/>
    <w:rsid w:val="00F710F2"/>
    <w:rsid w:val="00F973F3"/>
    <w:rsid w:val="00FC27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649C"/>
  <w15:docId w15:val="{5000BE10-122B-41DC-873A-74B01766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E0C"/>
    <w:pPr>
      <w:suppressAutoHyphens/>
      <w:spacing w:before="200"/>
    </w:pPr>
    <w:rPr>
      <w:rFonts w:ascii="Calibri" w:eastAsia="Droid Sans Fallback" w:hAnsi="Calibri" w:cs="Times New Roman"/>
      <w:szCs w:val="20"/>
    </w:rPr>
  </w:style>
  <w:style w:type="paragraph" w:styleId="Titre1">
    <w:name w:val="heading 1"/>
    <w:basedOn w:val="Normal"/>
    <w:next w:val="Normal"/>
    <w:link w:val="Titre1Car"/>
    <w:autoRedefine/>
    <w:uiPriority w:val="9"/>
    <w:qFormat/>
    <w:rsid w:val="00BD760F"/>
    <w:pPr>
      <w:keepNext/>
      <w:keepLines/>
      <w:spacing w:before="480" w:after="0"/>
      <w:outlineLvl w:val="0"/>
    </w:pPr>
    <w:rPr>
      <w:rFonts w:eastAsiaTheme="majorEastAsia" w:cstheme="majorBidi"/>
      <w:b/>
      <w:bCs/>
      <w:color w:val="0F243E" w:themeColor="text2" w:themeShade="80"/>
      <w:sz w:val="32"/>
      <w:szCs w:val="28"/>
      <w:u w:val="single"/>
    </w:rPr>
  </w:style>
  <w:style w:type="paragraph" w:styleId="Titre2">
    <w:name w:val="heading 2"/>
    <w:basedOn w:val="Normal"/>
    <w:next w:val="Normal"/>
    <w:link w:val="Titre2Car"/>
    <w:autoRedefine/>
    <w:uiPriority w:val="9"/>
    <w:unhideWhenUsed/>
    <w:qFormat/>
    <w:rsid w:val="00BD760F"/>
    <w:pPr>
      <w:keepNext/>
      <w:keepLines/>
      <w:spacing w:after="0"/>
      <w:outlineLvl w:val="1"/>
    </w:pPr>
    <w:rPr>
      <w:rFonts w:eastAsiaTheme="majorEastAsia" w:cstheme="majorBidi"/>
      <w:b/>
      <w:bCs/>
      <w:color w:val="17365D" w:themeColor="text2" w:themeShade="BF"/>
      <w:sz w:val="28"/>
      <w:szCs w:val="26"/>
      <w:u w:val="single"/>
    </w:rPr>
  </w:style>
  <w:style w:type="paragraph" w:styleId="Titre3">
    <w:name w:val="heading 3"/>
    <w:basedOn w:val="Normal"/>
    <w:next w:val="Normal"/>
    <w:link w:val="Titre3Car"/>
    <w:autoRedefine/>
    <w:uiPriority w:val="9"/>
    <w:unhideWhenUsed/>
    <w:qFormat/>
    <w:rsid w:val="00BD760F"/>
    <w:pPr>
      <w:keepNext/>
      <w:keepLines/>
      <w:numPr>
        <w:ilvl w:val="2"/>
        <w:numId w:val="2"/>
      </w:numPr>
      <w:spacing w:after="0"/>
      <w:ind w:right="567"/>
      <w:outlineLvl w:val="2"/>
    </w:pPr>
    <w:rPr>
      <w:rFonts w:eastAsiaTheme="majorEastAsia" w:cstheme="majorBidi"/>
      <w:bCs/>
      <w:color w:val="548DD4" w:themeColor="text2" w:themeTint="99"/>
      <w:sz w:val="24"/>
      <w:szCs w:val="24"/>
      <w:u w:val="single"/>
    </w:rPr>
  </w:style>
  <w:style w:type="paragraph" w:styleId="Titre4">
    <w:name w:val="heading 4"/>
    <w:basedOn w:val="Normal"/>
    <w:next w:val="Normal"/>
    <w:link w:val="Titre4Car"/>
    <w:autoRedefine/>
    <w:uiPriority w:val="9"/>
    <w:unhideWhenUsed/>
    <w:qFormat/>
    <w:rsid w:val="00BD760F"/>
    <w:pPr>
      <w:keepNext/>
      <w:keepLines/>
      <w:numPr>
        <w:ilvl w:val="3"/>
        <w:numId w:val="1"/>
      </w:numPr>
      <w:spacing w:after="0"/>
      <w:jc w:val="both"/>
      <w:outlineLvl w:val="3"/>
    </w:pPr>
    <w:rPr>
      <w:rFonts w:eastAsiaTheme="majorEastAsia" w:cstheme="majorBidi"/>
      <w:b/>
      <w:bCs/>
      <w:iCs/>
      <w:color w:val="8DB3E2" w:themeColor="text2" w:themeTint="66"/>
      <w:sz w:val="24"/>
    </w:rPr>
  </w:style>
  <w:style w:type="paragraph" w:styleId="Titre5">
    <w:name w:val="heading 5"/>
    <w:basedOn w:val="Normal"/>
    <w:next w:val="Normal"/>
    <w:link w:val="Titre5Car"/>
    <w:autoRedefine/>
    <w:uiPriority w:val="9"/>
    <w:unhideWhenUsed/>
    <w:qFormat/>
    <w:rsid w:val="00BD760F"/>
    <w:pPr>
      <w:keepNext/>
      <w:keepLines/>
      <w:spacing w:after="0"/>
      <w:outlineLvl w:val="4"/>
    </w:pPr>
    <w:rPr>
      <w:rFonts w:eastAsiaTheme="majorEastAsia" w:cstheme="majorBidi"/>
      <w:color w:val="8DB3E2" w:themeColor="text2" w:themeTint="66"/>
      <w:sz w:val="24"/>
      <w:u w:val="single"/>
    </w:rPr>
  </w:style>
  <w:style w:type="paragraph" w:styleId="Titre6">
    <w:name w:val="heading 6"/>
    <w:basedOn w:val="Normal"/>
    <w:next w:val="Normal"/>
    <w:link w:val="Titre6Car"/>
    <w:uiPriority w:val="9"/>
    <w:unhideWhenUsed/>
    <w:qFormat/>
    <w:rsid w:val="00BD760F"/>
    <w:pPr>
      <w:keepNext/>
      <w:keepLines/>
      <w:spacing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760F"/>
    <w:rPr>
      <w:rFonts w:eastAsiaTheme="majorEastAsia" w:cstheme="majorBidi"/>
      <w:b/>
      <w:bCs/>
      <w:color w:val="0F243E" w:themeColor="text2" w:themeShade="80"/>
      <w:sz w:val="32"/>
      <w:szCs w:val="28"/>
      <w:u w:val="single"/>
    </w:rPr>
  </w:style>
  <w:style w:type="character" w:customStyle="1" w:styleId="Titre2Car">
    <w:name w:val="Titre 2 Car"/>
    <w:basedOn w:val="Policepardfaut"/>
    <w:link w:val="Titre2"/>
    <w:uiPriority w:val="9"/>
    <w:rsid w:val="00BD760F"/>
    <w:rPr>
      <w:rFonts w:eastAsiaTheme="majorEastAsia" w:cstheme="majorBidi"/>
      <w:b/>
      <w:bCs/>
      <w:color w:val="17365D" w:themeColor="text2" w:themeShade="BF"/>
      <w:sz w:val="28"/>
      <w:szCs w:val="26"/>
      <w:u w:val="single"/>
    </w:rPr>
  </w:style>
  <w:style w:type="character" w:styleId="Emphaseintense">
    <w:name w:val="Intense Emphasis"/>
    <w:aliases w:val="Titi 3"/>
    <w:uiPriority w:val="21"/>
    <w:rsid w:val="004B68DD"/>
    <w:rPr>
      <w:rFonts w:asciiTheme="minorHAnsi" w:hAnsiTheme="minorHAnsi"/>
      <w:b w:val="0"/>
      <w:bCs/>
      <w:i w:val="0"/>
      <w:iCs/>
      <w:color w:val="8DB3E2" w:themeColor="text2" w:themeTint="66"/>
      <w:sz w:val="24"/>
      <w:u w:val="single"/>
    </w:rPr>
  </w:style>
  <w:style w:type="character" w:customStyle="1" w:styleId="Titre3Car">
    <w:name w:val="Titre 3 Car"/>
    <w:basedOn w:val="Policepardfaut"/>
    <w:link w:val="Titre3"/>
    <w:uiPriority w:val="9"/>
    <w:rsid w:val="00BD760F"/>
    <w:rPr>
      <w:rFonts w:eastAsiaTheme="majorEastAsia" w:cstheme="majorBidi"/>
      <w:bCs/>
      <w:color w:val="548DD4" w:themeColor="text2" w:themeTint="99"/>
      <w:sz w:val="24"/>
      <w:szCs w:val="24"/>
      <w:u w:val="single"/>
    </w:rPr>
  </w:style>
  <w:style w:type="character" w:customStyle="1" w:styleId="Titre4Car">
    <w:name w:val="Titre 4 Car"/>
    <w:basedOn w:val="Policepardfaut"/>
    <w:link w:val="Titre4"/>
    <w:uiPriority w:val="9"/>
    <w:rsid w:val="00BD760F"/>
    <w:rPr>
      <w:rFonts w:eastAsiaTheme="majorEastAsia" w:cstheme="majorBidi"/>
      <w:b/>
      <w:bCs/>
      <w:iCs/>
      <w:color w:val="8DB3E2" w:themeColor="text2" w:themeTint="66"/>
      <w:sz w:val="24"/>
    </w:rPr>
  </w:style>
  <w:style w:type="paragraph" w:styleId="Sous-titre">
    <w:name w:val="Subtitle"/>
    <w:basedOn w:val="Normal"/>
    <w:next w:val="Normal"/>
    <w:link w:val="Sous-titreCar"/>
    <w:uiPriority w:val="11"/>
    <w:qFormat/>
    <w:rsid w:val="00BD76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D760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BD760F"/>
    <w:pPr>
      <w:ind w:left="720"/>
      <w:contextualSpacing/>
    </w:pPr>
  </w:style>
  <w:style w:type="paragraph" w:styleId="En-ttedetabledesmatires">
    <w:name w:val="TOC Heading"/>
    <w:basedOn w:val="Titre1"/>
    <w:next w:val="Normal"/>
    <w:uiPriority w:val="39"/>
    <w:unhideWhenUsed/>
    <w:qFormat/>
    <w:rsid w:val="00BD760F"/>
    <w:pPr>
      <w:outlineLvl w:val="9"/>
    </w:pPr>
    <w:rPr>
      <w:lang w:eastAsia="fr-FR"/>
    </w:rPr>
  </w:style>
  <w:style w:type="character" w:customStyle="1" w:styleId="Titre5Car">
    <w:name w:val="Titre 5 Car"/>
    <w:basedOn w:val="Policepardfaut"/>
    <w:link w:val="Titre5"/>
    <w:uiPriority w:val="9"/>
    <w:rsid w:val="00BD760F"/>
    <w:rPr>
      <w:rFonts w:eastAsiaTheme="majorEastAsia" w:cstheme="majorBidi"/>
      <w:color w:val="8DB3E2" w:themeColor="text2" w:themeTint="66"/>
      <w:sz w:val="24"/>
      <w:u w:val="single"/>
    </w:rPr>
  </w:style>
  <w:style w:type="character" w:customStyle="1" w:styleId="Titre6Car">
    <w:name w:val="Titre 6 Car"/>
    <w:basedOn w:val="Policepardfaut"/>
    <w:link w:val="Titre6"/>
    <w:uiPriority w:val="9"/>
    <w:rsid w:val="00BD760F"/>
    <w:rPr>
      <w:rFonts w:asciiTheme="majorHAnsi" w:eastAsiaTheme="majorEastAsia" w:hAnsiTheme="majorHAnsi" w:cstheme="majorBidi"/>
      <w:i/>
      <w:iCs/>
      <w:color w:val="243F60" w:themeColor="accent1" w:themeShade="7F"/>
    </w:rPr>
  </w:style>
  <w:style w:type="paragraph" w:styleId="Lgende">
    <w:name w:val="caption"/>
    <w:basedOn w:val="Normal"/>
    <w:next w:val="Normal"/>
    <w:uiPriority w:val="35"/>
    <w:unhideWhenUsed/>
    <w:qFormat/>
    <w:rsid w:val="00BD760F"/>
    <w:pPr>
      <w:spacing w:line="240" w:lineRule="auto"/>
    </w:pPr>
    <w:rPr>
      <w:b/>
      <w:bCs/>
      <w:color w:val="4F81BD" w:themeColor="accent1"/>
      <w:sz w:val="18"/>
      <w:szCs w:val="18"/>
    </w:rPr>
  </w:style>
  <w:style w:type="paragraph" w:styleId="Sansinterligne">
    <w:name w:val="No Spacing"/>
    <w:link w:val="SansinterligneCar"/>
    <w:uiPriority w:val="1"/>
    <w:qFormat/>
    <w:rsid w:val="00BD760F"/>
    <w:pPr>
      <w:spacing w:after="0"/>
    </w:pPr>
  </w:style>
  <w:style w:type="table" w:styleId="Grilledutableau">
    <w:name w:val="Table Grid"/>
    <w:basedOn w:val="TableauNormal"/>
    <w:uiPriority w:val="59"/>
    <w:rsid w:val="00C6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5422"/>
    <w:rPr>
      <w:color w:val="0000FF" w:themeColor="hyperlink"/>
      <w:u w:val="single"/>
    </w:rPr>
  </w:style>
  <w:style w:type="character" w:customStyle="1" w:styleId="SansinterligneCar">
    <w:name w:val="Sans interligne Car"/>
    <w:basedOn w:val="Policepardfaut"/>
    <w:link w:val="Sansinterligne"/>
    <w:uiPriority w:val="1"/>
    <w:rsid w:val="00E80E0C"/>
  </w:style>
  <w:style w:type="character" w:styleId="Marquedecommentaire">
    <w:name w:val="annotation reference"/>
    <w:basedOn w:val="Policepardfaut"/>
    <w:uiPriority w:val="99"/>
    <w:semiHidden/>
    <w:unhideWhenUsed/>
    <w:rsid w:val="00D4630D"/>
    <w:rPr>
      <w:sz w:val="16"/>
      <w:szCs w:val="16"/>
    </w:rPr>
  </w:style>
  <w:style w:type="paragraph" w:styleId="Commentaire">
    <w:name w:val="annotation text"/>
    <w:basedOn w:val="Normal"/>
    <w:link w:val="CommentaireCar"/>
    <w:uiPriority w:val="99"/>
    <w:semiHidden/>
    <w:unhideWhenUsed/>
    <w:rsid w:val="00D4630D"/>
    <w:pPr>
      <w:spacing w:line="240" w:lineRule="auto"/>
    </w:pPr>
    <w:rPr>
      <w:sz w:val="20"/>
    </w:rPr>
  </w:style>
  <w:style w:type="character" w:customStyle="1" w:styleId="CommentaireCar">
    <w:name w:val="Commentaire Car"/>
    <w:basedOn w:val="Policepardfaut"/>
    <w:link w:val="Commentaire"/>
    <w:uiPriority w:val="99"/>
    <w:semiHidden/>
    <w:rsid w:val="00D4630D"/>
    <w:rPr>
      <w:rFonts w:ascii="Calibri" w:eastAsia="Droid Sans Fallback"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D4630D"/>
    <w:rPr>
      <w:b/>
      <w:bCs/>
    </w:rPr>
  </w:style>
  <w:style w:type="character" w:customStyle="1" w:styleId="ObjetducommentaireCar">
    <w:name w:val="Objet du commentaire Car"/>
    <w:basedOn w:val="CommentaireCar"/>
    <w:link w:val="Objetducommentaire"/>
    <w:uiPriority w:val="99"/>
    <w:semiHidden/>
    <w:rsid w:val="00D4630D"/>
    <w:rPr>
      <w:rFonts w:ascii="Calibri" w:eastAsia="Droid Sans Fallback" w:hAnsi="Calibri" w:cs="Times New Roman"/>
      <w:b/>
      <w:bCs/>
      <w:sz w:val="20"/>
      <w:szCs w:val="20"/>
    </w:rPr>
  </w:style>
  <w:style w:type="paragraph" w:styleId="Textedebulles">
    <w:name w:val="Balloon Text"/>
    <w:basedOn w:val="Normal"/>
    <w:link w:val="TextedebullesCar"/>
    <w:uiPriority w:val="99"/>
    <w:semiHidden/>
    <w:unhideWhenUsed/>
    <w:rsid w:val="00D4630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630D"/>
    <w:rPr>
      <w:rFonts w:ascii="Tahoma" w:eastAsia="Droid Sans Fallback"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VALLOIS</dc:creator>
  <cp:lastModifiedBy>LADRANGE Benoit</cp:lastModifiedBy>
  <cp:revision>52</cp:revision>
  <dcterms:created xsi:type="dcterms:W3CDTF">2016-03-22T15:06:00Z</dcterms:created>
  <dcterms:modified xsi:type="dcterms:W3CDTF">2017-10-13T13:26:00Z</dcterms:modified>
</cp:coreProperties>
</file>