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12859"/>
          <w:sz w:val="52"/>
        </w:rPr>
        <w:t>Money Duo</w:t>
      </w:r>
    </w:p>
    <w:p>
      <w:pPr>
        <w:jc w:val="center"/>
      </w:pPr>
      <w:r>
        <w:rPr>
          <w:b/>
          <w:color w:val="27417D"/>
          <w:sz w:val="30"/>
        </w:rPr>
        <w:t>Product Spec V4 — version exécutable</w:t>
      </w:r>
    </w:p>
    <w:p>
      <w:pPr>
        <w:jc w:val="center"/>
      </w:pPr>
      <w:r>
        <w:rPr>
          <w:i/>
          <w:color w:val="646464"/>
          <w:sz w:val="22"/>
        </w:rPr>
        <w:t>Spécification produit, roadmap, règles métier, backlog et critères d’acceptation</w:t>
      </w:r>
    </w:p>
    <w:tbl>
      <w:tblPr>
        <w:tblStyle w:val="TableGrid"/>
        <w:tblW w:type="auto" w:w="0"/>
        <w:jc w:val="center"/>
        <w:tblLook w:firstColumn="1" w:firstRow="1" w:lastColumn="0" w:lastRow="0" w:noHBand="0" w:noVBand="1" w:val="04A0"/>
      </w:tblPr>
      <w:tblGrid>
        <w:gridCol w:w="4986"/>
        <w:gridCol w:w="4986"/>
      </w:tblGrid>
      <w:tr>
        <w:tc>
          <w:tcPr>
            <w:tcW w:type="dxa" w:w="4986"/>
            <w:tcMar>
              <w:top w:w="130" w:type="dxa"/>
              <w:start w:w="130" w:type="dxa"/>
              <w:bottom w:w="130" w:type="dxa"/>
              <w:end w:w="130" w:type="dxa"/>
            </w:tcMar>
            <w:shd w:fill="EAF0FF"/>
          </w:tcPr>
          <w:p>
            <w:pPr>
              <w:jc w:val="center"/>
            </w:pPr>
            <w:r>
              <w:rPr>
                <w:b/>
              </w:rPr>
              <w:t>Produit</w:t>
            </w:r>
          </w:p>
        </w:tc>
        <w:tc>
          <w:tcPr>
            <w:tcW w:type="dxa" w:w="4986"/>
            <w:tcMar>
              <w:top w:w="130" w:type="dxa"/>
              <w:start w:w="130" w:type="dxa"/>
              <w:bottom w:w="130" w:type="dxa"/>
              <w:end w:w="130" w:type="dxa"/>
            </w:tcMar>
          </w:tcPr>
          <w:p>
            <w:r>
              <w:t>Cockpit financier du couple puis du foyer</w:t>
            </w:r>
          </w:p>
        </w:tc>
      </w:tr>
      <w:tr>
        <w:tc>
          <w:tcPr>
            <w:tcW w:type="dxa" w:w="4986"/>
            <w:tcMar>
              <w:top w:w="130" w:type="dxa"/>
              <w:start w:w="130" w:type="dxa"/>
              <w:bottom w:w="130" w:type="dxa"/>
              <w:end w:w="130" w:type="dxa"/>
            </w:tcMar>
            <w:shd w:fill="EAF0FF"/>
          </w:tcPr>
          <w:p>
            <w:pPr>
              <w:jc w:val="center"/>
            </w:pPr>
            <w:r>
              <w:rPr>
                <w:b/>
              </w:rPr>
              <w:t>Objectif V4</w:t>
            </w:r>
          </w:p>
        </w:tc>
        <w:tc>
          <w:tcPr>
            <w:tcW w:type="dxa" w:w="4986"/>
            <w:tcMar>
              <w:top w:w="130" w:type="dxa"/>
              <w:start w:w="130" w:type="dxa"/>
              <w:bottom w:w="130" w:type="dxa"/>
              <w:end w:w="130" w:type="dxa"/>
            </w:tcMar>
          </w:tcPr>
          <w:p>
            <w:r>
              <w:t>Passer d’une spec “très bonne” à une base de build sans ambiguïté</w:t>
            </w:r>
          </w:p>
        </w:tc>
      </w:tr>
      <w:tr>
        <w:tc>
          <w:tcPr>
            <w:tcW w:type="dxa" w:w="4986"/>
            <w:tcMar>
              <w:top w:w="130" w:type="dxa"/>
              <w:start w:w="130" w:type="dxa"/>
              <w:bottom w:w="130" w:type="dxa"/>
              <w:end w:w="130" w:type="dxa"/>
            </w:tcMar>
            <w:shd w:fill="EAF0FF"/>
          </w:tcPr>
          <w:p>
            <w:pPr>
              <w:jc w:val="center"/>
            </w:pPr>
            <w:r>
              <w:rPr>
                <w:b/>
              </w:rPr>
              <w:t>Stack cible</w:t>
            </w:r>
          </w:p>
        </w:tc>
        <w:tc>
          <w:tcPr>
            <w:tcW w:type="dxa" w:w="4986"/>
            <w:tcMar>
              <w:top w:w="130" w:type="dxa"/>
              <w:start w:w="130" w:type="dxa"/>
              <w:bottom w:w="130" w:type="dxa"/>
              <w:end w:w="130" w:type="dxa"/>
            </w:tcMar>
          </w:tcPr>
          <w:p>
            <w:r>
              <w:t>React Native (Expo) + Supabase + IA légère en lecture seule</w:t>
            </w:r>
          </w:p>
        </w:tc>
      </w:tr>
      <w:tr>
        <w:tc>
          <w:tcPr>
            <w:tcW w:type="dxa" w:w="4986"/>
            <w:tcMar>
              <w:top w:w="130" w:type="dxa"/>
              <w:start w:w="130" w:type="dxa"/>
              <w:bottom w:w="130" w:type="dxa"/>
              <w:end w:w="130" w:type="dxa"/>
            </w:tcMar>
            <w:shd w:fill="EAF0FF"/>
          </w:tcPr>
          <w:p>
            <w:pPr>
              <w:jc w:val="center"/>
            </w:pPr>
            <w:r>
              <w:rPr>
                <w:b/>
              </w:rPr>
              <w:t>Décision clé</w:t>
            </w:r>
          </w:p>
        </w:tc>
        <w:tc>
          <w:tcPr>
            <w:tcW w:type="dxa" w:w="4986"/>
            <w:tcMar>
              <w:top w:w="130" w:type="dxa"/>
              <w:start w:w="130" w:type="dxa"/>
              <w:bottom w:w="130" w:type="dxa"/>
              <w:end w:w="130" w:type="dxa"/>
            </w:tcMar>
          </w:tcPr>
          <w:p>
            <w:r>
              <w:t>Séparer MVP strict, MVP ambitieux, V2 et V3</w:t>
            </w:r>
          </w:p>
        </w:tc>
      </w:tr>
    </w:tbl>
    <w:p>
      <w:r>
        <w:br w:type="page"/>
      </w:r>
    </w:p>
    <w:p>
      <w:pPr>
        <w:pStyle w:val="Heading1"/>
        <w:spacing w:after="120"/>
      </w:pPr>
      <w:r>
        <w:rPr>
          <w:b w:val="0"/>
        </w:rPr>
        <w:t>1. Résumé exécutif</w:t>
      </w:r>
    </w:p>
    <w:p>
      <w:pPr>
        <w:spacing w:after="80"/>
      </w:pPr>
      <w:r>
        <w:rPr>
          <w:b w:val="0"/>
        </w:rPr>
        <w:t>Money Duo n’est pas une app de budget générique. C’est un cockpit financier du couple pensé pour rendre l’argent à deux lisible, répartissable et moins conflictuel. La V4 tranche le scope : le premier build doit résoudre quatre promesses de façon excellente — ajouter une dépense rapidement, voir qui doit quoi, comprendre le mois en 10 secondes, et piloter au moins un objectif commun.</w:t>
      </w:r>
    </w:p>
    <w:p>
      <w:pPr>
        <w:spacing w:after="40"/>
        <w:ind w:left="283"/>
      </w:pPr>
      <w:r>
        <w:rPr>
          <w:sz w:val="21"/>
        </w:rPr>
        <w:t>• Différenciation principale : réduire la charge mentale financière et faciliter les discussions d’argent.</w:t>
      </w:r>
    </w:p>
    <w:p>
      <w:pPr>
        <w:spacing w:after="40"/>
        <w:ind w:left="283"/>
      </w:pPr>
      <w:r>
        <w:rPr>
          <w:sz w:val="21"/>
        </w:rPr>
        <w:t>• Public de départ : couple actif puis jeunes parents avec dépenses maison/enfants/projets.</w:t>
      </w:r>
    </w:p>
    <w:p>
      <w:pPr>
        <w:spacing w:after="40"/>
        <w:ind w:left="283"/>
      </w:pPr>
      <w:r>
        <w:rPr>
          <w:sz w:val="21"/>
        </w:rPr>
        <w:t>• Positionnement : beau, simple, mobile-first, non culpabilisant, plus “foyer” que “banque”.</w:t>
      </w:r>
    </w:p>
    <w:p>
      <w:pPr>
        <w:spacing w:after="40"/>
        <w:ind w:left="283"/>
      </w:pPr>
      <w:r>
        <w:rPr>
          <w:sz w:val="21"/>
        </w:rPr>
        <w:t>• Décision V4 : lancer un MVP strict utilisable en 4 à 6 semaines, puis élargir sans dette produit.</w:t>
      </w:r>
    </w:p>
    <w:p>
      <w:pPr>
        <w:pStyle w:val="Heading1"/>
        <w:spacing w:after="120"/>
      </w:pPr>
      <w:r>
        <w:rPr>
          <w:b w:val="0"/>
        </w:rPr>
        <w:t>2. Vision, mission et principes produit</w:t>
      </w:r>
    </w:p>
    <w:p>
      <w:pPr>
        <w:pStyle w:val="Heading2"/>
        <w:spacing w:after="80"/>
      </w:pPr>
      <w:r>
        <w:rPr>
          <w:b w:val="0"/>
        </w:rPr>
        <w:t>Vision</w:t>
      </w:r>
    </w:p>
    <w:p>
      <w:pPr>
        <w:spacing w:after="80"/>
      </w:pPr>
      <w:r>
        <w:rPr>
          <w:b w:val="0"/>
        </w:rPr>
        <w:t>Devenir le cockpit financier du couple puis du foyer : un espace unique pour comprendre l’argent du quotidien, répartir selon la vraie vie, et faire avancer les projets communs.</w:t>
      </w:r>
    </w:p>
    <w:p>
      <w:pPr>
        <w:pStyle w:val="Heading2"/>
        <w:spacing w:after="80"/>
      </w:pPr>
      <w:r>
        <w:rPr>
          <w:b w:val="0"/>
        </w:rPr>
        <w:t>Mission</w:t>
      </w:r>
    </w:p>
    <w:p>
      <w:pPr>
        <w:spacing w:after="80"/>
      </w:pPr>
      <w:r>
        <w:rPr>
          <w:b w:val="0"/>
        </w:rPr>
        <w:t>Rendre la gestion de l’argent à deux claire, fluide et sereine, sans tomber ni dans la lourdeur d’un outil comptable ni dans la froideur d’une app bancaire.</w:t>
      </w:r>
    </w:p>
    <w:p>
      <w:pPr>
        <w:pStyle w:val="Heading2"/>
        <w:spacing w:after="80"/>
      </w:pPr>
      <w:r>
        <w:rPr>
          <w:b w:val="0"/>
        </w:rPr>
        <w:t>Promesse produit</w:t>
      </w:r>
    </w:p>
    <w:p>
      <w:pPr>
        <w:spacing w:after="40"/>
        <w:ind w:left="283"/>
      </w:pPr>
      <w:r>
        <w:rPr>
          <w:sz w:val="21"/>
        </w:rPr>
        <w:t>• Voir clair sur le foyer en 10 secondes.</w:t>
      </w:r>
    </w:p>
    <w:p>
      <w:pPr>
        <w:spacing w:after="40"/>
        <w:ind w:left="283"/>
      </w:pPr>
      <w:r>
        <w:rPr>
          <w:sz w:val="21"/>
        </w:rPr>
        <w:t>• Saisir une dépense en moins de 15 secondes.</w:t>
      </w:r>
    </w:p>
    <w:p>
      <w:pPr>
        <w:spacing w:after="40"/>
        <w:ind w:left="283"/>
      </w:pPr>
      <w:r>
        <w:rPr>
          <w:sz w:val="21"/>
        </w:rPr>
        <w:t>• Répartir selon ses propres règles, pas selon un 50/50 imposé.</w:t>
      </w:r>
    </w:p>
    <w:p>
      <w:pPr>
        <w:spacing w:after="40"/>
        <w:ind w:left="283"/>
      </w:pPr>
      <w:r>
        <w:rPr>
          <w:sz w:val="21"/>
        </w:rPr>
        <w:t>• Anticiper les mois à risque et les projets, pas seulement relire le passé.</w:t>
      </w:r>
    </w:p>
    <w:p>
      <w:pPr>
        <w:spacing w:after="40"/>
        <w:ind w:left="283"/>
      </w:pPr>
      <w:r>
        <w:rPr>
          <w:sz w:val="21"/>
        </w:rPr>
        <w:t>• Créer une base neutre pour parler d’argent sans tension inutile.</w:t>
      </w:r>
    </w:p>
    <w:p>
      <w:pPr>
        <w:pStyle w:val="Heading2"/>
        <w:spacing w:after="80"/>
      </w:pPr>
      <w:r>
        <w:rPr>
          <w:b w:val="0"/>
        </w:rPr>
        <w:t>Principes directeurs</w:t>
      </w:r>
    </w:p>
    <w:p>
      <w:pPr>
        <w:spacing w:after="40"/>
        <w:ind w:left="283"/>
      </w:pPr>
      <w:r>
        <w:rPr>
          <w:sz w:val="21"/>
        </w:rPr>
        <w:t>• Une action principale par écran.</w:t>
      </w:r>
    </w:p>
    <w:p>
      <w:pPr>
        <w:spacing w:after="40"/>
        <w:ind w:left="283"/>
      </w:pPr>
      <w:r>
        <w:rPr>
          <w:sz w:val="21"/>
        </w:rPr>
        <w:t>• Pas de jugement, pas de score culpabilisant, pas de ton anxiogène.</w:t>
      </w:r>
    </w:p>
    <w:p>
      <w:pPr>
        <w:spacing w:after="40"/>
        <w:ind w:left="283"/>
      </w:pPr>
      <w:r>
        <w:rPr>
          <w:sz w:val="21"/>
        </w:rPr>
        <w:t>• Les chiffres importants doivent être visibles avant les graphiques.</w:t>
      </w:r>
    </w:p>
    <w:p>
      <w:pPr>
        <w:spacing w:after="40"/>
        <w:ind w:left="283"/>
      </w:pPr>
      <w:r>
        <w:rPr>
          <w:sz w:val="21"/>
        </w:rPr>
        <w:t>• La saisie doit être plus rapide que l’ouverture d’une note ou d’Excel.</w:t>
      </w:r>
    </w:p>
    <w:p>
      <w:pPr>
        <w:spacing w:after="40"/>
        <w:ind w:left="283"/>
      </w:pPr>
      <w:r>
        <w:rPr>
          <w:sz w:val="21"/>
        </w:rPr>
        <w:t>• La synchronisation bancaire n’est pas requise pour délivrer de la valeur.</w:t>
      </w:r>
    </w:p>
    <w:p>
      <w:pPr>
        <w:spacing w:after="40"/>
        <w:ind w:left="283"/>
      </w:pPr>
      <w:r>
        <w:rPr>
          <w:sz w:val="21"/>
        </w:rPr>
        <w:t>• L’IA reste assistive, jamais décisionnaire.</w:t>
      </w:r>
    </w:p>
    <w:p>
      <w:pPr>
        <w:pStyle w:val="Heading1"/>
        <w:spacing w:after="120"/>
      </w:pPr>
      <w:r>
        <w:rPr>
          <w:b w:val="0"/>
        </w:rPr>
        <w:t>3. Problèmes à résoudre</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EAF0FF"/>
            <w:tcMar>
              <w:top w:w="100" w:type="dxa"/>
              <w:start w:w="120" w:type="dxa"/>
              <w:bottom w:w="100" w:type="dxa"/>
              <w:end w:w="120" w:type="dxa"/>
            </w:tcMar>
            <w:vAlign w:val="center"/>
          </w:tcPr>
          <w:p>
            <w:pPr>
              <w:jc w:val="center"/>
            </w:pPr>
            <w:r>
              <w:rPr>
                <w:b/>
                <w:sz w:val="20"/>
              </w:rPr>
              <w:t>Problème</w:t>
            </w:r>
          </w:p>
        </w:tc>
        <w:tc>
          <w:tcPr>
            <w:tcW w:type="dxa" w:w="2721"/>
            <w:shd w:fill="EAF0FF"/>
            <w:tcMar>
              <w:top w:w="100" w:type="dxa"/>
              <w:start w:w="120" w:type="dxa"/>
              <w:bottom w:w="100" w:type="dxa"/>
              <w:end w:w="120" w:type="dxa"/>
            </w:tcMar>
            <w:vAlign w:val="center"/>
          </w:tcPr>
          <w:p>
            <w:pPr>
              <w:jc w:val="center"/>
            </w:pPr>
            <w:r>
              <w:rPr>
                <w:b/>
                <w:sz w:val="20"/>
              </w:rPr>
              <w:t>Conséquence</w:t>
            </w:r>
          </w:p>
        </w:tc>
        <w:tc>
          <w:tcPr>
            <w:tcW w:type="dxa" w:w="3402"/>
            <w:shd w:fill="EAF0FF"/>
            <w:tcMar>
              <w:top w:w="100" w:type="dxa"/>
              <w:start w:w="120" w:type="dxa"/>
              <w:bottom w:w="100" w:type="dxa"/>
              <w:end w:w="120" w:type="dxa"/>
            </w:tcMar>
            <w:vAlign w:val="center"/>
          </w:tcPr>
          <w:p>
            <w:pPr>
              <w:jc w:val="center"/>
            </w:pPr>
            <w:r>
              <w:rPr>
                <w:b/>
                <w:sz w:val="20"/>
              </w:rPr>
              <w:t>Réponse produit</w:t>
            </w:r>
          </w:p>
        </w:tc>
      </w:tr>
      <w:tr>
        <w:tc>
          <w:tcPr>
            <w:tcW w:type="dxa" w:w="2381"/>
            <w:tcMar>
              <w:top w:w="80" w:type="dxa"/>
              <w:start w:w="110" w:type="dxa"/>
              <w:bottom w:w="80" w:type="dxa"/>
              <w:end w:w="110" w:type="dxa"/>
            </w:tcMar>
            <w:vAlign w:val="center"/>
          </w:tcPr>
          <w:p>
            <w:pPr>
              <w:jc w:val="left"/>
            </w:pPr>
            <w:r>
              <w:rPr>
                <w:sz w:val="19"/>
              </w:rPr>
              <w:t>Qui a payé quoi n’est pas clair</w:t>
            </w:r>
          </w:p>
        </w:tc>
        <w:tc>
          <w:tcPr>
            <w:tcW w:type="dxa" w:w="2721"/>
            <w:tcMar>
              <w:top w:w="80" w:type="dxa"/>
              <w:start w:w="110" w:type="dxa"/>
              <w:bottom w:w="80" w:type="dxa"/>
              <w:end w:w="110" w:type="dxa"/>
            </w:tcMar>
            <w:vAlign w:val="center"/>
          </w:tcPr>
          <w:p>
            <w:pPr>
              <w:jc w:val="left"/>
            </w:pPr>
            <w:r>
              <w:rPr>
                <w:sz w:val="19"/>
              </w:rPr>
              <w:t>Micro-frictions et régularisations oubliées</w:t>
            </w:r>
          </w:p>
        </w:tc>
        <w:tc>
          <w:tcPr>
            <w:tcW w:type="dxa" w:w="3402"/>
            <w:tcMar>
              <w:top w:w="80" w:type="dxa"/>
              <w:start w:w="110" w:type="dxa"/>
              <w:bottom w:w="80" w:type="dxa"/>
              <w:end w:w="110" w:type="dxa"/>
            </w:tcMar>
            <w:vAlign w:val="center"/>
          </w:tcPr>
          <w:p>
            <w:pPr>
              <w:jc w:val="left"/>
            </w:pPr>
            <w:r>
              <w:rPr>
                <w:sz w:val="19"/>
              </w:rPr>
              <w:t>Ledger partagé + vue d’équilibre + bouton “soldé”</w:t>
            </w:r>
          </w:p>
        </w:tc>
      </w:tr>
      <w:tr>
        <w:tc>
          <w:tcPr>
            <w:tcW w:type="dxa" w:w="2381"/>
            <w:tcMar>
              <w:top w:w="80" w:type="dxa"/>
              <w:start w:w="110" w:type="dxa"/>
              <w:bottom w:w="80" w:type="dxa"/>
              <w:end w:w="110" w:type="dxa"/>
            </w:tcMar>
            <w:vAlign w:val="center"/>
          </w:tcPr>
          <w:p>
            <w:pPr>
              <w:jc w:val="left"/>
            </w:pPr>
            <w:r>
              <w:rPr>
                <w:sz w:val="19"/>
              </w:rPr>
              <w:t>Le budget est suivi trop tard</w:t>
            </w:r>
          </w:p>
        </w:tc>
        <w:tc>
          <w:tcPr>
            <w:tcW w:type="dxa" w:w="2721"/>
            <w:tcMar>
              <w:top w:w="80" w:type="dxa"/>
              <w:start w:w="110" w:type="dxa"/>
              <w:bottom w:w="80" w:type="dxa"/>
              <w:end w:w="110" w:type="dxa"/>
            </w:tcMar>
            <w:vAlign w:val="center"/>
          </w:tcPr>
          <w:p>
            <w:pPr>
              <w:jc w:val="left"/>
            </w:pPr>
            <w:r>
              <w:rPr>
                <w:sz w:val="19"/>
              </w:rPr>
              <w:t>Décisions prises en retard</w:t>
            </w:r>
          </w:p>
        </w:tc>
        <w:tc>
          <w:tcPr>
            <w:tcW w:type="dxa" w:w="3402"/>
            <w:tcMar>
              <w:top w:w="80" w:type="dxa"/>
              <w:start w:w="110" w:type="dxa"/>
              <w:bottom w:w="80" w:type="dxa"/>
              <w:end w:w="110" w:type="dxa"/>
            </w:tcMar>
            <w:vAlign w:val="center"/>
          </w:tcPr>
          <w:p>
            <w:pPr>
              <w:jc w:val="left"/>
            </w:pPr>
            <w:r>
              <w:rPr>
                <w:sz w:val="19"/>
              </w:rPr>
              <w:t>Dashboard du mois + projection simple</w:t>
            </w:r>
          </w:p>
        </w:tc>
      </w:tr>
      <w:tr>
        <w:tc>
          <w:tcPr>
            <w:tcW w:type="dxa" w:w="2381"/>
            <w:tcMar>
              <w:top w:w="80" w:type="dxa"/>
              <w:start w:w="110" w:type="dxa"/>
              <w:bottom w:w="80" w:type="dxa"/>
              <w:end w:w="110" w:type="dxa"/>
            </w:tcMar>
            <w:vAlign w:val="center"/>
          </w:tcPr>
          <w:p>
            <w:pPr>
              <w:jc w:val="left"/>
            </w:pPr>
            <w:r>
              <w:rPr>
                <w:sz w:val="19"/>
              </w:rPr>
              <w:t>Les règles du couple sont implicites</w:t>
            </w:r>
          </w:p>
        </w:tc>
        <w:tc>
          <w:tcPr>
            <w:tcW w:type="dxa" w:w="2721"/>
            <w:tcMar>
              <w:top w:w="80" w:type="dxa"/>
              <w:start w:w="110" w:type="dxa"/>
              <w:bottom w:w="80" w:type="dxa"/>
              <w:end w:w="110" w:type="dxa"/>
            </w:tcMar>
            <w:vAlign w:val="center"/>
          </w:tcPr>
          <w:p>
            <w:pPr>
              <w:jc w:val="left"/>
            </w:pPr>
            <w:r>
              <w:rPr>
                <w:sz w:val="19"/>
              </w:rPr>
              <w:t>Sentiment d’injustice ou malentendus</w:t>
            </w:r>
          </w:p>
        </w:tc>
        <w:tc>
          <w:tcPr>
            <w:tcW w:type="dxa" w:w="3402"/>
            <w:tcMar>
              <w:top w:w="80" w:type="dxa"/>
              <w:start w:w="110" w:type="dxa"/>
              <w:bottom w:w="80" w:type="dxa"/>
              <w:end w:w="110" w:type="dxa"/>
            </w:tcMar>
            <w:vAlign w:val="center"/>
          </w:tcPr>
          <w:p>
            <w:pPr>
              <w:jc w:val="left"/>
            </w:pPr>
            <w:r>
              <w:rPr>
                <w:sz w:val="19"/>
              </w:rPr>
              <w:t>Répartition configurable + contrat financier</w:t>
            </w:r>
          </w:p>
        </w:tc>
      </w:tr>
      <w:tr>
        <w:tc>
          <w:tcPr>
            <w:tcW w:type="dxa" w:w="2381"/>
            <w:tcMar>
              <w:top w:w="80" w:type="dxa"/>
              <w:start w:w="110" w:type="dxa"/>
              <w:bottom w:w="80" w:type="dxa"/>
              <w:end w:w="110" w:type="dxa"/>
            </w:tcMar>
            <w:vAlign w:val="center"/>
          </w:tcPr>
          <w:p>
            <w:pPr>
              <w:jc w:val="left"/>
            </w:pPr>
            <w:r>
              <w:rPr>
                <w:sz w:val="19"/>
              </w:rPr>
              <w:t>Les projets communs restent flous</w:t>
            </w:r>
          </w:p>
        </w:tc>
        <w:tc>
          <w:tcPr>
            <w:tcW w:type="dxa" w:w="2721"/>
            <w:tcMar>
              <w:top w:w="80" w:type="dxa"/>
              <w:start w:w="110" w:type="dxa"/>
              <w:bottom w:w="80" w:type="dxa"/>
              <w:end w:w="110" w:type="dxa"/>
            </w:tcMar>
            <w:vAlign w:val="center"/>
          </w:tcPr>
          <w:p>
            <w:pPr>
              <w:jc w:val="left"/>
            </w:pPr>
            <w:r>
              <w:rPr>
                <w:sz w:val="19"/>
              </w:rPr>
              <w:t>Épargne irrégulière, arbitrages confus</w:t>
            </w:r>
          </w:p>
        </w:tc>
        <w:tc>
          <w:tcPr>
            <w:tcW w:type="dxa" w:w="3402"/>
            <w:tcMar>
              <w:top w:w="80" w:type="dxa"/>
              <w:start w:w="110" w:type="dxa"/>
              <w:bottom w:w="80" w:type="dxa"/>
              <w:end w:w="110" w:type="dxa"/>
            </w:tcMar>
            <w:vAlign w:val="center"/>
          </w:tcPr>
          <w:p>
            <w:pPr>
              <w:jc w:val="left"/>
            </w:pPr>
            <w:r>
              <w:rPr>
                <w:sz w:val="19"/>
              </w:rPr>
              <w:t>Objectifs avec rythme conseillé</w:t>
            </w:r>
          </w:p>
        </w:tc>
      </w:tr>
      <w:tr>
        <w:tc>
          <w:tcPr>
            <w:tcW w:type="dxa" w:w="2381"/>
            <w:tcMar>
              <w:top w:w="80" w:type="dxa"/>
              <w:start w:w="110" w:type="dxa"/>
              <w:bottom w:w="80" w:type="dxa"/>
              <w:end w:w="110" w:type="dxa"/>
            </w:tcMar>
            <w:vAlign w:val="center"/>
          </w:tcPr>
          <w:p>
            <w:pPr>
              <w:jc w:val="left"/>
            </w:pPr>
            <w:r>
              <w:rPr>
                <w:sz w:val="19"/>
              </w:rPr>
              <w:t>Parler d’argent est émotionnellement chargé</w:t>
            </w:r>
          </w:p>
        </w:tc>
        <w:tc>
          <w:tcPr>
            <w:tcW w:type="dxa" w:w="2721"/>
            <w:tcMar>
              <w:top w:w="80" w:type="dxa"/>
              <w:start w:w="110" w:type="dxa"/>
              <w:bottom w:w="80" w:type="dxa"/>
              <w:end w:w="110" w:type="dxa"/>
            </w:tcMar>
            <w:vAlign w:val="center"/>
          </w:tcPr>
          <w:p>
            <w:pPr>
              <w:jc w:val="left"/>
            </w:pPr>
            <w:r>
              <w:rPr>
                <w:sz w:val="19"/>
              </w:rPr>
              <w:t>Évitement ou dispute</w:t>
            </w:r>
          </w:p>
        </w:tc>
        <w:tc>
          <w:tcPr>
            <w:tcW w:type="dxa" w:w="3402"/>
            <w:tcMar>
              <w:top w:w="80" w:type="dxa"/>
              <w:start w:w="110" w:type="dxa"/>
              <w:bottom w:w="80" w:type="dxa"/>
              <w:end w:w="110" w:type="dxa"/>
            </w:tcMar>
            <w:vAlign w:val="center"/>
          </w:tcPr>
          <w:p>
            <w:pPr>
              <w:jc w:val="left"/>
            </w:pPr>
            <w:r>
              <w:rPr>
                <w:sz w:val="19"/>
              </w:rPr>
              <w:t>Ton neutre + point mensuel guidé</w:t>
            </w:r>
          </w:p>
        </w:tc>
      </w:tr>
    </w:tbl>
    <w:p>
      <w:pPr>
        <w:spacing w:after="60"/>
      </w:pPr>
    </w:p>
    <w:p>
      <w:pPr>
        <w:pStyle w:val="Heading1"/>
        <w:spacing w:after="120"/>
      </w:pPr>
      <w:r>
        <w:rPr>
          <w:b w:val="0"/>
        </w:rPr>
        <w:t>4. Cibles et jobs-to-be-done</w:t>
      </w:r>
    </w:p>
    <w:p>
      <w:pPr>
        <w:pStyle w:val="Heading2"/>
        <w:spacing w:after="80"/>
      </w:pPr>
      <w:r>
        <w:rPr>
          <w:b w:val="0"/>
        </w:rPr>
        <w:t>Personas prioritaires</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EAF0FF"/>
            <w:tcMar>
              <w:top w:w="100" w:type="dxa"/>
              <w:start w:w="120" w:type="dxa"/>
              <w:bottom w:w="100" w:type="dxa"/>
              <w:end w:w="120" w:type="dxa"/>
            </w:tcMar>
            <w:vAlign w:val="center"/>
          </w:tcPr>
          <w:p>
            <w:pPr>
              <w:jc w:val="center"/>
            </w:pPr>
            <w:r>
              <w:rPr>
                <w:b/>
                <w:sz w:val="20"/>
              </w:rPr>
              <w:t>Persona</w:t>
            </w:r>
          </w:p>
        </w:tc>
        <w:tc>
          <w:tcPr>
            <w:tcW w:type="dxa" w:w="3628"/>
            <w:shd w:fill="EAF0FF"/>
            <w:tcMar>
              <w:top w:w="100" w:type="dxa"/>
              <w:start w:w="120" w:type="dxa"/>
              <w:bottom w:w="100" w:type="dxa"/>
              <w:end w:w="120" w:type="dxa"/>
            </w:tcMar>
            <w:vAlign w:val="center"/>
          </w:tcPr>
          <w:p>
            <w:pPr>
              <w:jc w:val="center"/>
            </w:pPr>
            <w:r>
              <w:rPr>
                <w:b/>
                <w:sz w:val="20"/>
              </w:rPr>
              <w:t>Contexte</w:t>
            </w:r>
          </w:p>
        </w:tc>
        <w:tc>
          <w:tcPr>
            <w:tcW w:type="dxa" w:w="3458"/>
            <w:shd w:fill="EAF0FF"/>
            <w:tcMar>
              <w:top w:w="100" w:type="dxa"/>
              <w:start w:w="120" w:type="dxa"/>
              <w:bottom w:w="100" w:type="dxa"/>
              <w:end w:w="120" w:type="dxa"/>
            </w:tcMar>
            <w:vAlign w:val="center"/>
          </w:tcPr>
          <w:p>
            <w:pPr>
              <w:jc w:val="left"/>
            </w:pPr>
            <w:r>
              <w:rPr>
                <w:b/>
                <w:sz w:val="20"/>
              </w:rPr>
              <w:t>Ce qu’il attend du produit</w:t>
            </w:r>
          </w:p>
        </w:tc>
      </w:tr>
      <w:tr>
        <w:tc>
          <w:tcPr>
            <w:tcW w:type="dxa" w:w="1701"/>
            <w:tcMar>
              <w:top w:w="80" w:type="dxa"/>
              <w:start w:w="110" w:type="dxa"/>
              <w:bottom w:w="80" w:type="dxa"/>
              <w:end w:w="110" w:type="dxa"/>
            </w:tcMar>
            <w:vAlign w:val="center"/>
          </w:tcPr>
          <w:p>
            <w:pPr>
              <w:jc w:val="center"/>
            </w:pPr>
            <w:r>
              <w:rPr>
                <w:sz w:val="19"/>
              </w:rPr>
              <w:t>Couple actif</w:t>
            </w:r>
          </w:p>
        </w:tc>
        <w:tc>
          <w:tcPr>
            <w:tcW w:type="dxa" w:w="3628"/>
            <w:tcMar>
              <w:top w:w="80" w:type="dxa"/>
              <w:start w:w="110" w:type="dxa"/>
              <w:bottom w:w="80" w:type="dxa"/>
              <w:end w:w="110" w:type="dxa"/>
            </w:tcMar>
            <w:vAlign w:val="center"/>
          </w:tcPr>
          <w:p>
            <w:pPr>
              <w:jc w:val="left"/>
            </w:pPr>
            <w:r>
              <w:rPr>
                <w:sz w:val="19"/>
              </w:rPr>
              <w:t>Deux revenus, charges communes, peu de temps</w:t>
            </w:r>
          </w:p>
        </w:tc>
        <w:tc>
          <w:tcPr>
            <w:tcW w:type="dxa" w:w="3458"/>
            <w:tcMar>
              <w:top w:w="80" w:type="dxa"/>
              <w:start w:w="110" w:type="dxa"/>
              <w:bottom w:w="80" w:type="dxa"/>
              <w:end w:w="110" w:type="dxa"/>
            </w:tcMar>
            <w:vAlign w:val="center"/>
          </w:tcPr>
          <w:p>
            <w:pPr>
              <w:jc w:val="left"/>
            </w:pPr>
            <w:r>
              <w:rPr>
                <w:sz w:val="19"/>
              </w:rPr>
              <w:t>Clarté, vitesse, équilibrage simple</w:t>
            </w:r>
          </w:p>
        </w:tc>
      </w:tr>
      <w:tr>
        <w:tc>
          <w:tcPr>
            <w:tcW w:type="dxa" w:w="1701"/>
            <w:tcMar>
              <w:top w:w="80" w:type="dxa"/>
              <w:start w:w="110" w:type="dxa"/>
              <w:bottom w:w="80" w:type="dxa"/>
              <w:end w:w="110" w:type="dxa"/>
            </w:tcMar>
            <w:vAlign w:val="center"/>
          </w:tcPr>
          <w:p>
            <w:pPr>
              <w:jc w:val="center"/>
            </w:pPr>
            <w:r>
              <w:rPr>
                <w:sz w:val="19"/>
              </w:rPr>
              <w:t>Jeunes parents</w:t>
            </w:r>
          </w:p>
        </w:tc>
        <w:tc>
          <w:tcPr>
            <w:tcW w:type="dxa" w:w="3628"/>
            <w:tcMar>
              <w:top w:w="80" w:type="dxa"/>
              <w:start w:w="110" w:type="dxa"/>
              <w:bottom w:w="80" w:type="dxa"/>
              <w:end w:w="110" w:type="dxa"/>
            </w:tcMar>
            <w:vAlign w:val="center"/>
          </w:tcPr>
          <w:p>
            <w:pPr>
              <w:jc w:val="left"/>
            </w:pPr>
            <w:r>
              <w:rPr>
                <w:sz w:val="19"/>
              </w:rPr>
              <w:t>Plus de dépenses variables et projet maison/enfants</w:t>
            </w:r>
          </w:p>
        </w:tc>
        <w:tc>
          <w:tcPr>
            <w:tcW w:type="dxa" w:w="3458"/>
            <w:tcMar>
              <w:top w:w="80" w:type="dxa"/>
              <w:start w:w="110" w:type="dxa"/>
              <w:bottom w:w="80" w:type="dxa"/>
              <w:end w:w="110" w:type="dxa"/>
            </w:tcMar>
            <w:vAlign w:val="center"/>
          </w:tcPr>
          <w:p>
            <w:pPr>
              <w:jc w:val="left"/>
            </w:pPr>
            <w:r>
              <w:rPr>
                <w:sz w:val="19"/>
              </w:rPr>
              <w:t>Tags foyer/enfant, projection, objectifs</w:t>
            </w:r>
          </w:p>
        </w:tc>
      </w:tr>
      <w:tr>
        <w:tc>
          <w:tcPr>
            <w:tcW w:type="dxa" w:w="1701"/>
            <w:tcMar>
              <w:top w:w="80" w:type="dxa"/>
              <w:start w:w="110" w:type="dxa"/>
              <w:bottom w:w="80" w:type="dxa"/>
              <w:end w:w="110" w:type="dxa"/>
            </w:tcMar>
            <w:vAlign w:val="center"/>
          </w:tcPr>
          <w:p>
            <w:pPr>
              <w:jc w:val="left"/>
            </w:pPr>
            <w:r>
              <w:rPr>
                <w:sz w:val="19"/>
              </w:rPr>
              <w:t>Couple avec partage non symétrique</w:t>
            </w:r>
          </w:p>
        </w:tc>
        <w:tc>
          <w:tcPr>
            <w:tcW w:type="dxa" w:w="3628"/>
            <w:tcMar>
              <w:top w:w="80" w:type="dxa"/>
              <w:start w:w="110" w:type="dxa"/>
              <w:bottom w:w="80" w:type="dxa"/>
              <w:end w:w="110" w:type="dxa"/>
            </w:tcMar>
            <w:vAlign w:val="center"/>
          </w:tcPr>
          <w:p>
            <w:pPr>
              <w:jc w:val="left"/>
            </w:pPr>
            <w:r>
              <w:rPr>
                <w:sz w:val="19"/>
              </w:rPr>
              <w:t>Répartition 60/40 ou proportionnelle</w:t>
            </w:r>
          </w:p>
        </w:tc>
        <w:tc>
          <w:tcPr>
            <w:tcW w:type="dxa" w:w="3458"/>
            <w:tcMar>
              <w:top w:w="80" w:type="dxa"/>
              <w:start w:w="110" w:type="dxa"/>
              <w:bottom w:w="80" w:type="dxa"/>
              <w:end w:w="110" w:type="dxa"/>
            </w:tcMar>
            <w:vAlign w:val="center"/>
          </w:tcPr>
          <w:p>
            <w:pPr>
              <w:jc w:val="left"/>
            </w:pPr>
            <w:r>
              <w:rPr>
                <w:sz w:val="19"/>
              </w:rPr>
              <w:t>Règles flexibles et sentiment d’équité</w:t>
            </w:r>
          </w:p>
        </w:tc>
      </w:tr>
    </w:tbl>
    <w:p>
      <w:pPr>
        <w:spacing w:after="60"/>
      </w:pPr>
    </w:p>
    <w:p>
      <w:pPr>
        <w:pStyle w:val="Heading2"/>
        <w:spacing w:after="80"/>
      </w:pPr>
      <w:r>
        <w:rPr>
          <w:b w:val="0"/>
        </w:rPr>
        <w:t>Jobs-to-be-done</w:t>
      </w:r>
    </w:p>
    <w:p>
      <w:pPr>
        <w:spacing w:after="40"/>
        <w:ind w:left="283"/>
      </w:pPr>
      <w:r>
        <w:rPr>
          <w:sz w:val="21"/>
        </w:rPr>
        <w:t>• Quand une dépense tombe, je veux la saisir très vite pour qu’elle soit bien répartie.</w:t>
      </w:r>
    </w:p>
    <w:p>
      <w:pPr>
        <w:spacing w:after="40"/>
        <w:ind w:left="283"/>
      </w:pPr>
      <w:r>
        <w:rPr>
          <w:sz w:val="21"/>
        </w:rPr>
        <w:t>• Quand j’ouvre l’accueil, je veux comprendre immédiatement où en est notre mois.</w:t>
      </w:r>
    </w:p>
    <w:p>
      <w:pPr>
        <w:spacing w:after="40"/>
        <w:ind w:left="283"/>
      </w:pPr>
      <w:r>
        <w:rPr>
          <w:sz w:val="21"/>
        </w:rPr>
        <w:t>• Quand un écart se crée, je veux savoir s’il faut régulariser et combien.</w:t>
      </w:r>
    </w:p>
    <w:p>
      <w:pPr>
        <w:spacing w:after="40"/>
        <w:ind w:left="283"/>
      </w:pPr>
      <w:r>
        <w:rPr>
          <w:sz w:val="21"/>
        </w:rPr>
        <w:t>• Quand on prépare un projet, je veux savoir combien mettre de côté et si l’on tient le rythme.</w:t>
      </w:r>
    </w:p>
    <w:p>
      <w:pPr>
        <w:spacing w:after="40"/>
        <w:ind w:left="283"/>
      </w:pPr>
      <w:r>
        <w:rPr>
          <w:sz w:val="21"/>
        </w:rPr>
        <w:t>• Quand on parle d’argent, je veux une base neutre et partagée.</w:t>
      </w:r>
    </w:p>
    <w:p>
      <w:pPr>
        <w:pStyle w:val="Heading1"/>
        <w:spacing w:after="120"/>
      </w:pPr>
      <w:r>
        <w:rPr>
          <w:b w:val="0"/>
        </w:rPr>
        <w:t>5. Positionnement et différenciation</w:t>
      </w:r>
    </w:p>
    <w:p>
      <w:pPr>
        <w:spacing w:after="80"/>
      </w:pPr>
      <w:r>
        <w:rPr>
          <w:b w:val="0"/>
        </w:rPr>
        <w:t>Money Duo doit se situer entre Splitwise, un budget tracker et un assistant de foyer. Il n’essaie pas d’être une banque, ni un agrégateur financier complet au départ. Son différenciateur principal est l’articulation entre dépenses partagées, objectifs de vie et expérience apaisée.</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EAF0FF"/>
            <w:tcMar>
              <w:top w:w="100" w:type="dxa"/>
              <w:start w:w="120" w:type="dxa"/>
              <w:bottom w:w="100" w:type="dxa"/>
              <w:end w:w="120" w:type="dxa"/>
            </w:tcMar>
            <w:vAlign w:val="center"/>
          </w:tcPr>
          <w:p>
            <w:pPr>
              <w:jc w:val="center"/>
            </w:pPr>
            <w:r>
              <w:rPr>
                <w:b/>
                <w:sz w:val="20"/>
              </w:rPr>
              <w:t>Dimension</w:t>
            </w:r>
          </w:p>
        </w:tc>
        <w:tc>
          <w:tcPr>
            <w:tcW w:type="dxa" w:w="3402"/>
            <w:shd w:fill="EAF0FF"/>
            <w:tcMar>
              <w:top w:w="100" w:type="dxa"/>
              <w:start w:w="120" w:type="dxa"/>
              <w:bottom w:w="100" w:type="dxa"/>
              <w:end w:w="120" w:type="dxa"/>
            </w:tcMar>
            <w:vAlign w:val="center"/>
          </w:tcPr>
          <w:p>
            <w:pPr>
              <w:jc w:val="center"/>
            </w:pPr>
            <w:r>
              <w:rPr>
                <w:b/>
                <w:sz w:val="20"/>
              </w:rPr>
              <w:t>Outils existants</w:t>
            </w:r>
          </w:p>
        </w:tc>
        <w:tc>
          <w:tcPr>
            <w:tcW w:type="dxa" w:w="3685"/>
            <w:shd w:fill="EAF0FF"/>
            <w:tcMar>
              <w:top w:w="100" w:type="dxa"/>
              <w:start w:w="120" w:type="dxa"/>
              <w:bottom w:w="100" w:type="dxa"/>
              <w:end w:w="120" w:type="dxa"/>
            </w:tcMar>
            <w:vAlign w:val="center"/>
          </w:tcPr>
          <w:p>
            <w:pPr>
              <w:jc w:val="center"/>
            </w:pPr>
            <w:r>
              <w:rPr>
                <w:b/>
                <w:sz w:val="20"/>
              </w:rPr>
              <w:t>Money Duo</w:t>
            </w:r>
          </w:p>
        </w:tc>
      </w:tr>
      <w:tr>
        <w:tc>
          <w:tcPr>
            <w:tcW w:type="dxa" w:w="1701"/>
            <w:tcMar>
              <w:top w:w="80" w:type="dxa"/>
              <w:start w:w="110" w:type="dxa"/>
              <w:bottom w:w="80" w:type="dxa"/>
              <w:end w:w="110" w:type="dxa"/>
            </w:tcMar>
            <w:vAlign w:val="center"/>
          </w:tcPr>
          <w:p>
            <w:pPr>
              <w:jc w:val="center"/>
            </w:pPr>
            <w:r>
              <w:rPr>
                <w:sz w:val="19"/>
              </w:rPr>
              <w:t>Qui doit quoi</w:t>
            </w:r>
          </w:p>
        </w:tc>
        <w:tc>
          <w:tcPr>
            <w:tcW w:type="dxa" w:w="3402"/>
            <w:tcMar>
              <w:top w:w="80" w:type="dxa"/>
              <w:start w:w="110" w:type="dxa"/>
              <w:bottom w:w="80" w:type="dxa"/>
              <w:end w:w="110" w:type="dxa"/>
            </w:tcMar>
            <w:vAlign w:val="center"/>
          </w:tcPr>
          <w:p>
            <w:pPr>
              <w:jc w:val="left"/>
            </w:pPr>
            <w:r>
              <w:rPr>
                <w:sz w:val="19"/>
              </w:rPr>
              <w:t>Souvent bien couvert</w:t>
            </w:r>
          </w:p>
        </w:tc>
        <w:tc>
          <w:tcPr>
            <w:tcW w:type="dxa" w:w="3685"/>
            <w:tcMar>
              <w:top w:w="80" w:type="dxa"/>
              <w:start w:w="110" w:type="dxa"/>
              <w:bottom w:w="80" w:type="dxa"/>
              <w:end w:w="110" w:type="dxa"/>
            </w:tcMar>
            <w:vAlign w:val="center"/>
          </w:tcPr>
          <w:p>
            <w:pPr>
              <w:jc w:val="left"/>
            </w:pPr>
            <w:r>
              <w:rPr>
                <w:sz w:val="19"/>
              </w:rPr>
              <w:t>Bien couvert mais intégré à la vue foyer</w:t>
            </w:r>
          </w:p>
        </w:tc>
      </w:tr>
      <w:tr>
        <w:tc>
          <w:tcPr>
            <w:tcW w:type="dxa" w:w="1701"/>
            <w:tcMar>
              <w:top w:w="80" w:type="dxa"/>
              <w:start w:w="110" w:type="dxa"/>
              <w:bottom w:w="80" w:type="dxa"/>
              <w:end w:w="110" w:type="dxa"/>
            </w:tcMar>
            <w:vAlign w:val="center"/>
          </w:tcPr>
          <w:p>
            <w:pPr>
              <w:jc w:val="center"/>
            </w:pPr>
            <w:r>
              <w:rPr>
                <w:sz w:val="19"/>
              </w:rPr>
              <w:t>Budget mensuel</w:t>
            </w:r>
          </w:p>
        </w:tc>
        <w:tc>
          <w:tcPr>
            <w:tcW w:type="dxa" w:w="3402"/>
            <w:tcMar>
              <w:top w:w="80" w:type="dxa"/>
              <w:start w:w="110" w:type="dxa"/>
              <w:bottom w:w="80" w:type="dxa"/>
              <w:end w:w="110" w:type="dxa"/>
            </w:tcMar>
            <w:vAlign w:val="center"/>
          </w:tcPr>
          <w:p>
            <w:pPr>
              <w:jc w:val="left"/>
            </w:pPr>
            <w:r>
              <w:rPr>
                <w:sz w:val="19"/>
              </w:rPr>
              <w:t>Souvent technique ou rigide</w:t>
            </w:r>
          </w:p>
        </w:tc>
        <w:tc>
          <w:tcPr>
            <w:tcW w:type="dxa" w:w="3685"/>
            <w:tcMar>
              <w:top w:w="80" w:type="dxa"/>
              <w:start w:w="110" w:type="dxa"/>
              <w:bottom w:w="80" w:type="dxa"/>
              <w:end w:w="110" w:type="dxa"/>
            </w:tcMar>
            <w:vAlign w:val="center"/>
          </w:tcPr>
          <w:p>
            <w:pPr>
              <w:jc w:val="left"/>
            </w:pPr>
            <w:r>
              <w:rPr>
                <w:sz w:val="19"/>
              </w:rPr>
              <w:t>Simple, lisible, centré sur les décisions</w:t>
            </w:r>
          </w:p>
        </w:tc>
      </w:tr>
      <w:tr>
        <w:tc>
          <w:tcPr>
            <w:tcW w:type="dxa" w:w="1701"/>
            <w:tcMar>
              <w:top w:w="80" w:type="dxa"/>
              <w:start w:w="110" w:type="dxa"/>
              <w:bottom w:w="80" w:type="dxa"/>
              <w:end w:w="110" w:type="dxa"/>
            </w:tcMar>
            <w:vAlign w:val="center"/>
          </w:tcPr>
          <w:p>
            <w:pPr>
              <w:jc w:val="center"/>
            </w:pPr>
            <w:r>
              <w:rPr>
                <w:sz w:val="19"/>
              </w:rPr>
              <w:t>Objectifs</w:t>
            </w:r>
          </w:p>
        </w:tc>
        <w:tc>
          <w:tcPr>
            <w:tcW w:type="dxa" w:w="3402"/>
            <w:tcMar>
              <w:top w:w="80" w:type="dxa"/>
              <w:start w:w="110" w:type="dxa"/>
              <w:bottom w:w="80" w:type="dxa"/>
              <w:end w:w="110" w:type="dxa"/>
            </w:tcMar>
            <w:vAlign w:val="center"/>
          </w:tcPr>
          <w:p>
            <w:pPr>
              <w:jc w:val="left"/>
            </w:pPr>
            <w:r>
              <w:rPr>
                <w:sz w:val="19"/>
              </w:rPr>
              <w:t>Souvent annexes</w:t>
            </w:r>
          </w:p>
        </w:tc>
        <w:tc>
          <w:tcPr>
            <w:tcW w:type="dxa" w:w="3685"/>
            <w:tcMar>
              <w:top w:w="80" w:type="dxa"/>
              <w:start w:w="110" w:type="dxa"/>
              <w:bottom w:w="80" w:type="dxa"/>
              <w:end w:w="110" w:type="dxa"/>
            </w:tcMar>
            <w:vAlign w:val="center"/>
          </w:tcPr>
          <w:p>
            <w:pPr>
              <w:jc w:val="left"/>
            </w:pPr>
            <w:r>
              <w:rPr>
                <w:sz w:val="19"/>
              </w:rPr>
              <w:t>Au cœur du produit avec rythme conseillé</w:t>
            </w:r>
          </w:p>
        </w:tc>
      </w:tr>
      <w:tr>
        <w:tc>
          <w:tcPr>
            <w:tcW w:type="dxa" w:w="1701"/>
            <w:tcMar>
              <w:top w:w="80" w:type="dxa"/>
              <w:start w:w="110" w:type="dxa"/>
              <w:bottom w:w="80" w:type="dxa"/>
              <w:end w:w="110" w:type="dxa"/>
            </w:tcMar>
            <w:vAlign w:val="center"/>
          </w:tcPr>
          <w:p>
            <w:pPr>
              <w:jc w:val="center"/>
            </w:pPr>
            <w:r>
              <w:rPr>
                <w:sz w:val="19"/>
              </w:rPr>
              <w:t>Charge mentale</w:t>
            </w:r>
          </w:p>
        </w:tc>
        <w:tc>
          <w:tcPr>
            <w:tcW w:type="dxa" w:w="3402"/>
            <w:tcMar>
              <w:top w:w="80" w:type="dxa"/>
              <w:start w:w="110" w:type="dxa"/>
              <w:bottom w:w="80" w:type="dxa"/>
              <w:end w:w="110" w:type="dxa"/>
            </w:tcMar>
            <w:vAlign w:val="center"/>
          </w:tcPr>
          <w:p>
            <w:pPr>
              <w:jc w:val="left"/>
            </w:pPr>
            <w:r>
              <w:rPr>
                <w:sz w:val="19"/>
              </w:rPr>
              <w:t>Quasi absente</w:t>
            </w:r>
          </w:p>
        </w:tc>
        <w:tc>
          <w:tcPr>
            <w:tcW w:type="dxa" w:w="3685"/>
            <w:tcMar>
              <w:top w:w="80" w:type="dxa"/>
              <w:start w:w="110" w:type="dxa"/>
              <w:bottom w:w="80" w:type="dxa"/>
              <w:end w:w="110" w:type="dxa"/>
            </w:tcMar>
            <w:vAlign w:val="center"/>
          </w:tcPr>
          <w:p>
            <w:pPr>
              <w:jc w:val="left"/>
            </w:pPr>
            <w:r>
              <w:rPr>
                <w:sz w:val="19"/>
              </w:rPr>
              <w:t>Angle produit assumé</w:t>
            </w:r>
          </w:p>
        </w:tc>
      </w:tr>
      <w:tr>
        <w:tc>
          <w:tcPr>
            <w:tcW w:type="dxa" w:w="1701"/>
            <w:tcMar>
              <w:top w:w="80" w:type="dxa"/>
              <w:start w:w="110" w:type="dxa"/>
              <w:bottom w:w="80" w:type="dxa"/>
              <w:end w:w="110" w:type="dxa"/>
            </w:tcMar>
            <w:vAlign w:val="center"/>
          </w:tcPr>
          <w:p>
            <w:pPr>
              <w:jc w:val="left"/>
            </w:pPr>
            <w:r>
              <w:rPr>
                <w:sz w:val="19"/>
              </w:rPr>
              <w:t>Discussion du couple</w:t>
            </w:r>
          </w:p>
        </w:tc>
        <w:tc>
          <w:tcPr>
            <w:tcW w:type="dxa" w:w="3402"/>
            <w:tcMar>
              <w:top w:w="80" w:type="dxa"/>
              <w:start w:w="110" w:type="dxa"/>
              <w:bottom w:w="80" w:type="dxa"/>
              <w:end w:w="110" w:type="dxa"/>
            </w:tcMar>
            <w:vAlign w:val="center"/>
          </w:tcPr>
          <w:p>
            <w:pPr>
              <w:jc w:val="left"/>
            </w:pPr>
            <w:r>
              <w:rPr>
                <w:sz w:val="19"/>
              </w:rPr>
              <w:t>Non traité</w:t>
            </w:r>
          </w:p>
        </w:tc>
        <w:tc>
          <w:tcPr>
            <w:tcW w:type="dxa" w:w="3685"/>
            <w:tcMar>
              <w:top w:w="80" w:type="dxa"/>
              <w:start w:w="110" w:type="dxa"/>
              <w:bottom w:w="80" w:type="dxa"/>
              <w:end w:w="110" w:type="dxa"/>
            </w:tcMar>
            <w:vAlign w:val="center"/>
          </w:tcPr>
          <w:p>
            <w:pPr>
              <w:jc w:val="left"/>
            </w:pPr>
            <w:r>
              <w:rPr>
                <w:sz w:val="19"/>
              </w:rPr>
              <w:t>Point mensuel + ton neutre + contrat financier</w:t>
            </w:r>
          </w:p>
        </w:tc>
      </w:tr>
    </w:tbl>
    <w:p>
      <w:pPr>
        <w:spacing w:after="60"/>
      </w:pPr>
    </w:p>
    <w:p>
      <w:pPr>
        <w:pStyle w:val="Heading1"/>
        <w:spacing w:after="120"/>
      </w:pPr>
      <w:r>
        <w:rPr>
          <w:b w:val="0"/>
        </w:rPr>
        <w:t>6. Décisions préalables au build</w:t>
      </w:r>
    </w:p>
    <w:p>
      <w:pPr>
        <w:spacing w:after="40"/>
        <w:ind w:left="283"/>
      </w:pPr>
      <w:r>
        <w:rPr>
          <w:sz w:val="21"/>
        </w:rPr>
        <w:t>• Le lancement se fait sans connexion bancaire. Les dépenses sont manuelles et les récurrences gèrent le besoin de base.</w:t>
      </w:r>
    </w:p>
    <w:p>
      <w:pPr>
        <w:spacing w:after="40"/>
        <w:ind w:left="283"/>
      </w:pPr>
      <w:r>
        <w:rPr>
          <w:sz w:val="21"/>
        </w:rPr>
        <w:t>• Le produit démarre avec un espace partagé à deux. Le mode famille complète vient ensuite.</w:t>
      </w:r>
    </w:p>
    <w:p>
      <w:pPr>
        <w:spacing w:after="40"/>
        <w:ind w:left="283"/>
      </w:pPr>
      <w:r>
        <w:rPr>
          <w:sz w:val="21"/>
        </w:rPr>
        <w:t>• L’IA en V1 n’écrit pas dans la base. Elle résume, suggère, alerte, mais la validation reste humaine.</w:t>
      </w:r>
    </w:p>
    <w:p>
      <w:pPr>
        <w:spacing w:after="40"/>
        <w:ind w:left="283"/>
      </w:pPr>
      <w:r>
        <w:rPr>
          <w:sz w:val="21"/>
        </w:rPr>
        <w:t>• Le couple choisit une règle par défaut au démarrage, mais peut la surcharger par catégorie ou dépense.</w:t>
      </w:r>
    </w:p>
    <w:p>
      <w:pPr>
        <w:spacing w:after="40"/>
        <w:ind w:left="283"/>
      </w:pPr>
      <w:r>
        <w:rPr>
          <w:sz w:val="21"/>
        </w:rPr>
        <w:t>• Le MVP strict supporte une seule devise et un seul foyer par utilisateur.</w:t>
      </w:r>
    </w:p>
    <w:p>
      <w:pPr>
        <w:pStyle w:val="Heading1"/>
        <w:spacing w:after="120"/>
      </w:pPr>
      <w:r>
        <w:rPr>
          <w:b w:val="0"/>
        </w:rPr>
        <w:t>7. Scope produit</w:t>
      </w:r>
    </w:p>
    <w:p>
      <w:pPr>
        <w:pStyle w:val="Heading2"/>
        <w:spacing w:after="80"/>
      </w:pPr>
      <w:r>
        <w:rPr>
          <w:b w:val="0"/>
        </w:rPr>
        <w:t>7.1 MVP strict — à construire en premier</w:t>
      </w:r>
    </w:p>
    <w:tbl>
      <w:tblPr>
        <w:tblStyle w:val="TableGrid"/>
        <w:tblW w:type="auto" w:w="0"/>
        <w:jc w:val="center"/>
        <w:tblLook w:firstColumn="1" w:firstRow="1" w:lastColumn="0" w:lastRow="0" w:noHBand="0" w:noVBand="1" w:val="04A0"/>
      </w:tblPr>
      <w:tblGrid>
        <w:gridCol w:w="3324"/>
        <w:gridCol w:w="3324"/>
        <w:gridCol w:w="3324"/>
      </w:tblGrid>
      <w:tr>
        <w:tc>
          <w:tcPr>
            <w:tcW w:type="dxa" w:w="1361"/>
            <w:shd w:fill="EAF0FF"/>
            <w:tcMar>
              <w:top w:w="100" w:type="dxa"/>
              <w:start w:w="120" w:type="dxa"/>
              <w:bottom w:w="100" w:type="dxa"/>
              <w:end w:w="120" w:type="dxa"/>
            </w:tcMar>
            <w:vAlign w:val="center"/>
          </w:tcPr>
          <w:p>
            <w:pPr>
              <w:jc w:val="center"/>
            </w:pPr>
            <w:r>
              <w:rPr>
                <w:b/>
                <w:sz w:val="20"/>
              </w:rPr>
              <w:t>Bloc</w:t>
            </w:r>
          </w:p>
        </w:tc>
        <w:tc>
          <w:tcPr>
            <w:tcW w:type="dxa" w:w="3515"/>
            <w:shd w:fill="EAF0FF"/>
            <w:tcMar>
              <w:top w:w="100" w:type="dxa"/>
              <w:start w:w="120" w:type="dxa"/>
              <w:bottom w:w="100" w:type="dxa"/>
              <w:end w:w="120" w:type="dxa"/>
            </w:tcMar>
            <w:vAlign w:val="center"/>
          </w:tcPr>
          <w:p>
            <w:pPr>
              <w:jc w:val="center"/>
            </w:pPr>
            <w:r>
              <w:rPr>
                <w:b/>
                <w:sz w:val="20"/>
              </w:rPr>
              <w:t>Feature</w:t>
            </w:r>
          </w:p>
        </w:tc>
        <w:tc>
          <w:tcPr>
            <w:tcW w:type="dxa" w:w="3969"/>
            <w:shd w:fill="EAF0FF"/>
            <w:tcMar>
              <w:top w:w="100" w:type="dxa"/>
              <w:start w:w="120" w:type="dxa"/>
              <w:bottom w:w="100" w:type="dxa"/>
              <w:end w:w="120" w:type="dxa"/>
            </w:tcMar>
            <w:vAlign w:val="center"/>
          </w:tcPr>
          <w:p>
            <w:pPr>
              <w:jc w:val="left"/>
            </w:pPr>
            <w:r>
              <w:rPr>
                <w:b/>
                <w:sz w:val="20"/>
              </w:rPr>
              <w:t>Pourquoi c’est dans le MVP strict</w:t>
            </w:r>
          </w:p>
        </w:tc>
      </w:tr>
      <w:tr>
        <w:tc>
          <w:tcPr>
            <w:tcW w:type="dxa" w:w="1361"/>
            <w:tcMar>
              <w:top w:w="80" w:type="dxa"/>
              <w:start w:w="110" w:type="dxa"/>
              <w:bottom w:w="80" w:type="dxa"/>
              <w:end w:w="110" w:type="dxa"/>
            </w:tcMar>
            <w:vAlign w:val="center"/>
          </w:tcPr>
          <w:p>
            <w:pPr>
              <w:jc w:val="center"/>
            </w:pPr>
            <w:r>
              <w:rPr>
                <w:sz w:val="19"/>
              </w:rPr>
              <w:t>Onboarding</w:t>
            </w:r>
          </w:p>
        </w:tc>
        <w:tc>
          <w:tcPr>
            <w:tcW w:type="dxa" w:w="3515"/>
            <w:tcMar>
              <w:top w:w="80" w:type="dxa"/>
              <w:start w:w="110" w:type="dxa"/>
              <w:bottom w:w="80" w:type="dxa"/>
              <w:end w:w="110" w:type="dxa"/>
            </w:tcMar>
            <w:vAlign w:val="center"/>
          </w:tcPr>
          <w:p>
            <w:pPr>
              <w:jc w:val="left"/>
            </w:pPr>
            <w:r>
              <w:rPr>
                <w:sz w:val="19"/>
              </w:rPr>
              <w:t>Créer le foyer + inviter le partenaire</w:t>
            </w:r>
          </w:p>
        </w:tc>
        <w:tc>
          <w:tcPr>
            <w:tcW w:type="dxa" w:w="3969"/>
            <w:tcMar>
              <w:top w:w="80" w:type="dxa"/>
              <w:start w:w="110" w:type="dxa"/>
              <w:bottom w:w="80" w:type="dxa"/>
              <w:end w:w="110" w:type="dxa"/>
            </w:tcMar>
            <w:vAlign w:val="center"/>
          </w:tcPr>
          <w:p>
            <w:pPr>
              <w:jc w:val="left"/>
            </w:pPr>
            <w:r>
              <w:rPr>
                <w:sz w:val="19"/>
              </w:rPr>
              <w:t>Base de collaboration indispensable</w:t>
            </w:r>
          </w:p>
        </w:tc>
      </w:tr>
      <w:tr>
        <w:tc>
          <w:tcPr>
            <w:tcW w:type="dxa" w:w="1361"/>
            <w:tcMar>
              <w:top w:w="80" w:type="dxa"/>
              <w:start w:w="110" w:type="dxa"/>
              <w:bottom w:w="80" w:type="dxa"/>
              <w:end w:w="110" w:type="dxa"/>
            </w:tcMar>
            <w:vAlign w:val="center"/>
          </w:tcPr>
          <w:p>
            <w:pPr>
              <w:jc w:val="center"/>
            </w:pPr>
            <w:r>
              <w:rPr>
                <w:sz w:val="19"/>
              </w:rPr>
              <w:t>Règles</w:t>
            </w:r>
          </w:p>
        </w:tc>
        <w:tc>
          <w:tcPr>
            <w:tcW w:type="dxa" w:w="3515"/>
            <w:tcMar>
              <w:top w:w="80" w:type="dxa"/>
              <w:start w:w="110" w:type="dxa"/>
              <w:bottom w:w="80" w:type="dxa"/>
              <w:end w:w="110" w:type="dxa"/>
            </w:tcMar>
            <w:vAlign w:val="center"/>
          </w:tcPr>
          <w:p>
            <w:pPr>
              <w:jc w:val="left"/>
            </w:pPr>
            <w:r>
              <w:rPr>
                <w:sz w:val="19"/>
              </w:rPr>
              <w:t>Choisir une logique de répartition par défaut</w:t>
            </w:r>
          </w:p>
        </w:tc>
        <w:tc>
          <w:tcPr>
            <w:tcW w:type="dxa" w:w="3969"/>
            <w:tcMar>
              <w:top w:w="80" w:type="dxa"/>
              <w:start w:w="110" w:type="dxa"/>
              <w:bottom w:w="80" w:type="dxa"/>
              <w:end w:w="110" w:type="dxa"/>
            </w:tcMar>
            <w:vAlign w:val="center"/>
          </w:tcPr>
          <w:p>
            <w:pPr>
              <w:jc w:val="left"/>
            </w:pPr>
            <w:r>
              <w:rPr>
                <w:sz w:val="19"/>
              </w:rPr>
              <w:t>Conditionne tous les calculs</w:t>
            </w:r>
          </w:p>
        </w:tc>
      </w:tr>
      <w:tr>
        <w:tc>
          <w:tcPr>
            <w:tcW w:type="dxa" w:w="1361"/>
            <w:tcMar>
              <w:top w:w="80" w:type="dxa"/>
              <w:start w:w="110" w:type="dxa"/>
              <w:bottom w:w="80" w:type="dxa"/>
              <w:end w:w="110" w:type="dxa"/>
            </w:tcMar>
            <w:vAlign w:val="center"/>
          </w:tcPr>
          <w:p>
            <w:pPr>
              <w:jc w:val="center"/>
            </w:pPr>
            <w:r>
              <w:rPr>
                <w:sz w:val="19"/>
              </w:rPr>
              <w:t>Saisie</w:t>
            </w:r>
          </w:p>
        </w:tc>
        <w:tc>
          <w:tcPr>
            <w:tcW w:type="dxa" w:w="3515"/>
            <w:tcMar>
              <w:top w:w="80" w:type="dxa"/>
              <w:start w:w="110" w:type="dxa"/>
              <w:bottom w:w="80" w:type="dxa"/>
              <w:end w:w="110" w:type="dxa"/>
            </w:tcMar>
            <w:vAlign w:val="center"/>
          </w:tcPr>
          <w:p>
            <w:pPr>
              <w:jc w:val="left"/>
            </w:pPr>
            <w:r>
              <w:rPr>
                <w:sz w:val="19"/>
              </w:rPr>
              <w:t>Ajouter/éditer/supprimer une dépense</w:t>
            </w:r>
          </w:p>
        </w:tc>
        <w:tc>
          <w:tcPr>
            <w:tcW w:type="dxa" w:w="3969"/>
            <w:tcMar>
              <w:top w:w="80" w:type="dxa"/>
              <w:start w:w="110" w:type="dxa"/>
              <w:bottom w:w="80" w:type="dxa"/>
              <w:end w:w="110" w:type="dxa"/>
            </w:tcMar>
            <w:vAlign w:val="center"/>
          </w:tcPr>
          <w:p>
            <w:pPr>
              <w:jc w:val="left"/>
            </w:pPr>
            <w:r>
              <w:rPr>
                <w:sz w:val="19"/>
              </w:rPr>
              <w:t>Cœur de l’usage</w:t>
            </w:r>
          </w:p>
        </w:tc>
      </w:tr>
      <w:tr>
        <w:tc>
          <w:tcPr>
            <w:tcW w:type="dxa" w:w="1361"/>
            <w:tcMar>
              <w:top w:w="80" w:type="dxa"/>
              <w:start w:w="110" w:type="dxa"/>
              <w:bottom w:w="80" w:type="dxa"/>
              <w:end w:w="110" w:type="dxa"/>
            </w:tcMar>
            <w:vAlign w:val="center"/>
          </w:tcPr>
          <w:p>
            <w:pPr>
              <w:jc w:val="center"/>
            </w:pPr>
            <w:r>
              <w:rPr>
                <w:sz w:val="19"/>
              </w:rPr>
              <w:t>Dépenses</w:t>
            </w:r>
          </w:p>
        </w:tc>
        <w:tc>
          <w:tcPr>
            <w:tcW w:type="dxa" w:w="3515"/>
            <w:tcMar>
              <w:top w:w="80" w:type="dxa"/>
              <w:start w:w="110" w:type="dxa"/>
              <w:bottom w:w="80" w:type="dxa"/>
              <w:end w:w="110" w:type="dxa"/>
            </w:tcMar>
            <w:vAlign w:val="center"/>
          </w:tcPr>
          <w:p>
            <w:pPr>
              <w:jc w:val="left"/>
            </w:pPr>
            <w:r>
              <w:rPr>
                <w:sz w:val="19"/>
              </w:rPr>
              <w:t>Commun / perso / enfant / maison</w:t>
            </w:r>
          </w:p>
        </w:tc>
        <w:tc>
          <w:tcPr>
            <w:tcW w:type="dxa" w:w="3969"/>
            <w:tcMar>
              <w:top w:w="80" w:type="dxa"/>
              <w:start w:w="110" w:type="dxa"/>
              <w:bottom w:w="80" w:type="dxa"/>
              <w:end w:w="110" w:type="dxa"/>
            </w:tcMar>
            <w:vAlign w:val="center"/>
          </w:tcPr>
          <w:p>
            <w:pPr>
              <w:jc w:val="left"/>
            </w:pPr>
            <w:r>
              <w:rPr>
                <w:sz w:val="19"/>
              </w:rPr>
              <w:t>Permet la vraie vie sans complexité excessive</w:t>
            </w:r>
          </w:p>
        </w:tc>
      </w:tr>
      <w:tr>
        <w:tc>
          <w:tcPr>
            <w:tcW w:type="dxa" w:w="1361"/>
            <w:tcMar>
              <w:top w:w="80" w:type="dxa"/>
              <w:start w:w="110" w:type="dxa"/>
              <w:bottom w:w="80" w:type="dxa"/>
              <w:end w:w="110" w:type="dxa"/>
            </w:tcMar>
            <w:vAlign w:val="center"/>
          </w:tcPr>
          <w:p>
            <w:pPr>
              <w:jc w:val="center"/>
            </w:pPr>
            <w:r>
              <w:rPr>
                <w:sz w:val="19"/>
              </w:rPr>
              <w:t>Paiement</w:t>
            </w:r>
          </w:p>
        </w:tc>
        <w:tc>
          <w:tcPr>
            <w:tcW w:type="dxa" w:w="3515"/>
            <w:tcMar>
              <w:top w:w="80" w:type="dxa"/>
              <w:start w:w="110" w:type="dxa"/>
              <w:bottom w:w="80" w:type="dxa"/>
              <w:end w:w="110" w:type="dxa"/>
            </w:tcMar>
            <w:vAlign w:val="center"/>
          </w:tcPr>
          <w:p>
            <w:pPr>
              <w:jc w:val="left"/>
            </w:pPr>
            <w:r>
              <w:rPr>
                <w:sz w:val="19"/>
              </w:rPr>
              <w:t>Qui a payé</w:t>
            </w:r>
          </w:p>
        </w:tc>
        <w:tc>
          <w:tcPr>
            <w:tcW w:type="dxa" w:w="3969"/>
            <w:tcMar>
              <w:top w:w="80" w:type="dxa"/>
              <w:start w:w="110" w:type="dxa"/>
              <w:bottom w:w="80" w:type="dxa"/>
              <w:end w:w="110" w:type="dxa"/>
            </w:tcMar>
            <w:vAlign w:val="center"/>
          </w:tcPr>
          <w:p>
            <w:pPr>
              <w:jc w:val="left"/>
            </w:pPr>
            <w:r>
              <w:rPr>
                <w:sz w:val="19"/>
              </w:rPr>
              <w:t>Nécessaire pour l’équilibre</w:t>
            </w:r>
          </w:p>
        </w:tc>
      </w:tr>
      <w:tr>
        <w:tc>
          <w:tcPr>
            <w:tcW w:type="dxa" w:w="1361"/>
            <w:tcMar>
              <w:top w:w="80" w:type="dxa"/>
              <w:start w:w="110" w:type="dxa"/>
              <w:bottom w:w="80" w:type="dxa"/>
              <w:end w:w="110" w:type="dxa"/>
            </w:tcMar>
            <w:vAlign w:val="center"/>
          </w:tcPr>
          <w:p>
            <w:pPr>
              <w:jc w:val="center"/>
            </w:pPr>
            <w:r>
              <w:rPr>
                <w:sz w:val="19"/>
              </w:rPr>
              <w:t>Répartition</w:t>
            </w:r>
          </w:p>
        </w:tc>
        <w:tc>
          <w:tcPr>
            <w:tcW w:type="dxa" w:w="3515"/>
            <w:tcMar>
              <w:top w:w="80" w:type="dxa"/>
              <w:start w:w="110" w:type="dxa"/>
              <w:bottom w:w="80" w:type="dxa"/>
              <w:end w:w="110" w:type="dxa"/>
            </w:tcMar>
            <w:vAlign w:val="center"/>
          </w:tcPr>
          <w:p>
            <w:pPr>
              <w:jc w:val="left"/>
            </w:pPr>
            <w:r>
              <w:rPr>
                <w:sz w:val="19"/>
              </w:rPr>
              <w:t>50/50, pourcentage custom, proportionnel</w:t>
            </w:r>
          </w:p>
        </w:tc>
        <w:tc>
          <w:tcPr>
            <w:tcW w:type="dxa" w:w="3969"/>
            <w:tcMar>
              <w:top w:w="80" w:type="dxa"/>
              <w:start w:w="110" w:type="dxa"/>
              <w:bottom w:w="80" w:type="dxa"/>
              <w:end w:w="110" w:type="dxa"/>
            </w:tcMar>
            <w:vAlign w:val="center"/>
          </w:tcPr>
          <w:p>
            <w:pPr>
              <w:jc w:val="left"/>
            </w:pPr>
            <w:r>
              <w:rPr>
                <w:sz w:val="19"/>
              </w:rPr>
              <w:t>Différenciation centrale</w:t>
            </w:r>
          </w:p>
        </w:tc>
      </w:tr>
      <w:tr>
        <w:tc>
          <w:tcPr>
            <w:tcW w:type="dxa" w:w="1361"/>
            <w:tcMar>
              <w:top w:w="80" w:type="dxa"/>
              <w:start w:w="110" w:type="dxa"/>
              <w:bottom w:w="80" w:type="dxa"/>
              <w:end w:w="110" w:type="dxa"/>
            </w:tcMar>
            <w:vAlign w:val="center"/>
          </w:tcPr>
          <w:p>
            <w:pPr>
              <w:jc w:val="center"/>
            </w:pPr>
            <w:r>
              <w:rPr>
                <w:sz w:val="19"/>
              </w:rPr>
              <w:t>Dashboard</w:t>
            </w:r>
          </w:p>
        </w:tc>
        <w:tc>
          <w:tcPr>
            <w:tcW w:type="dxa" w:w="3515"/>
            <w:tcMar>
              <w:top w:w="80" w:type="dxa"/>
              <w:start w:w="110" w:type="dxa"/>
              <w:bottom w:w="80" w:type="dxa"/>
              <w:end w:w="110" w:type="dxa"/>
            </w:tcMar>
            <w:vAlign w:val="center"/>
          </w:tcPr>
          <w:p>
            <w:pPr>
              <w:jc w:val="left"/>
            </w:pPr>
            <w:r>
              <w:rPr>
                <w:sz w:val="19"/>
              </w:rPr>
              <w:t>Ce mois-ci : dépensé, restant, top catégories</w:t>
            </w:r>
          </w:p>
        </w:tc>
        <w:tc>
          <w:tcPr>
            <w:tcW w:type="dxa" w:w="3969"/>
            <w:tcMar>
              <w:top w:w="80" w:type="dxa"/>
              <w:start w:w="110" w:type="dxa"/>
              <w:bottom w:w="80" w:type="dxa"/>
              <w:end w:w="110" w:type="dxa"/>
            </w:tcMar>
            <w:vAlign w:val="center"/>
          </w:tcPr>
          <w:p>
            <w:pPr>
              <w:jc w:val="left"/>
            </w:pPr>
            <w:r>
              <w:rPr>
                <w:sz w:val="19"/>
              </w:rPr>
              <w:t>Clarté immédiate</w:t>
            </w:r>
          </w:p>
        </w:tc>
      </w:tr>
      <w:tr>
        <w:tc>
          <w:tcPr>
            <w:tcW w:type="dxa" w:w="1361"/>
            <w:tcMar>
              <w:top w:w="80" w:type="dxa"/>
              <w:start w:w="110" w:type="dxa"/>
              <w:bottom w:w="80" w:type="dxa"/>
              <w:end w:w="110" w:type="dxa"/>
            </w:tcMar>
            <w:vAlign w:val="center"/>
          </w:tcPr>
          <w:p>
            <w:pPr>
              <w:jc w:val="center"/>
            </w:pPr>
            <w:r>
              <w:rPr>
                <w:sz w:val="19"/>
              </w:rPr>
              <w:t>Équilibre</w:t>
            </w:r>
          </w:p>
        </w:tc>
        <w:tc>
          <w:tcPr>
            <w:tcW w:type="dxa" w:w="3515"/>
            <w:tcMar>
              <w:top w:w="80" w:type="dxa"/>
              <w:start w:w="110" w:type="dxa"/>
              <w:bottom w:w="80" w:type="dxa"/>
              <w:end w:w="110" w:type="dxa"/>
            </w:tcMar>
            <w:vAlign w:val="center"/>
          </w:tcPr>
          <w:p>
            <w:pPr>
              <w:jc w:val="left"/>
            </w:pPr>
            <w:r>
              <w:rPr>
                <w:sz w:val="19"/>
              </w:rPr>
              <w:t>Vue “qui doit quoi” + marquer comme soldé</w:t>
            </w:r>
          </w:p>
        </w:tc>
        <w:tc>
          <w:tcPr>
            <w:tcW w:type="dxa" w:w="3969"/>
            <w:tcMar>
              <w:top w:w="80" w:type="dxa"/>
              <w:start w:w="110" w:type="dxa"/>
              <w:bottom w:w="80" w:type="dxa"/>
              <w:end w:w="110" w:type="dxa"/>
            </w:tcMar>
            <w:vAlign w:val="center"/>
          </w:tcPr>
          <w:p>
            <w:pPr>
              <w:jc w:val="left"/>
            </w:pPr>
            <w:r>
              <w:rPr>
                <w:sz w:val="19"/>
              </w:rPr>
              <w:t>Résout le problème principal</w:t>
            </w:r>
          </w:p>
        </w:tc>
      </w:tr>
      <w:tr>
        <w:tc>
          <w:tcPr>
            <w:tcW w:type="dxa" w:w="1361"/>
            <w:tcMar>
              <w:top w:w="80" w:type="dxa"/>
              <w:start w:w="110" w:type="dxa"/>
              <w:bottom w:w="80" w:type="dxa"/>
              <w:end w:w="110" w:type="dxa"/>
            </w:tcMar>
            <w:vAlign w:val="center"/>
          </w:tcPr>
          <w:p>
            <w:pPr>
              <w:jc w:val="center"/>
            </w:pPr>
            <w:r>
              <w:rPr>
                <w:sz w:val="19"/>
              </w:rPr>
              <w:t>Objectif</w:t>
            </w:r>
          </w:p>
        </w:tc>
        <w:tc>
          <w:tcPr>
            <w:tcW w:type="dxa" w:w="3515"/>
            <w:tcMar>
              <w:top w:w="80" w:type="dxa"/>
              <w:start w:w="110" w:type="dxa"/>
              <w:bottom w:w="80" w:type="dxa"/>
              <w:end w:w="110" w:type="dxa"/>
            </w:tcMar>
            <w:vAlign w:val="center"/>
          </w:tcPr>
          <w:p>
            <w:pPr>
              <w:jc w:val="left"/>
            </w:pPr>
            <w:r>
              <w:rPr>
                <w:sz w:val="19"/>
              </w:rPr>
              <w:t>Créer un objectif commun simple</w:t>
            </w:r>
          </w:p>
        </w:tc>
        <w:tc>
          <w:tcPr>
            <w:tcW w:type="dxa" w:w="3969"/>
            <w:tcMar>
              <w:top w:w="80" w:type="dxa"/>
              <w:start w:w="110" w:type="dxa"/>
              <w:bottom w:w="80" w:type="dxa"/>
              <w:end w:w="110" w:type="dxa"/>
            </w:tcMar>
            <w:vAlign w:val="center"/>
          </w:tcPr>
          <w:p>
            <w:pPr>
              <w:jc w:val="left"/>
            </w:pPr>
            <w:r>
              <w:rPr>
                <w:sz w:val="19"/>
              </w:rPr>
              <w:t>Projette le produit au-delà du tracking</w:t>
            </w:r>
          </w:p>
        </w:tc>
      </w:tr>
      <w:tr>
        <w:tc>
          <w:tcPr>
            <w:tcW w:type="dxa" w:w="1361"/>
            <w:tcMar>
              <w:top w:w="80" w:type="dxa"/>
              <w:start w:w="110" w:type="dxa"/>
              <w:bottom w:w="80" w:type="dxa"/>
              <w:end w:w="110" w:type="dxa"/>
            </w:tcMar>
            <w:vAlign w:val="center"/>
          </w:tcPr>
          <w:p>
            <w:pPr>
              <w:jc w:val="center"/>
            </w:pPr>
            <w:r>
              <w:rPr>
                <w:sz w:val="19"/>
              </w:rPr>
              <w:t>Récurrence</w:t>
            </w:r>
          </w:p>
        </w:tc>
        <w:tc>
          <w:tcPr>
            <w:tcW w:type="dxa" w:w="3515"/>
            <w:tcMar>
              <w:top w:w="80" w:type="dxa"/>
              <w:start w:w="110" w:type="dxa"/>
              <w:bottom w:w="80" w:type="dxa"/>
              <w:end w:w="110" w:type="dxa"/>
            </w:tcMar>
            <w:vAlign w:val="center"/>
          </w:tcPr>
          <w:p>
            <w:pPr>
              <w:jc w:val="left"/>
            </w:pPr>
            <w:r>
              <w:rPr>
                <w:sz w:val="19"/>
              </w:rPr>
              <w:t>Charges mensuelles de base</w:t>
            </w:r>
          </w:p>
        </w:tc>
        <w:tc>
          <w:tcPr>
            <w:tcW w:type="dxa" w:w="3969"/>
            <w:tcMar>
              <w:top w:w="80" w:type="dxa"/>
              <w:start w:w="110" w:type="dxa"/>
              <w:bottom w:w="80" w:type="dxa"/>
              <w:end w:w="110" w:type="dxa"/>
            </w:tcMar>
            <w:vAlign w:val="center"/>
          </w:tcPr>
          <w:p>
            <w:pPr>
              <w:jc w:val="left"/>
            </w:pPr>
            <w:r>
              <w:rPr>
                <w:sz w:val="19"/>
              </w:rPr>
              <w:t>Évite la ressaisie inutile</w:t>
            </w:r>
          </w:p>
        </w:tc>
      </w:tr>
    </w:tbl>
    <w:p>
      <w:pPr>
        <w:spacing w:after="60"/>
      </w:pPr>
    </w:p>
    <w:p>
      <w:pPr>
        <w:pStyle w:val="Heading2"/>
        <w:spacing w:after="80"/>
      </w:pPr>
      <w:r>
        <w:rPr>
          <w:b w:val="0"/>
        </w:rPr>
        <w:t>7.2 MVP ambitieux — à lancer juste après</w:t>
      </w:r>
    </w:p>
    <w:p>
      <w:pPr>
        <w:spacing w:after="40"/>
        <w:ind w:left="283"/>
      </w:pPr>
      <w:r>
        <w:rPr>
          <w:sz w:val="21"/>
        </w:rPr>
        <w:t>• Budgets par catégorie avec barres de progression.</w:t>
      </w:r>
    </w:p>
    <w:p>
      <w:pPr>
        <w:spacing w:after="40"/>
        <w:ind w:left="283"/>
      </w:pPr>
      <w:r>
        <w:rPr>
          <w:sz w:val="21"/>
        </w:rPr>
        <w:t>• Tags personnalisés supplémentaires.</w:t>
      </w:r>
    </w:p>
    <w:p>
      <w:pPr>
        <w:spacing w:after="40"/>
        <w:ind w:left="283"/>
      </w:pPr>
      <w:r>
        <w:rPr>
          <w:sz w:val="21"/>
        </w:rPr>
        <w:t>• Historique des régularisations.</w:t>
      </w:r>
    </w:p>
    <w:p>
      <w:pPr>
        <w:spacing w:after="40"/>
        <w:ind w:left="283"/>
      </w:pPr>
      <w:r>
        <w:rPr>
          <w:sz w:val="21"/>
        </w:rPr>
        <w:t>• Point mensuel simple généré à partir des données du mois.</w:t>
      </w:r>
    </w:p>
    <w:p>
      <w:pPr>
        <w:spacing w:after="40"/>
        <w:ind w:left="283"/>
      </w:pPr>
      <w:r>
        <w:rPr>
          <w:sz w:val="21"/>
        </w:rPr>
        <w:t>• Export CSV/PDF.</w:t>
      </w:r>
    </w:p>
    <w:p>
      <w:pPr>
        <w:spacing w:after="40"/>
        <w:ind w:left="283"/>
      </w:pPr>
      <w:r>
        <w:rPr>
          <w:sz w:val="21"/>
        </w:rPr>
        <w:t>• Notifications sur les charges à venir.</w:t>
      </w:r>
    </w:p>
    <w:p>
      <w:pPr>
        <w:pStyle w:val="Heading2"/>
        <w:spacing w:after="80"/>
      </w:pPr>
      <w:r>
        <w:rPr>
          <w:b w:val="0"/>
        </w:rPr>
        <w:t>7.3 V2</w:t>
      </w:r>
    </w:p>
    <w:p>
      <w:pPr>
        <w:spacing w:after="40"/>
        <w:ind w:left="283"/>
      </w:pPr>
      <w:r>
        <w:rPr>
          <w:sz w:val="21"/>
        </w:rPr>
        <w:t>• Projection fin de mois.</w:t>
      </w:r>
    </w:p>
    <w:p>
      <w:pPr>
        <w:spacing w:after="40"/>
        <w:ind w:left="283"/>
      </w:pPr>
      <w:r>
        <w:rPr>
          <w:sz w:val="21"/>
        </w:rPr>
        <w:t>• Abonnements et calendrier des charges.</w:t>
      </w:r>
    </w:p>
    <w:p>
      <w:pPr>
        <w:spacing w:after="40"/>
        <w:ind w:left="283"/>
      </w:pPr>
      <w:r>
        <w:rPr>
          <w:sz w:val="21"/>
        </w:rPr>
        <w:t>• Règles avancées par catégorie ou commerçant.</w:t>
      </w:r>
    </w:p>
    <w:p>
      <w:pPr>
        <w:spacing w:after="40"/>
        <w:ind w:left="283"/>
      </w:pPr>
      <w:r>
        <w:rPr>
          <w:sz w:val="21"/>
        </w:rPr>
        <w:t>• Commentaires / validation légère entre partenaires.</w:t>
      </w:r>
    </w:p>
    <w:p>
      <w:pPr>
        <w:spacing w:after="40"/>
        <w:ind w:left="283"/>
      </w:pPr>
      <w:r>
        <w:rPr>
          <w:sz w:val="21"/>
        </w:rPr>
        <w:t>• Résumé mensuel narratif.</w:t>
      </w:r>
    </w:p>
    <w:p>
      <w:pPr>
        <w:spacing w:after="40"/>
        <w:ind w:left="283"/>
      </w:pPr>
      <w:r>
        <w:rPr>
          <w:sz w:val="21"/>
        </w:rPr>
        <w:t>• Contrat financier du couple.</w:t>
      </w:r>
    </w:p>
    <w:p>
      <w:pPr>
        <w:spacing w:after="40"/>
        <w:ind w:left="283"/>
      </w:pPr>
      <w:r>
        <w:rPr>
          <w:sz w:val="21"/>
        </w:rPr>
        <w:t>• Simulateur de projet (vacances, travaux, déménagement).</w:t>
      </w:r>
    </w:p>
    <w:p>
      <w:pPr>
        <w:spacing w:after="40"/>
        <w:ind w:left="283"/>
      </w:pPr>
      <w:r>
        <w:rPr>
          <w:sz w:val="21"/>
        </w:rPr>
        <w:t>• Dashboard famille / mode foyer enrichi.</w:t>
      </w:r>
    </w:p>
    <w:p>
      <w:pPr>
        <w:pStyle w:val="Heading2"/>
        <w:spacing w:after="80"/>
      </w:pPr>
      <w:r>
        <w:rPr>
          <w:b w:val="0"/>
        </w:rPr>
        <w:t>7.4 V3</w:t>
      </w:r>
    </w:p>
    <w:p>
      <w:pPr>
        <w:spacing w:after="40"/>
        <w:ind w:left="283"/>
      </w:pPr>
      <w:r>
        <w:rPr>
          <w:sz w:val="21"/>
        </w:rPr>
        <w:t>• Connexion bancaire et import automatisé.</w:t>
      </w:r>
    </w:p>
    <w:p>
      <w:pPr>
        <w:spacing w:after="40"/>
        <w:ind w:left="283"/>
      </w:pPr>
      <w:r>
        <w:rPr>
          <w:sz w:val="21"/>
        </w:rPr>
        <w:t>• OCR tickets / scan facture.</w:t>
      </w:r>
    </w:p>
    <w:p>
      <w:pPr>
        <w:spacing w:after="40"/>
        <w:ind w:left="283"/>
      </w:pPr>
      <w:r>
        <w:rPr>
          <w:sz w:val="21"/>
        </w:rPr>
        <w:t>• Copilote conversationnel en lecture seule.</w:t>
      </w:r>
    </w:p>
    <w:p>
      <w:pPr>
        <w:spacing w:after="40"/>
        <w:ind w:left="283"/>
      </w:pPr>
      <w:r>
        <w:rPr>
          <w:sz w:val="21"/>
        </w:rPr>
        <w:t>• Détection avancée des anomalies et abonnements oubliés.</w:t>
      </w:r>
    </w:p>
    <w:p>
      <w:pPr>
        <w:spacing w:after="40"/>
        <w:ind w:left="283"/>
      </w:pPr>
      <w:r>
        <w:rPr>
          <w:sz w:val="21"/>
        </w:rPr>
        <w:t>• Scénarios de vie et patrimoine léger.</w:t>
      </w:r>
    </w:p>
    <w:p>
      <w:pPr>
        <w:spacing w:after="40"/>
        <w:ind w:left="283"/>
      </w:pPr>
      <w:r>
        <w:rPr>
          <w:sz w:val="21"/>
        </w:rPr>
        <w:t>• Espace documents et coffre de décisions.</w:t>
      </w:r>
    </w:p>
    <w:p>
      <w:pPr>
        <w:pStyle w:val="Heading1"/>
        <w:spacing w:after="120"/>
      </w:pPr>
      <w:r>
        <w:rPr>
          <w:b w:val="0"/>
        </w:rPr>
        <w:t>8. Backlog fonctionnel large</w:t>
      </w:r>
    </w:p>
    <w:p>
      <w:pPr>
        <w:spacing w:after="80"/>
      </w:pPr>
      <w:r>
        <w:rPr>
          <w:b w:val="0"/>
        </w:rPr>
        <w:t>Catalogue volontairement large pour référence. Tout ce qui suit n’est pas prioritaire, mais sert de réservoir.</w:t>
      </w:r>
    </w:p>
    <w:p>
      <w:pPr>
        <w:pStyle w:val="Heading3"/>
        <w:spacing w:after="40"/>
      </w:pPr>
      <w:r>
        <w:rPr>
          <w:b w:val="0"/>
        </w:rPr>
        <w:t>Dépenses</w:t>
      </w:r>
    </w:p>
    <w:p>
      <w:pPr>
        <w:spacing w:after="40"/>
        <w:ind w:left="567"/>
      </w:pPr>
      <w:r>
        <w:rPr>
          <w:sz w:val="21"/>
        </w:rPr>
        <w:t>• duplication d’une dépense</w:t>
      </w:r>
    </w:p>
    <w:p>
      <w:pPr>
        <w:spacing w:after="40"/>
        <w:ind w:left="567"/>
      </w:pPr>
      <w:r>
        <w:rPr>
          <w:sz w:val="21"/>
        </w:rPr>
        <w:t>• paiement en plusieurs fois</w:t>
      </w:r>
    </w:p>
    <w:p>
      <w:pPr>
        <w:spacing w:after="40"/>
        <w:ind w:left="567"/>
      </w:pPr>
      <w:r>
        <w:rPr>
          <w:sz w:val="21"/>
        </w:rPr>
        <w:t>• pièce jointe</w:t>
      </w:r>
    </w:p>
    <w:p>
      <w:pPr>
        <w:spacing w:after="40"/>
        <w:ind w:left="567"/>
      </w:pPr>
      <w:r>
        <w:rPr>
          <w:sz w:val="21"/>
        </w:rPr>
        <w:t>• rappels</w:t>
      </w:r>
    </w:p>
    <w:p>
      <w:pPr>
        <w:spacing w:after="40"/>
        <w:ind w:left="567"/>
      </w:pPr>
      <w:r>
        <w:rPr>
          <w:sz w:val="21"/>
        </w:rPr>
        <w:t>• favoris de saisie</w:t>
      </w:r>
    </w:p>
    <w:p>
      <w:pPr>
        <w:pStyle w:val="Heading3"/>
        <w:spacing w:after="40"/>
      </w:pPr>
      <w:r>
        <w:rPr>
          <w:b w:val="0"/>
        </w:rPr>
        <w:t>Répartition</w:t>
      </w:r>
    </w:p>
    <w:p>
      <w:pPr>
        <w:spacing w:after="40"/>
        <w:ind w:left="567"/>
      </w:pPr>
      <w:r>
        <w:rPr>
          <w:sz w:val="21"/>
        </w:rPr>
        <w:t>• règles par catégorie</w:t>
      </w:r>
    </w:p>
    <w:p>
      <w:pPr>
        <w:spacing w:after="40"/>
        <w:ind w:left="567"/>
      </w:pPr>
      <w:r>
        <w:rPr>
          <w:sz w:val="21"/>
        </w:rPr>
        <w:t>• règles par commerçant</w:t>
      </w:r>
    </w:p>
    <w:p>
      <w:pPr>
        <w:spacing w:after="40"/>
        <w:ind w:left="567"/>
      </w:pPr>
      <w:r>
        <w:rPr>
          <w:sz w:val="21"/>
        </w:rPr>
        <w:t>• cadeau non remboursable</w:t>
      </w:r>
    </w:p>
    <w:p>
      <w:pPr>
        <w:spacing w:after="40"/>
        <w:ind w:left="567"/>
      </w:pPr>
      <w:r>
        <w:rPr>
          <w:sz w:val="21"/>
        </w:rPr>
        <w:t>• avance exceptionnelle</w:t>
      </w:r>
    </w:p>
    <w:p>
      <w:pPr>
        <w:spacing w:after="40"/>
        <w:ind w:left="567"/>
      </w:pPr>
      <w:r>
        <w:rPr>
          <w:sz w:val="21"/>
        </w:rPr>
        <w:t>• solde partiel</w:t>
      </w:r>
    </w:p>
    <w:p>
      <w:pPr>
        <w:pStyle w:val="Heading3"/>
        <w:spacing w:after="40"/>
      </w:pPr>
      <w:r>
        <w:rPr>
          <w:b w:val="0"/>
        </w:rPr>
        <w:t>Pilotage</w:t>
      </w:r>
    </w:p>
    <w:p>
      <w:pPr>
        <w:spacing w:after="40"/>
        <w:ind w:left="567"/>
      </w:pPr>
      <w:r>
        <w:rPr>
          <w:sz w:val="21"/>
        </w:rPr>
        <w:t>• score de stabilité mensuelle</w:t>
      </w:r>
    </w:p>
    <w:p>
      <w:pPr>
        <w:spacing w:after="40"/>
        <w:ind w:left="567"/>
      </w:pPr>
      <w:r>
        <w:rPr>
          <w:sz w:val="21"/>
        </w:rPr>
        <w:t>• mois à risque</w:t>
      </w:r>
    </w:p>
    <w:p>
      <w:pPr>
        <w:spacing w:after="40"/>
        <w:ind w:left="567"/>
      </w:pPr>
      <w:r>
        <w:rPr>
          <w:sz w:val="21"/>
        </w:rPr>
        <w:t>• marge de sécurité</w:t>
      </w:r>
    </w:p>
    <w:p>
      <w:pPr>
        <w:spacing w:after="40"/>
        <w:ind w:left="567"/>
      </w:pPr>
      <w:r>
        <w:rPr>
          <w:sz w:val="21"/>
        </w:rPr>
        <w:t>• charge fixe vs variable</w:t>
      </w:r>
    </w:p>
    <w:p>
      <w:pPr>
        <w:pStyle w:val="Heading3"/>
        <w:spacing w:after="40"/>
      </w:pPr>
      <w:r>
        <w:rPr>
          <w:b w:val="0"/>
        </w:rPr>
        <w:t>Objectifs</w:t>
      </w:r>
    </w:p>
    <w:p>
      <w:pPr>
        <w:spacing w:after="40"/>
        <w:ind w:left="567"/>
      </w:pPr>
      <w:r>
        <w:rPr>
          <w:sz w:val="21"/>
        </w:rPr>
        <w:t>• priorités multiples</w:t>
      </w:r>
    </w:p>
    <w:p>
      <w:pPr>
        <w:spacing w:after="40"/>
        <w:ind w:left="567"/>
      </w:pPr>
      <w:r>
        <w:rPr>
          <w:sz w:val="21"/>
        </w:rPr>
        <w:t>• objectif solo vs commun</w:t>
      </w:r>
    </w:p>
    <w:p>
      <w:pPr>
        <w:spacing w:after="40"/>
        <w:ind w:left="567"/>
      </w:pPr>
      <w:r>
        <w:rPr>
          <w:sz w:val="21"/>
        </w:rPr>
        <w:t>• timeline d’avancement</w:t>
      </w:r>
    </w:p>
    <w:p>
      <w:pPr>
        <w:spacing w:after="40"/>
        <w:ind w:left="567"/>
      </w:pPr>
      <w:r>
        <w:rPr>
          <w:sz w:val="21"/>
        </w:rPr>
        <w:t>• contribution automatique</w:t>
      </w:r>
    </w:p>
    <w:p>
      <w:pPr>
        <w:pStyle w:val="Heading3"/>
        <w:spacing w:after="40"/>
      </w:pPr>
      <w:r>
        <w:rPr>
          <w:b w:val="0"/>
        </w:rPr>
        <w:t>Collaboration</w:t>
      </w:r>
    </w:p>
    <w:p>
      <w:pPr>
        <w:spacing w:after="40"/>
        <w:ind w:left="567"/>
      </w:pPr>
      <w:r>
        <w:rPr>
          <w:sz w:val="21"/>
        </w:rPr>
        <w:t>• commentaire sur une dépense</w:t>
      </w:r>
    </w:p>
    <w:p>
      <w:pPr>
        <w:spacing w:after="40"/>
        <w:ind w:left="567"/>
      </w:pPr>
      <w:r>
        <w:rPr>
          <w:sz w:val="21"/>
        </w:rPr>
        <w:t>• statut à discuter</w:t>
      </w:r>
    </w:p>
    <w:p>
      <w:pPr>
        <w:spacing w:after="40"/>
        <w:ind w:left="567"/>
      </w:pPr>
      <w:r>
        <w:rPr>
          <w:sz w:val="21"/>
        </w:rPr>
        <w:t>• validation d’une régularisation</w:t>
      </w:r>
    </w:p>
    <w:p>
      <w:pPr>
        <w:spacing w:after="40"/>
        <w:ind w:left="567"/>
      </w:pPr>
      <w:r>
        <w:rPr>
          <w:sz w:val="21"/>
        </w:rPr>
        <w:t>• notes de réunion</w:t>
      </w:r>
    </w:p>
    <w:p>
      <w:pPr>
        <w:pStyle w:val="Heading3"/>
        <w:spacing w:after="40"/>
      </w:pPr>
      <w:r>
        <w:rPr>
          <w:b w:val="0"/>
        </w:rPr>
        <w:t>IA</w:t>
      </w:r>
    </w:p>
    <w:p>
      <w:pPr>
        <w:spacing w:after="40"/>
        <w:ind w:left="567"/>
      </w:pPr>
      <w:r>
        <w:rPr>
          <w:sz w:val="21"/>
        </w:rPr>
        <w:t>• catégorisation automatique</w:t>
      </w:r>
    </w:p>
    <w:p>
      <w:pPr>
        <w:spacing w:after="40"/>
        <w:ind w:left="567"/>
      </w:pPr>
      <w:r>
        <w:rPr>
          <w:sz w:val="21"/>
        </w:rPr>
        <w:t>• résumé hebdo</w:t>
      </w:r>
    </w:p>
    <w:p>
      <w:pPr>
        <w:spacing w:after="40"/>
        <w:ind w:left="567"/>
      </w:pPr>
      <w:r>
        <w:rPr>
          <w:sz w:val="21"/>
        </w:rPr>
        <w:t>• détection de doublons</w:t>
      </w:r>
    </w:p>
    <w:p>
      <w:pPr>
        <w:spacing w:after="40"/>
        <w:ind w:left="567"/>
      </w:pPr>
      <w:r>
        <w:rPr>
          <w:sz w:val="21"/>
        </w:rPr>
        <w:t>• suggestions d’épargne</w:t>
      </w:r>
    </w:p>
    <w:p>
      <w:pPr>
        <w:spacing w:after="40"/>
        <w:ind w:left="567"/>
      </w:pPr>
      <w:r>
        <w:rPr>
          <w:sz w:val="21"/>
        </w:rPr>
        <w:t>• réponse en langage naturel</w:t>
      </w:r>
    </w:p>
    <w:p>
      <w:pPr>
        <w:pStyle w:val="Heading3"/>
        <w:spacing w:after="40"/>
      </w:pPr>
      <w:r>
        <w:rPr>
          <w:b w:val="0"/>
        </w:rPr>
        <w:t>Non conventionnel</w:t>
      </w:r>
    </w:p>
    <w:p>
      <w:pPr>
        <w:spacing w:after="40"/>
        <w:ind w:left="567"/>
      </w:pPr>
      <w:r>
        <w:rPr>
          <w:sz w:val="21"/>
        </w:rPr>
        <w:t>• mode charge mentale</w:t>
      </w:r>
    </w:p>
    <w:p>
      <w:pPr>
        <w:spacing w:after="40"/>
        <w:ind w:left="567"/>
      </w:pPr>
      <w:r>
        <w:rPr>
          <w:sz w:val="21"/>
        </w:rPr>
        <w:t>• mode avant dispute</w:t>
      </w:r>
    </w:p>
    <w:p>
      <w:pPr>
        <w:spacing w:after="40"/>
        <w:ind w:left="567"/>
      </w:pPr>
      <w:r>
        <w:rPr>
          <w:sz w:val="21"/>
        </w:rPr>
        <w:t>• carte “ce que ce mois raconte”</w:t>
      </w:r>
    </w:p>
    <w:p>
      <w:pPr>
        <w:spacing w:after="40"/>
        <w:ind w:left="567"/>
      </w:pPr>
      <w:r>
        <w:rPr>
          <w:sz w:val="21"/>
        </w:rPr>
        <w:t>• contrat financier</w:t>
      </w:r>
    </w:p>
    <w:p>
      <w:pPr>
        <w:spacing w:after="40"/>
        <w:ind w:left="567"/>
      </w:pPr>
      <w:r>
        <w:rPr>
          <w:sz w:val="21"/>
        </w:rPr>
        <w:t>• coffre de décisions</w:t>
      </w:r>
    </w:p>
    <w:p>
      <w:pPr>
        <w:pStyle w:val="Heading1"/>
        <w:spacing w:after="120"/>
      </w:pPr>
      <w:r>
        <w:rPr>
          <w:b w:val="0"/>
        </w:rPr>
        <w:t>9. Architecture des écrans</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EAF0FF"/>
            <w:tcMar>
              <w:top w:w="100" w:type="dxa"/>
              <w:start w:w="120" w:type="dxa"/>
              <w:bottom w:w="100" w:type="dxa"/>
              <w:end w:w="120" w:type="dxa"/>
            </w:tcMar>
            <w:vAlign w:val="center"/>
          </w:tcPr>
          <w:p>
            <w:pPr>
              <w:jc w:val="center"/>
            </w:pPr>
            <w:r>
              <w:rPr>
                <w:b/>
                <w:sz w:val="20"/>
              </w:rPr>
              <w:t>Écran</w:t>
            </w:r>
          </w:p>
        </w:tc>
        <w:tc>
          <w:tcPr>
            <w:tcW w:type="dxa" w:w="3061"/>
            <w:shd w:fill="EAF0FF"/>
            <w:tcMar>
              <w:top w:w="100" w:type="dxa"/>
              <w:start w:w="120" w:type="dxa"/>
              <w:bottom w:w="100" w:type="dxa"/>
              <w:end w:w="120" w:type="dxa"/>
            </w:tcMar>
            <w:vAlign w:val="center"/>
          </w:tcPr>
          <w:p>
            <w:pPr>
              <w:jc w:val="center"/>
            </w:pPr>
            <w:r>
              <w:rPr>
                <w:b/>
                <w:sz w:val="20"/>
              </w:rPr>
              <w:t>Objectif</w:t>
            </w:r>
          </w:p>
        </w:tc>
        <w:tc>
          <w:tcPr>
            <w:tcW w:type="dxa" w:w="3458"/>
            <w:shd w:fill="EAF0FF"/>
            <w:tcMar>
              <w:top w:w="100" w:type="dxa"/>
              <w:start w:w="120" w:type="dxa"/>
              <w:bottom w:w="100" w:type="dxa"/>
              <w:end w:w="120" w:type="dxa"/>
            </w:tcMar>
            <w:vAlign w:val="center"/>
          </w:tcPr>
          <w:p>
            <w:pPr>
              <w:jc w:val="center"/>
            </w:pPr>
            <w:r>
              <w:rPr>
                <w:b/>
                <w:sz w:val="20"/>
              </w:rPr>
              <w:t>Contenu minimum</w:t>
            </w:r>
          </w:p>
        </w:tc>
      </w:tr>
      <w:tr>
        <w:tc>
          <w:tcPr>
            <w:tcW w:type="dxa" w:w="1701"/>
            <w:tcMar>
              <w:top w:w="80" w:type="dxa"/>
              <w:start w:w="110" w:type="dxa"/>
              <w:bottom w:w="80" w:type="dxa"/>
              <w:end w:w="110" w:type="dxa"/>
            </w:tcMar>
            <w:vAlign w:val="center"/>
          </w:tcPr>
          <w:p>
            <w:pPr>
              <w:jc w:val="center"/>
            </w:pPr>
            <w:r>
              <w:rPr>
                <w:sz w:val="19"/>
              </w:rPr>
              <w:t>Accueil</w:t>
            </w:r>
          </w:p>
        </w:tc>
        <w:tc>
          <w:tcPr>
            <w:tcW w:type="dxa" w:w="3061"/>
            <w:tcMar>
              <w:top w:w="80" w:type="dxa"/>
              <w:start w:w="110" w:type="dxa"/>
              <w:bottom w:w="80" w:type="dxa"/>
              <w:end w:w="110" w:type="dxa"/>
            </w:tcMar>
            <w:vAlign w:val="center"/>
          </w:tcPr>
          <w:p>
            <w:pPr>
              <w:jc w:val="left"/>
            </w:pPr>
            <w:r>
              <w:rPr>
                <w:sz w:val="19"/>
              </w:rPr>
              <w:t>Comprendre le mois en 10 secondes</w:t>
            </w:r>
          </w:p>
        </w:tc>
        <w:tc>
          <w:tcPr>
            <w:tcW w:type="dxa" w:w="3458"/>
            <w:tcMar>
              <w:top w:w="80" w:type="dxa"/>
              <w:start w:w="110" w:type="dxa"/>
              <w:bottom w:w="80" w:type="dxa"/>
              <w:end w:w="110" w:type="dxa"/>
            </w:tcMar>
            <w:vAlign w:val="center"/>
          </w:tcPr>
          <w:p>
            <w:pPr>
              <w:jc w:val="left"/>
            </w:pPr>
            <w:r>
              <w:rPr>
                <w:sz w:val="19"/>
              </w:rPr>
              <w:t>Dépensé, restant, équilibre, objectif, prochaine charge</w:t>
            </w:r>
          </w:p>
        </w:tc>
      </w:tr>
      <w:tr>
        <w:tc>
          <w:tcPr>
            <w:tcW w:type="dxa" w:w="1701"/>
            <w:tcMar>
              <w:top w:w="80" w:type="dxa"/>
              <w:start w:w="110" w:type="dxa"/>
              <w:bottom w:w="80" w:type="dxa"/>
              <w:end w:w="110" w:type="dxa"/>
            </w:tcMar>
            <w:vAlign w:val="center"/>
          </w:tcPr>
          <w:p>
            <w:pPr>
              <w:jc w:val="left"/>
            </w:pPr>
            <w:r>
              <w:rPr>
                <w:sz w:val="19"/>
              </w:rPr>
              <w:t>Ajouter une dépense</w:t>
            </w:r>
          </w:p>
        </w:tc>
        <w:tc>
          <w:tcPr>
            <w:tcW w:type="dxa" w:w="3061"/>
            <w:tcMar>
              <w:top w:w="80" w:type="dxa"/>
              <w:start w:w="110" w:type="dxa"/>
              <w:bottom w:w="80" w:type="dxa"/>
              <w:end w:w="110" w:type="dxa"/>
            </w:tcMar>
            <w:vAlign w:val="center"/>
          </w:tcPr>
          <w:p>
            <w:pPr>
              <w:jc w:val="left"/>
            </w:pPr>
            <w:r>
              <w:rPr>
                <w:sz w:val="19"/>
              </w:rPr>
              <w:t>Saisie en moins de 15 secondes</w:t>
            </w:r>
          </w:p>
        </w:tc>
        <w:tc>
          <w:tcPr>
            <w:tcW w:type="dxa" w:w="3458"/>
            <w:tcMar>
              <w:top w:w="80" w:type="dxa"/>
              <w:start w:w="110" w:type="dxa"/>
              <w:bottom w:w="80" w:type="dxa"/>
              <w:end w:w="110" w:type="dxa"/>
            </w:tcMar>
            <w:vAlign w:val="center"/>
          </w:tcPr>
          <w:p>
            <w:pPr>
              <w:jc w:val="left"/>
            </w:pPr>
            <w:r>
              <w:rPr>
                <w:sz w:val="19"/>
              </w:rPr>
              <w:t>Montant, catégorie, payé par, type, règle</w:t>
            </w:r>
          </w:p>
        </w:tc>
      </w:tr>
      <w:tr>
        <w:tc>
          <w:tcPr>
            <w:tcW w:type="dxa" w:w="1701"/>
            <w:tcMar>
              <w:top w:w="80" w:type="dxa"/>
              <w:start w:w="110" w:type="dxa"/>
              <w:bottom w:w="80" w:type="dxa"/>
              <w:end w:w="110" w:type="dxa"/>
            </w:tcMar>
            <w:vAlign w:val="center"/>
          </w:tcPr>
          <w:p>
            <w:pPr>
              <w:jc w:val="center"/>
            </w:pPr>
            <w:r>
              <w:rPr>
                <w:sz w:val="19"/>
              </w:rPr>
              <w:t>Dépenses</w:t>
            </w:r>
          </w:p>
        </w:tc>
        <w:tc>
          <w:tcPr>
            <w:tcW w:type="dxa" w:w="3061"/>
            <w:tcMar>
              <w:top w:w="80" w:type="dxa"/>
              <w:start w:w="110" w:type="dxa"/>
              <w:bottom w:w="80" w:type="dxa"/>
              <w:end w:w="110" w:type="dxa"/>
            </w:tcMar>
            <w:vAlign w:val="center"/>
          </w:tcPr>
          <w:p>
            <w:pPr>
              <w:jc w:val="left"/>
            </w:pPr>
            <w:r>
              <w:rPr>
                <w:sz w:val="19"/>
              </w:rPr>
              <w:t>Voir et filtrer l’historique</w:t>
            </w:r>
          </w:p>
        </w:tc>
        <w:tc>
          <w:tcPr>
            <w:tcW w:type="dxa" w:w="3458"/>
            <w:tcMar>
              <w:top w:w="80" w:type="dxa"/>
              <w:start w:w="110" w:type="dxa"/>
              <w:bottom w:w="80" w:type="dxa"/>
              <w:end w:w="110" w:type="dxa"/>
            </w:tcMar>
            <w:vAlign w:val="center"/>
          </w:tcPr>
          <w:p>
            <w:pPr>
              <w:jc w:val="left"/>
            </w:pPr>
            <w:r>
              <w:rPr>
                <w:sz w:val="19"/>
              </w:rPr>
              <w:t>Liste, filtres, recherche, édition</w:t>
            </w:r>
          </w:p>
        </w:tc>
      </w:tr>
      <w:tr>
        <w:tc>
          <w:tcPr>
            <w:tcW w:type="dxa" w:w="1701"/>
            <w:tcMar>
              <w:top w:w="80" w:type="dxa"/>
              <w:start w:w="110" w:type="dxa"/>
              <w:bottom w:w="80" w:type="dxa"/>
              <w:end w:w="110" w:type="dxa"/>
            </w:tcMar>
            <w:vAlign w:val="center"/>
          </w:tcPr>
          <w:p>
            <w:pPr>
              <w:jc w:val="center"/>
            </w:pPr>
            <w:r>
              <w:rPr>
                <w:sz w:val="19"/>
              </w:rPr>
              <w:t>Répartition</w:t>
            </w:r>
          </w:p>
        </w:tc>
        <w:tc>
          <w:tcPr>
            <w:tcW w:type="dxa" w:w="3061"/>
            <w:tcMar>
              <w:top w:w="80" w:type="dxa"/>
              <w:start w:w="110" w:type="dxa"/>
              <w:bottom w:w="80" w:type="dxa"/>
              <w:end w:w="110" w:type="dxa"/>
            </w:tcMar>
            <w:vAlign w:val="center"/>
          </w:tcPr>
          <w:p>
            <w:pPr>
              <w:jc w:val="left"/>
            </w:pPr>
            <w:r>
              <w:rPr>
                <w:sz w:val="19"/>
              </w:rPr>
              <w:t>Décider des régularisations</w:t>
            </w:r>
          </w:p>
        </w:tc>
        <w:tc>
          <w:tcPr>
            <w:tcW w:type="dxa" w:w="3458"/>
            <w:tcMar>
              <w:top w:w="80" w:type="dxa"/>
              <w:start w:w="110" w:type="dxa"/>
              <w:bottom w:w="80" w:type="dxa"/>
              <w:end w:w="110" w:type="dxa"/>
            </w:tcMar>
            <w:vAlign w:val="center"/>
          </w:tcPr>
          <w:p>
            <w:pPr>
              <w:jc w:val="left"/>
            </w:pPr>
            <w:r>
              <w:rPr>
                <w:sz w:val="19"/>
              </w:rPr>
              <w:t>Écart actuel, historique soldé, action recommandée</w:t>
            </w:r>
          </w:p>
        </w:tc>
      </w:tr>
      <w:tr>
        <w:tc>
          <w:tcPr>
            <w:tcW w:type="dxa" w:w="1701"/>
            <w:tcMar>
              <w:top w:w="80" w:type="dxa"/>
              <w:start w:w="110" w:type="dxa"/>
              <w:bottom w:w="80" w:type="dxa"/>
              <w:end w:w="110" w:type="dxa"/>
            </w:tcMar>
            <w:vAlign w:val="center"/>
          </w:tcPr>
          <w:p>
            <w:pPr>
              <w:jc w:val="center"/>
            </w:pPr>
            <w:r>
              <w:rPr>
                <w:sz w:val="19"/>
              </w:rPr>
              <w:t>Objectifs</w:t>
            </w:r>
          </w:p>
        </w:tc>
        <w:tc>
          <w:tcPr>
            <w:tcW w:type="dxa" w:w="3061"/>
            <w:tcMar>
              <w:top w:w="80" w:type="dxa"/>
              <w:start w:w="110" w:type="dxa"/>
              <w:bottom w:w="80" w:type="dxa"/>
              <w:end w:w="110" w:type="dxa"/>
            </w:tcMar>
            <w:vAlign w:val="center"/>
          </w:tcPr>
          <w:p>
            <w:pPr>
              <w:jc w:val="left"/>
            </w:pPr>
            <w:r>
              <w:rPr>
                <w:sz w:val="19"/>
              </w:rPr>
              <w:t>Suivre les projets communs</w:t>
            </w:r>
          </w:p>
        </w:tc>
        <w:tc>
          <w:tcPr>
            <w:tcW w:type="dxa" w:w="3458"/>
            <w:tcMar>
              <w:top w:w="80" w:type="dxa"/>
              <w:start w:w="110" w:type="dxa"/>
              <w:bottom w:w="80" w:type="dxa"/>
              <w:end w:w="110" w:type="dxa"/>
            </w:tcMar>
            <w:vAlign w:val="center"/>
          </w:tcPr>
          <w:p>
            <w:pPr>
              <w:jc w:val="left"/>
            </w:pPr>
            <w:r>
              <w:rPr>
                <w:sz w:val="19"/>
              </w:rPr>
              <w:t>Montant cible, déjà mis, rythme conseillé</w:t>
            </w:r>
          </w:p>
        </w:tc>
      </w:tr>
      <w:tr>
        <w:tc>
          <w:tcPr>
            <w:tcW w:type="dxa" w:w="1701"/>
            <w:tcMar>
              <w:top w:w="80" w:type="dxa"/>
              <w:start w:w="110" w:type="dxa"/>
              <w:bottom w:w="80" w:type="dxa"/>
              <w:end w:w="110" w:type="dxa"/>
            </w:tcMar>
            <w:vAlign w:val="center"/>
          </w:tcPr>
          <w:p>
            <w:pPr>
              <w:jc w:val="center"/>
            </w:pPr>
            <w:r>
              <w:rPr>
                <w:sz w:val="19"/>
              </w:rPr>
              <w:t>Paramètres foyer</w:t>
            </w:r>
          </w:p>
        </w:tc>
        <w:tc>
          <w:tcPr>
            <w:tcW w:type="dxa" w:w="3061"/>
            <w:tcMar>
              <w:top w:w="80" w:type="dxa"/>
              <w:start w:w="110" w:type="dxa"/>
              <w:bottom w:w="80" w:type="dxa"/>
              <w:end w:w="110" w:type="dxa"/>
            </w:tcMar>
            <w:vAlign w:val="center"/>
          </w:tcPr>
          <w:p>
            <w:pPr>
              <w:jc w:val="left"/>
            </w:pPr>
            <w:r>
              <w:rPr>
                <w:sz w:val="19"/>
              </w:rPr>
              <w:t>Définir les règles</w:t>
            </w:r>
          </w:p>
        </w:tc>
        <w:tc>
          <w:tcPr>
            <w:tcW w:type="dxa" w:w="3458"/>
            <w:tcMar>
              <w:top w:w="80" w:type="dxa"/>
              <w:start w:w="110" w:type="dxa"/>
              <w:bottom w:w="80" w:type="dxa"/>
              <w:end w:w="110" w:type="dxa"/>
            </w:tcMar>
            <w:vAlign w:val="center"/>
          </w:tcPr>
          <w:p>
            <w:pPr>
              <w:jc w:val="left"/>
            </w:pPr>
            <w:r>
              <w:rPr>
                <w:sz w:val="19"/>
              </w:rPr>
              <w:t>Profils, revenus, répartition, catégories, notifications</w:t>
            </w:r>
          </w:p>
        </w:tc>
      </w:tr>
      <w:tr>
        <w:tc>
          <w:tcPr>
            <w:tcW w:type="dxa" w:w="1701"/>
            <w:tcMar>
              <w:top w:w="80" w:type="dxa"/>
              <w:start w:w="110" w:type="dxa"/>
              <w:bottom w:w="80" w:type="dxa"/>
              <w:end w:w="110" w:type="dxa"/>
            </w:tcMar>
            <w:vAlign w:val="center"/>
          </w:tcPr>
          <w:p>
            <w:pPr>
              <w:jc w:val="center"/>
            </w:pPr>
            <w:r>
              <w:rPr>
                <w:sz w:val="19"/>
              </w:rPr>
              <w:t>Point mensuel</w:t>
            </w:r>
          </w:p>
        </w:tc>
        <w:tc>
          <w:tcPr>
            <w:tcW w:type="dxa" w:w="3061"/>
            <w:tcMar>
              <w:top w:w="80" w:type="dxa"/>
              <w:start w:w="110" w:type="dxa"/>
              <w:bottom w:w="80" w:type="dxa"/>
              <w:end w:w="110" w:type="dxa"/>
            </w:tcMar>
            <w:vAlign w:val="center"/>
          </w:tcPr>
          <w:p>
            <w:pPr>
              <w:jc w:val="left"/>
            </w:pPr>
            <w:r>
              <w:rPr>
                <w:sz w:val="19"/>
              </w:rPr>
              <w:t>Faire le rituel de couple</w:t>
            </w:r>
          </w:p>
        </w:tc>
        <w:tc>
          <w:tcPr>
            <w:tcW w:type="dxa" w:w="3458"/>
            <w:tcMar>
              <w:top w:w="80" w:type="dxa"/>
              <w:start w:w="110" w:type="dxa"/>
              <w:bottom w:w="80" w:type="dxa"/>
              <w:end w:w="110" w:type="dxa"/>
            </w:tcMar>
            <w:vAlign w:val="center"/>
          </w:tcPr>
          <w:p>
            <w:pPr>
              <w:jc w:val="left"/>
            </w:pPr>
            <w:r>
              <w:rPr>
                <w:sz w:val="19"/>
              </w:rPr>
              <w:t>Résumé, alertes douces, décisions à prendre</w:t>
            </w:r>
          </w:p>
        </w:tc>
      </w:tr>
    </w:tbl>
    <w:p>
      <w:pPr>
        <w:spacing w:after="60"/>
      </w:pPr>
    </w:p>
    <w:p>
      <w:pPr>
        <w:pStyle w:val="Heading1"/>
        <w:spacing w:after="120"/>
      </w:pPr>
      <w:r>
        <w:rPr>
          <w:b w:val="0"/>
        </w:rPr>
        <w:t>10. Flows critiques</w:t>
      </w:r>
    </w:p>
    <w:p>
      <w:pPr>
        <w:pStyle w:val="Heading2"/>
        <w:spacing w:after="80"/>
      </w:pPr>
      <w:r>
        <w:rPr>
          <w:b w:val="0"/>
        </w:rPr>
        <w:t>Flow 1 — Onboarding</w:t>
      </w:r>
    </w:p>
    <w:p>
      <w:pPr>
        <w:spacing w:after="40"/>
        <w:ind w:left="283"/>
      </w:pPr>
      <w:r>
        <w:rPr>
          <w:sz w:val="21"/>
        </w:rPr>
        <w:t>• Créer le foyer.</w:t>
      </w:r>
    </w:p>
    <w:p>
      <w:pPr>
        <w:spacing w:after="40"/>
        <w:ind w:left="283"/>
      </w:pPr>
      <w:r>
        <w:rPr>
          <w:sz w:val="21"/>
        </w:rPr>
        <w:t>• Entrer son nom et inviter le partenaire par email/lien.</w:t>
      </w:r>
    </w:p>
    <w:p>
      <w:pPr>
        <w:spacing w:after="40"/>
        <w:ind w:left="283"/>
      </w:pPr>
      <w:r>
        <w:rPr>
          <w:sz w:val="21"/>
        </w:rPr>
        <w:t>• Choisir la règle de partage par défaut.</w:t>
      </w:r>
    </w:p>
    <w:p>
      <w:pPr>
        <w:spacing w:after="40"/>
        <w:ind w:left="283"/>
      </w:pPr>
      <w:r>
        <w:rPr>
          <w:sz w:val="21"/>
        </w:rPr>
        <w:t>• Ajouter les grandes catégories.</w:t>
      </w:r>
    </w:p>
    <w:p>
      <w:pPr>
        <w:spacing w:after="40"/>
        <w:ind w:left="283"/>
      </w:pPr>
      <w:r>
        <w:rPr>
          <w:sz w:val="21"/>
        </w:rPr>
        <w:t>• Créer un premier objectif.</w:t>
      </w:r>
    </w:p>
    <w:p>
      <w:pPr>
        <w:spacing w:after="40"/>
        <w:ind w:left="283"/>
      </w:pPr>
      <w:r>
        <w:rPr>
          <w:sz w:val="21"/>
        </w:rPr>
        <w:t>• Ajouter 2 à 5 charges récurrentes.</w:t>
      </w:r>
    </w:p>
    <w:p>
      <w:pPr>
        <w:pStyle w:val="Heading2"/>
        <w:spacing w:after="80"/>
      </w:pPr>
      <w:r>
        <w:rPr>
          <w:b w:val="0"/>
        </w:rPr>
        <w:t>Flow 2 — Ajouter une dépense</w:t>
      </w:r>
    </w:p>
    <w:p>
      <w:pPr>
        <w:spacing w:after="40"/>
        <w:ind w:left="283"/>
      </w:pPr>
      <w:r>
        <w:rPr>
          <w:sz w:val="21"/>
        </w:rPr>
        <w:t>• Depuis l’accueil, appui sur CTA principal “Ajouter”.</w:t>
      </w:r>
    </w:p>
    <w:p>
      <w:pPr>
        <w:spacing w:after="40"/>
        <w:ind w:left="283"/>
      </w:pPr>
      <w:r>
        <w:rPr>
          <w:sz w:val="21"/>
        </w:rPr>
        <w:t>• Montant au focus immédiat.</w:t>
      </w:r>
    </w:p>
    <w:p>
      <w:pPr>
        <w:spacing w:after="40"/>
        <w:ind w:left="283"/>
      </w:pPr>
      <w:r>
        <w:rPr>
          <w:sz w:val="21"/>
        </w:rPr>
        <w:t>• Choix rapide catégorie puis payé par.</w:t>
      </w:r>
    </w:p>
    <w:p>
      <w:pPr>
        <w:spacing w:after="40"/>
        <w:ind w:left="283"/>
      </w:pPr>
      <w:r>
        <w:rPr>
          <w:sz w:val="21"/>
        </w:rPr>
        <w:t>• Choix du type : commun / perso / enfant / maison.</w:t>
      </w:r>
    </w:p>
    <w:p>
      <w:pPr>
        <w:spacing w:after="40"/>
        <w:ind w:left="283"/>
      </w:pPr>
      <w:r>
        <w:rPr>
          <w:sz w:val="21"/>
        </w:rPr>
        <w:t>• Application automatique de la règle par défaut, modifiable si besoin.</w:t>
      </w:r>
    </w:p>
    <w:p>
      <w:pPr>
        <w:spacing w:after="40"/>
        <w:ind w:left="283"/>
      </w:pPr>
      <w:r>
        <w:rPr>
          <w:sz w:val="21"/>
        </w:rPr>
        <w:t>• Confirmation avec option “ajouter une autre dépense”.</w:t>
      </w:r>
    </w:p>
    <w:p>
      <w:pPr>
        <w:pStyle w:val="Heading2"/>
        <w:spacing w:after="80"/>
      </w:pPr>
      <w:r>
        <w:rPr>
          <w:b w:val="0"/>
        </w:rPr>
        <w:t>Flow 3 — Régulariser un écart</w:t>
      </w:r>
    </w:p>
    <w:p>
      <w:pPr>
        <w:spacing w:after="40"/>
        <w:ind w:left="283"/>
      </w:pPr>
      <w:r>
        <w:rPr>
          <w:sz w:val="21"/>
        </w:rPr>
        <w:t>• Accès à l’écran Répartition.</w:t>
      </w:r>
    </w:p>
    <w:p>
      <w:pPr>
        <w:spacing w:after="40"/>
        <w:ind w:left="283"/>
      </w:pPr>
      <w:r>
        <w:rPr>
          <w:sz w:val="21"/>
        </w:rPr>
        <w:t>• Affichage de l’écart net entre partenaires.</w:t>
      </w:r>
    </w:p>
    <w:p>
      <w:pPr>
        <w:spacing w:after="40"/>
        <w:ind w:left="283"/>
      </w:pPr>
      <w:r>
        <w:rPr>
          <w:sz w:val="21"/>
        </w:rPr>
        <w:t>• Suggestion d’un montant de régularisation.</w:t>
      </w:r>
    </w:p>
    <w:p>
      <w:pPr>
        <w:spacing w:after="40"/>
        <w:ind w:left="283"/>
      </w:pPr>
      <w:r>
        <w:rPr>
          <w:sz w:val="21"/>
        </w:rPr>
        <w:t>• Création d’un événement “soldé” avec date et note facultative.</w:t>
      </w:r>
    </w:p>
    <w:p>
      <w:pPr>
        <w:pStyle w:val="Heading2"/>
        <w:spacing w:after="80"/>
      </w:pPr>
      <w:r>
        <w:rPr>
          <w:b w:val="0"/>
        </w:rPr>
        <w:t>Flow 4 — Point mensuel</w:t>
      </w:r>
    </w:p>
    <w:p>
      <w:pPr>
        <w:spacing w:after="40"/>
        <w:ind w:left="283"/>
      </w:pPr>
      <w:r>
        <w:rPr>
          <w:sz w:val="21"/>
        </w:rPr>
        <w:t>• Lecture d’un résumé neutre du mois.</w:t>
      </w:r>
    </w:p>
    <w:p>
      <w:pPr>
        <w:spacing w:after="40"/>
        <w:ind w:left="283"/>
      </w:pPr>
      <w:r>
        <w:rPr>
          <w:sz w:val="21"/>
        </w:rPr>
        <w:t>• Identification des postes en hausse.</w:t>
      </w:r>
    </w:p>
    <w:p>
      <w:pPr>
        <w:spacing w:after="40"/>
        <w:ind w:left="283"/>
      </w:pPr>
      <w:r>
        <w:rPr>
          <w:sz w:val="21"/>
        </w:rPr>
        <w:t>• Mise à jour des objectifs.</w:t>
      </w:r>
    </w:p>
    <w:p>
      <w:pPr>
        <w:spacing w:after="40"/>
        <w:ind w:left="283"/>
      </w:pPr>
      <w:r>
        <w:rPr>
          <w:sz w:val="21"/>
        </w:rPr>
        <w:t>• Décision de régularisation et/ou ajustement budgétaire.</w:t>
      </w:r>
    </w:p>
    <w:p>
      <w:pPr>
        <w:spacing w:after="40"/>
        <w:ind w:left="283"/>
      </w:pPr>
      <w:r>
        <w:rPr>
          <w:sz w:val="21"/>
        </w:rPr>
        <w:t>• Sauvegarde d’une note de décision.</w:t>
      </w:r>
    </w:p>
    <w:p>
      <w:pPr>
        <w:pStyle w:val="Heading1"/>
        <w:spacing w:after="120"/>
      </w:pPr>
      <w:r>
        <w:rPr>
          <w:b w:val="0"/>
        </w:rPr>
        <w:t>11. User stories et critères d’acceptation</w:t>
      </w:r>
    </w:p>
    <w:tbl>
      <w:tblPr>
        <w:tblStyle w:val="TableGrid"/>
        <w:tblW w:type="auto" w:w="0"/>
        <w:jc w:val="center"/>
        <w:tblLook w:firstColumn="1" w:firstRow="1" w:lastColumn="0" w:lastRow="0" w:noHBand="0" w:noVBand="1" w:val="04A0"/>
      </w:tblPr>
      <w:tblGrid>
        <w:gridCol w:w="3324"/>
        <w:gridCol w:w="3324"/>
        <w:gridCol w:w="3324"/>
      </w:tblGrid>
      <w:tr>
        <w:tc>
          <w:tcPr>
            <w:tcW w:type="dxa" w:w="1134"/>
            <w:shd w:fill="EAF0FF"/>
            <w:tcMar>
              <w:top w:w="100" w:type="dxa"/>
              <w:start w:w="120" w:type="dxa"/>
              <w:bottom w:w="100" w:type="dxa"/>
              <w:end w:w="120" w:type="dxa"/>
            </w:tcMar>
            <w:vAlign w:val="center"/>
          </w:tcPr>
          <w:p>
            <w:pPr>
              <w:jc w:val="center"/>
            </w:pPr>
            <w:r>
              <w:rPr>
                <w:b/>
                <w:sz w:val="20"/>
              </w:rPr>
              <w:t>ID</w:t>
            </w:r>
          </w:p>
        </w:tc>
        <w:tc>
          <w:tcPr>
            <w:tcW w:type="dxa" w:w="4535"/>
            <w:shd w:fill="EAF0FF"/>
            <w:tcMar>
              <w:top w:w="100" w:type="dxa"/>
              <w:start w:w="120" w:type="dxa"/>
              <w:bottom w:w="100" w:type="dxa"/>
              <w:end w:w="120" w:type="dxa"/>
            </w:tcMar>
            <w:vAlign w:val="center"/>
          </w:tcPr>
          <w:p>
            <w:pPr>
              <w:jc w:val="center"/>
            </w:pPr>
            <w:r>
              <w:rPr>
                <w:b/>
                <w:sz w:val="20"/>
              </w:rPr>
              <w:t>User story</w:t>
            </w:r>
          </w:p>
        </w:tc>
        <w:tc>
          <w:tcPr>
            <w:tcW w:type="dxa" w:w="3402"/>
            <w:shd w:fill="EAF0FF"/>
            <w:tcMar>
              <w:top w:w="100" w:type="dxa"/>
              <w:start w:w="120" w:type="dxa"/>
              <w:bottom w:w="100" w:type="dxa"/>
              <w:end w:w="120" w:type="dxa"/>
            </w:tcMar>
            <w:vAlign w:val="center"/>
          </w:tcPr>
          <w:p>
            <w:pPr>
              <w:jc w:val="left"/>
            </w:pPr>
            <w:r>
              <w:rPr>
                <w:b/>
                <w:sz w:val="20"/>
              </w:rPr>
              <w:t>Critère d’acceptation principal</w:t>
            </w:r>
          </w:p>
        </w:tc>
      </w:tr>
      <w:tr>
        <w:tc>
          <w:tcPr>
            <w:tcW w:type="dxa" w:w="1134"/>
            <w:tcMar>
              <w:top w:w="80" w:type="dxa"/>
              <w:start w:w="110" w:type="dxa"/>
              <w:bottom w:w="80" w:type="dxa"/>
              <w:end w:w="110" w:type="dxa"/>
            </w:tcMar>
            <w:vAlign w:val="center"/>
          </w:tcPr>
          <w:p>
            <w:pPr>
              <w:jc w:val="center"/>
            </w:pPr>
            <w:r>
              <w:rPr>
                <w:sz w:val="19"/>
              </w:rPr>
              <w:t>US-01</w:t>
            </w:r>
          </w:p>
        </w:tc>
        <w:tc>
          <w:tcPr>
            <w:tcW w:type="dxa" w:w="4535"/>
            <w:tcMar>
              <w:top w:w="80" w:type="dxa"/>
              <w:start w:w="110" w:type="dxa"/>
              <w:bottom w:w="80" w:type="dxa"/>
              <w:end w:w="110" w:type="dxa"/>
            </w:tcMar>
            <w:vAlign w:val="center"/>
          </w:tcPr>
          <w:p>
            <w:pPr>
              <w:jc w:val="left"/>
            </w:pPr>
            <w:r>
              <w:rPr>
                <w:sz w:val="19"/>
              </w:rPr>
              <w:t>En tant qu’utilisateur, je peux créer un foyer et inviter mon partenaire.</w:t>
            </w:r>
          </w:p>
        </w:tc>
        <w:tc>
          <w:tcPr>
            <w:tcW w:type="dxa" w:w="3402"/>
            <w:tcMar>
              <w:top w:w="80" w:type="dxa"/>
              <w:start w:w="110" w:type="dxa"/>
              <w:bottom w:w="80" w:type="dxa"/>
              <w:end w:w="110" w:type="dxa"/>
            </w:tcMar>
            <w:vAlign w:val="center"/>
          </w:tcPr>
          <w:p>
            <w:pPr>
              <w:jc w:val="left"/>
            </w:pPr>
            <w:r>
              <w:rPr>
                <w:sz w:val="19"/>
              </w:rPr>
              <w:t>Le foyer est créé; un lien d’invitation est généré; le partenaire rejoint sans contact support.</w:t>
            </w:r>
          </w:p>
        </w:tc>
      </w:tr>
      <w:tr>
        <w:tc>
          <w:tcPr>
            <w:tcW w:type="dxa" w:w="1134"/>
            <w:tcMar>
              <w:top w:w="80" w:type="dxa"/>
              <w:start w:w="110" w:type="dxa"/>
              <w:bottom w:w="80" w:type="dxa"/>
              <w:end w:w="110" w:type="dxa"/>
            </w:tcMar>
            <w:vAlign w:val="center"/>
          </w:tcPr>
          <w:p>
            <w:pPr>
              <w:jc w:val="center"/>
            </w:pPr>
            <w:r>
              <w:rPr>
                <w:sz w:val="19"/>
              </w:rPr>
              <w:t>US-02</w:t>
            </w:r>
          </w:p>
        </w:tc>
        <w:tc>
          <w:tcPr>
            <w:tcW w:type="dxa" w:w="4535"/>
            <w:tcMar>
              <w:top w:w="80" w:type="dxa"/>
              <w:start w:w="110" w:type="dxa"/>
              <w:bottom w:w="80" w:type="dxa"/>
              <w:end w:w="110" w:type="dxa"/>
            </w:tcMar>
            <w:vAlign w:val="center"/>
          </w:tcPr>
          <w:p>
            <w:pPr>
              <w:jc w:val="left"/>
            </w:pPr>
            <w:r>
              <w:rPr>
                <w:sz w:val="19"/>
              </w:rPr>
              <w:t>En tant qu’utilisateur, je peux ajouter une dépense commune en moins de 15 secondes.</w:t>
            </w:r>
          </w:p>
        </w:tc>
        <w:tc>
          <w:tcPr>
            <w:tcW w:type="dxa" w:w="3402"/>
            <w:tcMar>
              <w:top w:w="80" w:type="dxa"/>
              <w:start w:w="110" w:type="dxa"/>
              <w:bottom w:w="80" w:type="dxa"/>
              <w:end w:w="110" w:type="dxa"/>
            </w:tcMar>
            <w:vAlign w:val="center"/>
          </w:tcPr>
          <w:p>
            <w:pPr>
              <w:jc w:val="left"/>
            </w:pPr>
            <w:r>
              <w:rPr>
                <w:sz w:val="19"/>
              </w:rPr>
              <w:t>Le formulaire a ≤6 champs visibles; la dépense est enregistrée; la règle par défaut est appliquée.</w:t>
            </w:r>
          </w:p>
        </w:tc>
      </w:tr>
      <w:tr>
        <w:tc>
          <w:tcPr>
            <w:tcW w:type="dxa" w:w="1134"/>
            <w:tcMar>
              <w:top w:w="80" w:type="dxa"/>
              <w:start w:w="110" w:type="dxa"/>
              <w:bottom w:w="80" w:type="dxa"/>
              <w:end w:w="110" w:type="dxa"/>
            </w:tcMar>
            <w:vAlign w:val="center"/>
          </w:tcPr>
          <w:p>
            <w:pPr>
              <w:jc w:val="center"/>
            </w:pPr>
            <w:r>
              <w:rPr>
                <w:sz w:val="19"/>
              </w:rPr>
              <w:t>US-03</w:t>
            </w:r>
          </w:p>
        </w:tc>
        <w:tc>
          <w:tcPr>
            <w:tcW w:type="dxa" w:w="4535"/>
            <w:tcMar>
              <w:top w:w="80" w:type="dxa"/>
              <w:start w:w="110" w:type="dxa"/>
              <w:bottom w:w="80" w:type="dxa"/>
              <w:end w:w="110" w:type="dxa"/>
            </w:tcMar>
            <w:vAlign w:val="center"/>
          </w:tcPr>
          <w:p>
            <w:pPr>
              <w:jc w:val="left"/>
            </w:pPr>
            <w:r>
              <w:rPr>
                <w:sz w:val="19"/>
              </w:rPr>
              <w:t>En tant qu’utilisateur, je peux modifier ou supprimer une dépense.</w:t>
            </w:r>
          </w:p>
        </w:tc>
        <w:tc>
          <w:tcPr>
            <w:tcW w:type="dxa" w:w="3402"/>
            <w:tcMar>
              <w:top w:w="80" w:type="dxa"/>
              <w:start w:w="110" w:type="dxa"/>
              <w:bottom w:w="80" w:type="dxa"/>
              <w:end w:w="110" w:type="dxa"/>
            </w:tcMar>
            <w:vAlign w:val="center"/>
          </w:tcPr>
          <w:p>
            <w:pPr>
              <w:jc w:val="left"/>
            </w:pPr>
            <w:r>
              <w:rPr>
                <w:sz w:val="19"/>
              </w:rPr>
              <w:t>Le recalcul d’équilibre est immédiat; l’historique reste cohérent; aucune donnée orpheline.</w:t>
            </w:r>
          </w:p>
        </w:tc>
      </w:tr>
      <w:tr>
        <w:tc>
          <w:tcPr>
            <w:tcW w:type="dxa" w:w="1134"/>
            <w:tcMar>
              <w:top w:w="80" w:type="dxa"/>
              <w:start w:w="110" w:type="dxa"/>
              <w:bottom w:w="80" w:type="dxa"/>
              <w:end w:w="110" w:type="dxa"/>
            </w:tcMar>
            <w:vAlign w:val="center"/>
          </w:tcPr>
          <w:p>
            <w:pPr>
              <w:jc w:val="center"/>
            </w:pPr>
            <w:r>
              <w:rPr>
                <w:sz w:val="19"/>
              </w:rPr>
              <w:t>US-04</w:t>
            </w:r>
          </w:p>
        </w:tc>
        <w:tc>
          <w:tcPr>
            <w:tcW w:type="dxa" w:w="4535"/>
            <w:tcMar>
              <w:top w:w="80" w:type="dxa"/>
              <w:start w:w="110" w:type="dxa"/>
              <w:bottom w:w="80" w:type="dxa"/>
              <w:end w:w="110" w:type="dxa"/>
            </w:tcMar>
            <w:vAlign w:val="center"/>
          </w:tcPr>
          <w:p>
            <w:pPr>
              <w:jc w:val="left"/>
            </w:pPr>
            <w:r>
              <w:rPr>
                <w:sz w:val="19"/>
              </w:rPr>
              <w:t>En tant qu’utilisateur, je vois qui doit quoi aujourd’hui.</w:t>
            </w:r>
          </w:p>
        </w:tc>
        <w:tc>
          <w:tcPr>
            <w:tcW w:type="dxa" w:w="3402"/>
            <w:tcMar>
              <w:top w:w="80" w:type="dxa"/>
              <w:start w:w="110" w:type="dxa"/>
              <w:bottom w:w="80" w:type="dxa"/>
              <w:end w:w="110" w:type="dxa"/>
            </w:tcMar>
            <w:vAlign w:val="center"/>
          </w:tcPr>
          <w:p>
            <w:pPr>
              <w:jc w:val="left"/>
            </w:pPr>
            <w:r>
              <w:rPr>
                <w:sz w:val="19"/>
              </w:rPr>
              <w:t>L’écran Répartition affiche l’écart net et une action de régularisation.</w:t>
            </w:r>
          </w:p>
        </w:tc>
      </w:tr>
      <w:tr>
        <w:tc>
          <w:tcPr>
            <w:tcW w:type="dxa" w:w="1134"/>
            <w:tcMar>
              <w:top w:w="80" w:type="dxa"/>
              <w:start w:w="110" w:type="dxa"/>
              <w:bottom w:w="80" w:type="dxa"/>
              <w:end w:w="110" w:type="dxa"/>
            </w:tcMar>
            <w:vAlign w:val="center"/>
          </w:tcPr>
          <w:p>
            <w:pPr>
              <w:jc w:val="center"/>
            </w:pPr>
            <w:r>
              <w:rPr>
                <w:sz w:val="19"/>
              </w:rPr>
              <w:t>US-05</w:t>
            </w:r>
          </w:p>
        </w:tc>
        <w:tc>
          <w:tcPr>
            <w:tcW w:type="dxa" w:w="4535"/>
            <w:tcMar>
              <w:top w:w="80" w:type="dxa"/>
              <w:start w:w="110" w:type="dxa"/>
              <w:bottom w:w="80" w:type="dxa"/>
              <w:end w:w="110" w:type="dxa"/>
            </w:tcMar>
            <w:vAlign w:val="center"/>
          </w:tcPr>
          <w:p>
            <w:pPr>
              <w:jc w:val="left"/>
            </w:pPr>
            <w:r>
              <w:rPr>
                <w:sz w:val="19"/>
              </w:rPr>
              <w:t>En tant qu’utilisateur, je peux créer un objectif commun.</w:t>
            </w:r>
          </w:p>
        </w:tc>
        <w:tc>
          <w:tcPr>
            <w:tcW w:type="dxa" w:w="3402"/>
            <w:tcMar>
              <w:top w:w="80" w:type="dxa"/>
              <w:start w:w="110" w:type="dxa"/>
              <w:bottom w:w="80" w:type="dxa"/>
              <w:end w:w="110" w:type="dxa"/>
            </w:tcMar>
            <w:vAlign w:val="center"/>
          </w:tcPr>
          <w:p>
            <w:pPr>
              <w:jc w:val="left"/>
            </w:pPr>
            <w:r>
              <w:rPr>
                <w:sz w:val="19"/>
              </w:rPr>
              <w:t>Le montant cible, la date cible et la progression sont visibles; l’objectif apparaît sur l’accueil.</w:t>
            </w:r>
          </w:p>
        </w:tc>
      </w:tr>
      <w:tr>
        <w:tc>
          <w:tcPr>
            <w:tcW w:type="dxa" w:w="1134"/>
            <w:tcMar>
              <w:top w:w="80" w:type="dxa"/>
              <w:start w:w="110" w:type="dxa"/>
              <w:bottom w:w="80" w:type="dxa"/>
              <w:end w:w="110" w:type="dxa"/>
            </w:tcMar>
            <w:vAlign w:val="center"/>
          </w:tcPr>
          <w:p>
            <w:pPr>
              <w:jc w:val="center"/>
            </w:pPr>
            <w:r>
              <w:rPr>
                <w:sz w:val="19"/>
              </w:rPr>
              <w:t>US-06</w:t>
            </w:r>
          </w:p>
        </w:tc>
        <w:tc>
          <w:tcPr>
            <w:tcW w:type="dxa" w:w="4535"/>
            <w:tcMar>
              <w:top w:w="80" w:type="dxa"/>
              <w:start w:w="110" w:type="dxa"/>
              <w:bottom w:w="80" w:type="dxa"/>
              <w:end w:w="110" w:type="dxa"/>
            </w:tcMar>
            <w:vAlign w:val="center"/>
          </w:tcPr>
          <w:p>
            <w:pPr>
              <w:jc w:val="left"/>
            </w:pPr>
            <w:r>
              <w:rPr>
                <w:sz w:val="19"/>
              </w:rPr>
              <w:t>En tant qu’utilisateur, je peux enregistrer une régularisation.</w:t>
            </w:r>
          </w:p>
        </w:tc>
        <w:tc>
          <w:tcPr>
            <w:tcW w:type="dxa" w:w="3402"/>
            <w:tcMar>
              <w:top w:w="80" w:type="dxa"/>
              <w:start w:w="110" w:type="dxa"/>
              <w:bottom w:w="80" w:type="dxa"/>
              <w:end w:w="110" w:type="dxa"/>
            </w:tcMar>
            <w:vAlign w:val="center"/>
          </w:tcPr>
          <w:p>
            <w:pPr>
              <w:jc w:val="left"/>
            </w:pPr>
            <w:r>
              <w:rPr>
                <w:sz w:val="19"/>
              </w:rPr>
              <w:t>L’écart est diminué du bon montant; l’événement est historisé avec date.</w:t>
            </w:r>
          </w:p>
        </w:tc>
      </w:tr>
      <w:tr>
        <w:tc>
          <w:tcPr>
            <w:tcW w:type="dxa" w:w="1134"/>
            <w:tcMar>
              <w:top w:w="80" w:type="dxa"/>
              <w:start w:w="110" w:type="dxa"/>
              <w:bottom w:w="80" w:type="dxa"/>
              <w:end w:w="110" w:type="dxa"/>
            </w:tcMar>
            <w:vAlign w:val="center"/>
          </w:tcPr>
          <w:p>
            <w:pPr>
              <w:jc w:val="center"/>
            </w:pPr>
            <w:r>
              <w:rPr>
                <w:sz w:val="19"/>
              </w:rPr>
              <w:t>US-07</w:t>
            </w:r>
          </w:p>
        </w:tc>
        <w:tc>
          <w:tcPr>
            <w:tcW w:type="dxa" w:w="4535"/>
            <w:tcMar>
              <w:top w:w="80" w:type="dxa"/>
              <w:start w:w="110" w:type="dxa"/>
              <w:bottom w:w="80" w:type="dxa"/>
              <w:end w:w="110" w:type="dxa"/>
            </w:tcMar>
            <w:vAlign w:val="center"/>
          </w:tcPr>
          <w:p>
            <w:pPr>
              <w:jc w:val="left"/>
            </w:pPr>
            <w:r>
              <w:rPr>
                <w:sz w:val="19"/>
              </w:rPr>
              <w:t>En tant qu’utilisateur, je peux définir une règle proportionnelle aux revenus.</w:t>
            </w:r>
          </w:p>
        </w:tc>
        <w:tc>
          <w:tcPr>
            <w:tcW w:type="dxa" w:w="3402"/>
            <w:tcMar>
              <w:top w:w="80" w:type="dxa"/>
              <w:start w:w="110" w:type="dxa"/>
              <w:bottom w:w="80" w:type="dxa"/>
              <w:end w:w="110" w:type="dxa"/>
            </w:tcMar>
            <w:vAlign w:val="center"/>
          </w:tcPr>
          <w:p>
            <w:pPr>
              <w:jc w:val="left"/>
            </w:pPr>
            <w:r>
              <w:rPr>
                <w:sz w:val="19"/>
              </w:rPr>
              <w:t>Les contributions sont recalculées sur les nouvelles dépenses sans toucher les anciennes.</w:t>
            </w:r>
          </w:p>
        </w:tc>
      </w:tr>
    </w:tbl>
    <w:p>
      <w:pPr>
        <w:spacing w:after="60"/>
      </w:pPr>
    </w:p>
    <w:p>
      <w:pPr>
        <w:pStyle w:val="Heading1"/>
        <w:spacing w:after="120"/>
      </w:pPr>
      <w:r>
        <w:rPr>
          <w:b w:val="0"/>
        </w:rPr>
        <w:t>12. Règles métier explicites</w:t>
      </w:r>
    </w:p>
    <w:tbl>
      <w:tblPr>
        <w:tblStyle w:val="TableGrid"/>
        <w:tblW w:type="auto" w:w="0"/>
        <w:jc w:val="center"/>
        <w:tblLook w:firstColumn="1" w:firstRow="1" w:lastColumn="0" w:lastRow="0" w:noHBand="0" w:noVBand="1" w:val="04A0"/>
      </w:tblPr>
      <w:tblGrid>
        <w:gridCol w:w="4986"/>
        <w:gridCol w:w="4986"/>
      </w:tblGrid>
      <w:tr>
        <w:tc>
          <w:tcPr>
            <w:tcW w:type="dxa" w:w="1134"/>
            <w:shd w:fill="EAF0FF"/>
            <w:tcMar>
              <w:top w:w="100" w:type="dxa"/>
              <w:start w:w="120" w:type="dxa"/>
              <w:bottom w:w="100" w:type="dxa"/>
              <w:end w:w="120" w:type="dxa"/>
            </w:tcMar>
            <w:vAlign w:val="center"/>
          </w:tcPr>
          <w:p>
            <w:pPr>
              <w:jc w:val="center"/>
            </w:pPr>
            <w:r>
              <w:rPr>
                <w:b/>
                <w:sz w:val="20"/>
              </w:rPr>
              <w:t>ID</w:t>
            </w:r>
          </w:p>
        </w:tc>
        <w:tc>
          <w:tcPr>
            <w:tcW w:type="dxa" w:w="7937"/>
            <w:shd w:fill="EAF0FF"/>
            <w:tcMar>
              <w:top w:w="100" w:type="dxa"/>
              <w:start w:w="120" w:type="dxa"/>
              <w:bottom w:w="100" w:type="dxa"/>
              <w:end w:w="120" w:type="dxa"/>
            </w:tcMar>
            <w:vAlign w:val="center"/>
          </w:tcPr>
          <w:p>
            <w:pPr>
              <w:jc w:val="center"/>
            </w:pPr>
            <w:r>
              <w:rPr>
                <w:b/>
                <w:sz w:val="20"/>
              </w:rPr>
              <w:t>Règle</w:t>
            </w:r>
          </w:p>
        </w:tc>
      </w:tr>
      <w:tr>
        <w:tc>
          <w:tcPr>
            <w:tcW w:type="dxa" w:w="1134"/>
            <w:tcMar>
              <w:top w:w="80" w:type="dxa"/>
              <w:start w:w="110" w:type="dxa"/>
              <w:bottom w:w="80" w:type="dxa"/>
              <w:end w:w="110" w:type="dxa"/>
            </w:tcMar>
            <w:vAlign w:val="center"/>
          </w:tcPr>
          <w:p>
            <w:pPr>
              <w:jc w:val="center"/>
            </w:pPr>
            <w:r>
              <w:rPr>
                <w:sz w:val="19"/>
              </w:rPr>
              <w:t>R-01</w:t>
            </w:r>
          </w:p>
        </w:tc>
        <w:tc>
          <w:tcPr>
            <w:tcW w:type="dxa" w:w="7937"/>
            <w:tcMar>
              <w:top w:w="80" w:type="dxa"/>
              <w:start w:w="110" w:type="dxa"/>
              <w:bottom w:w="80" w:type="dxa"/>
              <w:end w:w="110" w:type="dxa"/>
            </w:tcMar>
            <w:vAlign w:val="center"/>
          </w:tcPr>
          <w:p>
            <w:pPr>
              <w:jc w:val="left"/>
            </w:pPr>
            <w:r>
              <w:rPr>
                <w:sz w:val="19"/>
              </w:rPr>
              <w:t>Une dépense appartient à un seul foyer.</w:t>
            </w:r>
          </w:p>
        </w:tc>
      </w:tr>
      <w:tr>
        <w:tc>
          <w:tcPr>
            <w:tcW w:type="dxa" w:w="1134"/>
            <w:tcMar>
              <w:top w:w="80" w:type="dxa"/>
              <w:start w:w="110" w:type="dxa"/>
              <w:bottom w:w="80" w:type="dxa"/>
              <w:end w:w="110" w:type="dxa"/>
            </w:tcMar>
            <w:vAlign w:val="center"/>
          </w:tcPr>
          <w:p>
            <w:pPr>
              <w:jc w:val="center"/>
            </w:pPr>
            <w:r>
              <w:rPr>
                <w:sz w:val="19"/>
              </w:rPr>
              <w:t>R-02</w:t>
            </w:r>
          </w:p>
        </w:tc>
        <w:tc>
          <w:tcPr>
            <w:tcW w:type="dxa" w:w="7937"/>
            <w:tcMar>
              <w:top w:w="80" w:type="dxa"/>
              <w:start w:w="110" w:type="dxa"/>
              <w:bottom w:w="80" w:type="dxa"/>
              <w:end w:w="110" w:type="dxa"/>
            </w:tcMar>
            <w:vAlign w:val="center"/>
          </w:tcPr>
          <w:p>
            <w:pPr>
              <w:jc w:val="left"/>
            </w:pPr>
            <w:r>
              <w:rPr>
                <w:sz w:val="19"/>
              </w:rPr>
              <w:t>Une dépense a un payeur unique au moment de sa création.</w:t>
            </w:r>
          </w:p>
        </w:tc>
      </w:tr>
      <w:tr>
        <w:tc>
          <w:tcPr>
            <w:tcW w:type="dxa" w:w="1134"/>
            <w:tcMar>
              <w:top w:w="80" w:type="dxa"/>
              <w:start w:w="110" w:type="dxa"/>
              <w:bottom w:w="80" w:type="dxa"/>
              <w:end w:w="110" w:type="dxa"/>
            </w:tcMar>
            <w:vAlign w:val="center"/>
          </w:tcPr>
          <w:p>
            <w:pPr>
              <w:jc w:val="center"/>
            </w:pPr>
            <w:r>
              <w:rPr>
                <w:sz w:val="19"/>
              </w:rPr>
              <w:t>R-03</w:t>
            </w:r>
          </w:p>
        </w:tc>
        <w:tc>
          <w:tcPr>
            <w:tcW w:type="dxa" w:w="7937"/>
            <w:tcMar>
              <w:top w:w="80" w:type="dxa"/>
              <w:start w:w="110" w:type="dxa"/>
              <w:bottom w:w="80" w:type="dxa"/>
              <w:end w:w="110" w:type="dxa"/>
            </w:tcMar>
            <w:vAlign w:val="center"/>
          </w:tcPr>
          <w:p>
            <w:pPr>
              <w:jc w:val="left"/>
            </w:pPr>
            <w:r>
              <w:rPr>
                <w:sz w:val="19"/>
              </w:rPr>
              <w:t>Une dépense peut être perso, commune ou taggée enfant/maison; le tag n’annule pas le type.</w:t>
            </w:r>
          </w:p>
        </w:tc>
      </w:tr>
      <w:tr>
        <w:tc>
          <w:tcPr>
            <w:tcW w:type="dxa" w:w="1134"/>
            <w:tcMar>
              <w:top w:w="80" w:type="dxa"/>
              <w:start w:w="110" w:type="dxa"/>
              <w:bottom w:w="80" w:type="dxa"/>
              <w:end w:w="110" w:type="dxa"/>
            </w:tcMar>
            <w:vAlign w:val="center"/>
          </w:tcPr>
          <w:p>
            <w:pPr>
              <w:jc w:val="center"/>
            </w:pPr>
            <w:r>
              <w:rPr>
                <w:sz w:val="19"/>
              </w:rPr>
              <w:t>R-04</w:t>
            </w:r>
          </w:p>
        </w:tc>
        <w:tc>
          <w:tcPr>
            <w:tcW w:type="dxa" w:w="7937"/>
            <w:tcMar>
              <w:top w:w="80" w:type="dxa"/>
              <w:start w:w="110" w:type="dxa"/>
              <w:bottom w:w="80" w:type="dxa"/>
              <w:end w:w="110" w:type="dxa"/>
            </w:tcMar>
            <w:vAlign w:val="center"/>
          </w:tcPr>
          <w:p>
            <w:pPr>
              <w:jc w:val="left"/>
            </w:pPr>
            <w:r>
              <w:rPr>
                <w:sz w:val="19"/>
              </w:rPr>
              <w:t>La règle par défaut s’applique à la création; si l’utilisateur la surcharge, la surcharge ne vaut que pour cette dépense.</w:t>
            </w:r>
          </w:p>
        </w:tc>
      </w:tr>
      <w:tr>
        <w:tc>
          <w:tcPr>
            <w:tcW w:type="dxa" w:w="1134"/>
            <w:tcMar>
              <w:top w:w="80" w:type="dxa"/>
              <w:start w:w="110" w:type="dxa"/>
              <w:bottom w:w="80" w:type="dxa"/>
              <w:end w:w="110" w:type="dxa"/>
            </w:tcMar>
            <w:vAlign w:val="center"/>
          </w:tcPr>
          <w:p>
            <w:pPr>
              <w:jc w:val="center"/>
            </w:pPr>
            <w:r>
              <w:rPr>
                <w:sz w:val="19"/>
              </w:rPr>
              <w:t>R-05</w:t>
            </w:r>
          </w:p>
        </w:tc>
        <w:tc>
          <w:tcPr>
            <w:tcW w:type="dxa" w:w="7937"/>
            <w:tcMar>
              <w:top w:w="80" w:type="dxa"/>
              <w:start w:w="110" w:type="dxa"/>
              <w:bottom w:w="80" w:type="dxa"/>
              <w:end w:w="110" w:type="dxa"/>
            </w:tcMar>
            <w:vAlign w:val="center"/>
          </w:tcPr>
          <w:p>
            <w:pPr>
              <w:jc w:val="left"/>
            </w:pPr>
            <w:r>
              <w:rPr>
                <w:sz w:val="19"/>
              </w:rPr>
              <w:t>Modifier une dépense recalcule l’équilibre courant à partir des écritures sources, pas par patch approximatif.</w:t>
            </w:r>
          </w:p>
        </w:tc>
      </w:tr>
      <w:tr>
        <w:tc>
          <w:tcPr>
            <w:tcW w:type="dxa" w:w="1134"/>
            <w:tcMar>
              <w:top w:w="80" w:type="dxa"/>
              <w:start w:w="110" w:type="dxa"/>
              <w:bottom w:w="80" w:type="dxa"/>
              <w:end w:w="110" w:type="dxa"/>
            </w:tcMar>
            <w:vAlign w:val="center"/>
          </w:tcPr>
          <w:p>
            <w:pPr>
              <w:jc w:val="center"/>
            </w:pPr>
            <w:r>
              <w:rPr>
                <w:sz w:val="19"/>
              </w:rPr>
              <w:t>R-06</w:t>
            </w:r>
          </w:p>
        </w:tc>
        <w:tc>
          <w:tcPr>
            <w:tcW w:type="dxa" w:w="7937"/>
            <w:tcMar>
              <w:top w:w="80" w:type="dxa"/>
              <w:start w:w="110" w:type="dxa"/>
              <w:bottom w:w="80" w:type="dxa"/>
              <w:end w:w="110" w:type="dxa"/>
            </w:tcMar>
            <w:vAlign w:val="center"/>
          </w:tcPr>
          <w:p>
            <w:pPr>
              <w:jc w:val="left"/>
            </w:pPr>
            <w:r>
              <w:rPr>
                <w:sz w:val="19"/>
              </w:rPr>
              <w:t>Une régularisation est un événement distinct, pas une dépense négative cachée.</w:t>
            </w:r>
          </w:p>
        </w:tc>
      </w:tr>
      <w:tr>
        <w:tc>
          <w:tcPr>
            <w:tcW w:type="dxa" w:w="1134"/>
            <w:tcMar>
              <w:top w:w="80" w:type="dxa"/>
              <w:start w:w="110" w:type="dxa"/>
              <w:bottom w:w="80" w:type="dxa"/>
              <w:end w:w="110" w:type="dxa"/>
            </w:tcMar>
            <w:vAlign w:val="center"/>
          </w:tcPr>
          <w:p>
            <w:pPr>
              <w:jc w:val="center"/>
            </w:pPr>
            <w:r>
              <w:rPr>
                <w:sz w:val="19"/>
              </w:rPr>
              <w:t>R-07</w:t>
            </w:r>
          </w:p>
        </w:tc>
        <w:tc>
          <w:tcPr>
            <w:tcW w:type="dxa" w:w="7937"/>
            <w:tcMar>
              <w:top w:w="80" w:type="dxa"/>
              <w:start w:w="110" w:type="dxa"/>
              <w:bottom w:w="80" w:type="dxa"/>
              <w:end w:w="110" w:type="dxa"/>
            </w:tcMar>
            <w:vAlign w:val="center"/>
          </w:tcPr>
          <w:p>
            <w:pPr>
              <w:jc w:val="left"/>
            </w:pPr>
            <w:r>
              <w:rPr>
                <w:sz w:val="19"/>
              </w:rPr>
              <w:t>Une modification de la règle globale n’impacte pas rétroactivement les dépenses déjà validées.</w:t>
            </w:r>
          </w:p>
        </w:tc>
      </w:tr>
      <w:tr>
        <w:tc>
          <w:tcPr>
            <w:tcW w:type="dxa" w:w="1134"/>
            <w:tcMar>
              <w:top w:w="80" w:type="dxa"/>
              <w:start w:w="110" w:type="dxa"/>
              <w:bottom w:w="80" w:type="dxa"/>
              <w:end w:w="110" w:type="dxa"/>
            </w:tcMar>
            <w:vAlign w:val="center"/>
          </w:tcPr>
          <w:p>
            <w:pPr>
              <w:jc w:val="center"/>
            </w:pPr>
            <w:r>
              <w:rPr>
                <w:sz w:val="19"/>
              </w:rPr>
              <w:t>R-08</w:t>
            </w:r>
          </w:p>
        </w:tc>
        <w:tc>
          <w:tcPr>
            <w:tcW w:type="dxa" w:w="7937"/>
            <w:tcMar>
              <w:top w:w="80" w:type="dxa"/>
              <w:start w:w="110" w:type="dxa"/>
              <w:bottom w:w="80" w:type="dxa"/>
              <w:end w:w="110" w:type="dxa"/>
            </w:tcMar>
            <w:vAlign w:val="center"/>
          </w:tcPr>
          <w:p>
            <w:pPr>
              <w:jc w:val="left"/>
            </w:pPr>
            <w:r>
              <w:rPr>
                <w:sz w:val="19"/>
              </w:rPr>
              <w:t>Une récurrence génère une nouvelle instance éditable, sans lien destructif avec l’original.</w:t>
            </w:r>
          </w:p>
        </w:tc>
      </w:tr>
      <w:tr>
        <w:tc>
          <w:tcPr>
            <w:tcW w:type="dxa" w:w="1134"/>
            <w:tcMar>
              <w:top w:w="80" w:type="dxa"/>
              <w:start w:w="110" w:type="dxa"/>
              <w:bottom w:w="80" w:type="dxa"/>
              <w:end w:w="110" w:type="dxa"/>
            </w:tcMar>
            <w:vAlign w:val="center"/>
          </w:tcPr>
          <w:p>
            <w:pPr>
              <w:jc w:val="center"/>
            </w:pPr>
            <w:r>
              <w:rPr>
                <w:sz w:val="19"/>
              </w:rPr>
              <w:t>R-09</w:t>
            </w:r>
          </w:p>
        </w:tc>
        <w:tc>
          <w:tcPr>
            <w:tcW w:type="dxa" w:w="7937"/>
            <w:tcMar>
              <w:top w:w="80" w:type="dxa"/>
              <w:start w:w="110" w:type="dxa"/>
              <w:bottom w:w="80" w:type="dxa"/>
              <w:end w:w="110" w:type="dxa"/>
            </w:tcMar>
            <w:vAlign w:val="center"/>
          </w:tcPr>
          <w:p>
            <w:pPr>
              <w:jc w:val="left"/>
            </w:pPr>
            <w:r>
              <w:rPr>
                <w:sz w:val="19"/>
              </w:rPr>
              <w:t>Un solde partiel est possible : le statut soldé dépend du reste dû, pas d’un booléen simple.</w:t>
            </w:r>
          </w:p>
        </w:tc>
      </w:tr>
      <w:tr>
        <w:tc>
          <w:tcPr>
            <w:tcW w:type="dxa" w:w="1134"/>
            <w:tcMar>
              <w:top w:w="80" w:type="dxa"/>
              <w:start w:w="110" w:type="dxa"/>
              <w:bottom w:w="80" w:type="dxa"/>
              <w:end w:w="110" w:type="dxa"/>
            </w:tcMar>
            <w:vAlign w:val="center"/>
          </w:tcPr>
          <w:p>
            <w:pPr>
              <w:jc w:val="center"/>
            </w:pPr>
            <w:r>
              <w:rPr>
                <w:sz w:val="19"/>
              </w:rPr>
              <w:t>R-10</w:t>
            </w:r>
          </w:p>
        </w:tc>
        <w:tc>
          <w:tcPr>
            <w:tcW w:type="dxa" w:w="7937"/>
            <w:tcMar>
              <w:top w:w="80" w:type="dxa"/>
              <w:start w:w="110" w:type="dxa"/>
              <w:bottom w:w="80" w:type="dxa"/>
              <w:end w:w="110" w:type="dxa"/>
            </w:tcMar>
            <w:vAlign w:val="center"/>
          </w:tcPr>
          <w:p>
            <w:pPr>
              <w:jc w:val="left"/>
            </w:pPr>
            <w:r>
              <w:rPr>
                <w:sz w:val="19"/>
              </w:rPr>
              <w:t>Un objectif n’est jamais alimenté automatiquement sans confirmation explicite de l’utilisateur.</w:t>
            </w:r>
          </w:p>
        </w:tc>
      </w:tr>
    </w:tbl>
    <w:p>
      <w:pPr>
        <w:spacing w:after="60"/>
      </w:pPr>
    </w:p>
    <w:p>
      <w:pPr>
        <w:pStyle w:val="Heading1"/>
        <w:spacing w:after="120"/>
      </w:pPr>
      <w:r>
        <w:rPr>
          <w:b w:val="0"/>
        </w:rPr>
        <w:t>13. Modèle de données minimal</w:t>
      </w:r>
    </w:p>
    <w:tbl>
      <w:tblPr>
        <w:tblStyle w:val="TableGrid"/>
        <w:tblW w:type="auto" w:w="0"/>
        <w:jc w:val="center"/>
        <w:tblLook w:firstColumn="1" w:firstRow="1" w:lastColumn="0" w:lastRow="0" w:noHBand="0" w:noVBand="1" w:val="04A0"/>
      </w:tblPr>
      <w:tblGrid>
        <w:gridCol w:w="3324"/>
        <w:gridCol w:w="3324"/>
        <w:gridCol w:w="3324"/>
      </w:tblGrid>
      <w:tr>
        <w:tc>
          <w:tcPr>
            <w:tcW w:type="dxa" w:w="1871"/>
            <w:shd w:fill="EAF0FF"/>
            <w:tcMar>
              <w:top w:w="100" w:type="dxa"/>
              <w:start w:w="120" w:type="dxa"/>
              <w:bottom w:w="100" w:type="dxa"/>
              <w:end w:w="120" w:type="dxa"/>
            </w:tcMar>
            <w:vAlign w:val="center"/>
          </w:tcPr>
          <w:p>
            <w:pPr>
              <w:jc w:val="center"/>
            </w:pPr>
            <w:r>
              <w:rPr>
                <w:b/>
                <w:sz w:val="20"/>
              </w:rPr>
              <w:t>Entité</w:t>
            </w:r>
          </w:p>
        </w:tc>
        <w:tc>
          <w:tcPr>
            <w:tcW w:type="dxa" w:w="3402"/>
            <w:shd w:fill="EAF0FF"/>
            <w:tcMar>
              <w:top w:w="100" w:type="dxa"/>
              <w:start w:w="120" w:type="dxa"/>
              <w:bottom w:w="100" w:type="dxa"/>
              <w:end w:w="120" w:type="dxa"/>
            </w:tcMar>
            <w:vAlign w:val="center"/>
          </w:tcPr>
          <w:p>
            <w:pPr>
              <w:jc w:val="center"/>
            </w:pPr>
            <w:r>
              <w:rPr>
                <w:b/>
                <w:sz w:val="20"/>
              </w:rPr>
              <w:t>Champs clés</w:t>
            </w:r>
          </w:p>
        </w:tc>
        <w:tc>
          <w:tcPr>
            <w:tcW w:type="dxa" w:w="3798"/>
            <w:shd w:fill="EAF0FF"/>
            <w:tcMar>
              <w:top w:w="100" w:type="dxa"/>
              <w:start w:w="120" w:type="dxa"/>
              <w:bottom w:w="100" w:type="dxa"/>
              <w:end w:w="120" w:type="dxa"/>
            </w:tcMar>
            <w:vAlign w:val="center"/>
          </w:tcPr>
          <w:p>
            <w:pPr>
              <w:jc w:val="center"/>
            </w:pPr>
            <w:r>
              <w:rPr>
                <w:b/>
                <w:sz w:val="20"/>
              </w:rPr>
              <w:t>Notes</w:t>
            </w:r>
          </w:p>
        </w:tc>
      </w:tr>
      <w:tr>
        <w:tc>
          <w:tcPr>
            <w:tcW w:type="dxa" w:w="1871"/>
            <w:tcMar>
              <w:top w:w="80" w:type="dxa"/>
              <w:start w:w="110" w:type="dxa"/>
              <w:bottom w:w="80" w:type="dxa"/>
              <w:end w:w="110" w:type="dxa"/>
            </w:tcMar>
            <w:vAlign w:val="center"/>
          </w:tcPr>
          <w:p>
            <w:pPr>
              <w:jc w:val="center"/>
            </w:pPr>
            <w:r>
              <w:rPr>
                <w:sz w:val="19"/>
              </w:rPr>
              <w:t>User</w:t>
            </w:r>
          </w:p>
        </w:tc>
        <w:tc>
          <w:tcPr>
            <w:tcW w:type="dxa" w:w="3402"/>
            <w:tcMar>
              <w:top w:w="80" w:type="dxa"/>
              <w:start w:w="110" w:type="dxa"/>
              <w:bottom w:w="80" w:type="dxa"/>
              <w:end w:w="110" w:type="dxa"/>
            </w:tcMar>
            <w:vAlign w:val="center"/>
          </w:tcPr>
          <w:p>
            <w:pPr>
              <w:jc w:val="left"/>
            </w:pPr>
            <w:r>
              <w:rPr>
                <w:sz w:val="19"/>
              </w:rPr>
              <w:t>id, nom, email</w:t>
            </w:r>
          </w:p>
        </w:tc>
        <w:tc>
          <w:tcPr>
            <w:tcW w:type="dxa" w:w="3798"/>
            <w:tcMar>
              <w:top w:w="80" w:type="dxa"/>
              <w:start w:w="110" w:type="dxa"/>
              <w:bottom w:w="80" w:type="dxa"/>
              <w:end w:w="110" w:type="dxa"/>
            </w:tcMar>
            <w:vAlign w:val="center"/>
          </w:tcPr>
          <w:p>
            <w:pPr>
              <w:jc w:val="left"/>
            </w:pPr>
            <w:r>
              <w:rPr>
                <w:sz w:val="19"/>
              </w:rPr>
              <w:t>Un utilisateur peut appartenir à un foyer au MVP</w:t>
            </w:r>
          </w:p>
        </w:tc>
      </w:tr>
      <w:tr>
        <w:tc>
          <w:tcPr>
            <w:tcW w:type="dxa" w:w="1871"/>
            <w:tcMar>
              <w:top w:w="80" w:type="dxa"/>
              <w:start w:w="110" w:type="dxa"/>
              <w:bottom w:w="80" w:type="dxa"/>
              <w:end w:w="110" w:type="dxa"/>
            </w:tcMar>
            <w:vAlign w:val="center"/>
          </w:tcPr>
          <w:p>
            <w:pPr>
              <w:jc w:val="center"/>
            </w:pPr>
            <w:r>
              <w:rPr>
                <w:sz w:val="19"/>
              </w:rPr>
              <w:t>Household</w:t>
            </w:r>
          </w:p>
        </w:tc>
        <w:tc>
          <w:tcPr>
            <w:tcW w:type="dxa" w:w="3402"/>
            <w:tcMar>
              <w:top w:w="80" w:type="dxa"/>
              <w:start w:w="110" w:type="dxa"/>
              <w:bottom w:w="80" w:type="dxa"/>
              <w:end w:w="110" w:type="dxa"/>
            </w:tcMar>
            <w:vAlign w:val="center"/>
          </w:tcPr>
          <w:p>
            <w:pPr>
              <w:jc w:val="left"/>
            </w:pPr>
            <w:r>
              <w:rPr>
                <w:sz w:val="19"/>
              </w:rPr>
              <w:t>id, nom, devise</w:t>
            </w:r>
          </w:p>
        </w:tc>
        <w:tc>
          <w:tcPr>
            <w:tcW w:type="dxa" w:w="3798"/>
            <w:tcMar>
              <w:top w:w="80" w:type="dxa"/>
              <w:start w:w="110" w:type="dxa"/>
              <w:bottom w:w="80" w:type="dxa"/>
              <w:end w:w="110" w:type="dxa"/>
            </w:tcMar>
            <w:vAlign w:val="center"/>
          </w:tcPr>
          <w:p>
            <w:pPr>
              <w:jc w:val="left"/>
            </w:pPr>
            <w:r>
              <w:rPr>
                <w:sz w:val="19"/>
              </w:rPr>
              <w:t>Espace partagé du couple</w:t>
            </w:r>
          </w:p>
        </w:tc>
      </w:tr>
      <w:tr>
        <w:tc>
          <w:tcPr>
            <w:tcW w:type="dxa" w:w="1871"/>
            <w:tcMar>
              <w:top w:w="80" w:type="dxa"/>
              <w:start w:w="110" w:type="dxa"/>
              <w:bottom w:w="80" w:type="dxa"/>
              <w:end w:w="110" w:type="dxa"/>
            </w:tcMar>
            <w:vAlign w:val="center"/>
          </w:tcPr>
          <w:p>
            <w:pPr>
              <w:jc w:val="center"/>
            </w:pPr>
            <w:r>
              <w:rPr>
                <w:sz w:val="19"/>
              </w:rPr>
              <w:t>Member</w:t>
            </w:r>
          </w:p>
        </w:tc>
        <w:tc>
          <w:tcPr>
            <w:tcW w:type="dxa" w:w="3402"/>
            <w:tcMar>
              <w:top w:w="80" w:type="dxa"/>
              <w:start w:w="110" w:type="dxa"/>
              <w:bottom w:w="80" w:type="dxa"/>
              <w:end w:w="110" w:type="dxa"/>
            </w:tcMar>
            <w:vAlign w:val="center"/>
          </w:tcPr>
          <w:p>
            <w:pPr>
              <w:jc w:val="left"/>
            </w:pPr>
            <w:r>
              <w:rPr>
                <w:sz w:val="19"/>
              </w:rPr>
              <w:t>user_id, household_id, rôle</w:t>
            </w:r>
          </w:p>
        </w:tc>
        <w:tc>
          <w:tcPr>
            <w:tcW w:type="dxa" w:w="3798"/>
            <w:tcMar>
              <w:top w:w="80" w:type="dxa"/>
              <w:start w:w="110" w:type="dxa"/>
              <w:bottom w:w="80" w:type="dxa"/>
              <w:end w:w="110" w:type="dxa"/>
            </w:tcMar>
            <w:vAlign w:val="center"/>
          </w:tcPr>
          <w:p>
            <w:pPr>
              <w:jc w:val="left"/>
            </w:pPr>
            <w:r>
              <w:rPr>
                <w:sz w:val="19"/>
              </w:rPr>
              <w:t>Permet l’extension famille plus tard</w:t>
            </w:r>
          </w:p>
        </w:tc>
      </w:tr>
      <w:tr>
        <w:tc>
          <w:tcPr>
            <w:tcW w:type="dxa" w:w="1871"/>
            <w:tcMar>
              <w:top w:w="80" w:type="dxa"/>
              <w:start w:w="110" w:type="dxa"/>
              <w:bottom w:w="80" w:type="dxa"/>
              <w:end w:w="110" w:type="dxa"/>
            </w:tcMar>
            <w:vAlign w:val="center"/>
          </w:tcPr>
          <w:p>
            <w:pPr>
              <w:jc w:val="center"/>
            </w:pPr>
            <w:r>
              <w:rPr>
                <w:sz w:val="19"/>
              </w:rPr>
              <w:t>Expense</w:t>
            </w:r>
          </w:p>
        </w:tc>
        <w:tc>
          <w:tcPr>
            <w:tcW w:type="dxa" w:w="3402"/>
            <w:tcMar>
              <w:top w:w="80" w:type="dxa"/>
              <w:start w:w="110" w:type="dxa"/>
              <w:bottom w:w="80" w:type="dxa"/>
              <w:end w:w="110" w:type="dxa"/>
            </w:tcMar>
            <w:vAlign w:val="center"/>
          </w:tcPr>
          <w:p>
            <w:pPr>
              <w:jc w:val="left"/>
            </w:pPr>
            <w:r>
              <w:rPr>
                <w:sz w:val="19"/>
              </w:rPr>
              <w:t>id, household_id, amount, date, payer_id, category_id, type</w:t>
            </w:r>
          </w:p>
        </w:tc>
        <w:tc>
          <w:tcPr>
            <w:tcW w:type="dxa" w:w="3798"/>
            <w:tcMar>
              <w:top w:w="80" w:type="dxa"/>
              <w:start w:w="110" w:type="dxa"/>
              <w:bottom w:w="80" w:type="dxa"/>
              <w:end w:w="110" w:type="dxa"/>
            </w:tcMar>
            <w:vAlign w:val="center"/>
          </w:tcPr>
          <w:p>
            <w:pPr>
              <w:jc w:val="left"/>
            </w:pPr>
            <w:r>
              <w:rPr>
                <w:sz w:val="19"/>
              </w:rPr>
              <w:t>Unité centrale</w:t>
            </w:r>
          </w:p>
        </w:tc>
      </w:tr>
      <w:tr>
        <w:tc>
          <w:tcPr>
            <w:tcW w:type="dxa" w:w="1871"/>
            <w:tcMar>
              <w:top w:w="80" w:type="dxa"/>
              <w:start w:w="110" w:type="dxa"/>
              <w:bottom w:w="80" w:type="dxa"/>
              <w:end w:w="110" w:type="dxa"/>
            </w:tcMar>
            <w:vAlign w:val="center"/>
          </w:tcPr>
          <w:p>
            <w:pPr>
              <w:jc w:val="center"/>
            </w:pPr>
            <w:r>
              <w:rPr>
                <w:sz w:val="19"/>
              </w:rPr>
              <w:t>ExpenseSplit</w:t>
            </w:r>
          </w:p>
        </w:tc>
        <w:tc>
          <w:tcPr>
            <w:tcW w:type="dxa" w:w="3402"/>
            <w:tcMar>
              <w:top w:w="80" w:type="dxa"/>
              <w:start w:w="110" w:type="dxa"/>
              <w:bottom w:w="80" w:type="dxa"/>
              <w:end w:w="110" w:type="dxa"/>
            </w:tcMar>
            <w:vAlign w:val="center"/>
          </w:tcPr>
          <w:p>
            <w:pPr>
              <w:jc w:val="left"/>
            </w:pPr>
            <w:r>
              <w:rPr>
                <w:sz w:val="19"/>
              </w:rPr>
              <w:t>expense_id, member_id, percent, amount_due</w:t>
            </w:r>
          </w:p>
        </w:tc>
        <w:tc>
          <w:tcPr>
            <w:tcW w:type="dxa" w:w="3798"/>
            <w:tcMar>
              <w:top w:w="80" w:type="dxa"/>
              <w:start w:w="110" w:type="dxa"/>
              <w:bottom w:w="80" w:type="dxa"/>
              <w:end w:w="110" w:type="dxa"/>
            </w:tcMar>
            <w:vAlign w:val="center"/>
          </w:tcPr>
          <w:p>
            <w:pPr>
              <w:jc w:val="left"/>
            </w:pPr>
            <w:r>
              <w:rPr>
                <w:sz w:val="19"/>
              </w:rPr>
              <w:t>Répartition calculée et persistée</w:t>
            </w:r>
          </w:p>
        </w:tc>
      </w:tr>
      <w:tr>
        <w:tc>
          <w:tcPr>
            <w:tcW w:type="dxa" w:w="1871"/>
            <w:tcMar>
              <w:top w:w="80" w:type="dxa"/>
              <w:start w:w="110" w:type="dxa"/>
              <w:bottom w:w="80" w:type="dxa"/>
              <w:end w:w="110" w:type="dxa"/>
            </w:tcMar>
            <w:vAlign w:val="center"/>
          </w:tcPr>
          <w:p>
            <w:pPr>
              <w:jc w:val="center"/>
            </w:pPr>
            <w:r>
              <w:rPr>
                <w:sz w:val="19"/>
              </w:rPr>
              <w:t>Settlement</w:t>
            </w:r>
          </w:p>
        </w:tc>
        <w:tc>
          <w:tcPr>
            <w:tcW w:type="dxa" w:w="3402"/>
            <w:tcMar>
              <w:top w:w="80" w:type="dxa"/>
              <w:start w:w="110" w:type="dxa"/>
              <w:bottom w:w="80" w:type="dxa"/>
              <w:end w:w="110" w:type="dxa"/>
            </w:tcMar>
            <w:vAlign w:val="center"/>
          </w:tcPr>
          <w:p>
            <w:pPr>
              <w:jc w:val="left"/>
            </w:pPr>
            <w:r>
              <w:rPr>
                <w:sz w:val="19"/>
              </w:rPr>
              <w:t>id, household_id, from_member, to_member, amount, date</w:t>
            </w:r>
          </w:p>
        </w:tc>
        <w:tc>
          <w:tcPr>
            <w:tcW w:type="dxa" w:w="3798"/>
            <w:tcMar>
              <w:top w:w="80" w:type="dxa"/>
              <w:start w:w="110" w:type="dxa"/>
              <w:bottom w:w="80" w:type="dxa"/>
              <w:end w:w="110" w:type="dxa"/>
            </w:tcMar>
            <w:vAlign w:val="center"/>
          </w:tcPr>
          <w:p>
            <w:pPr>
              <w:jc w:val="left"/>
            </w:pPr>
            <w:r>
              <w:rPr>
                <w:sz w:val="19"/>
              </w:rPr>
              <w:t>Régularisation explicite</w:t>
            </w:r>
          </w:p>
        </w:tc>
      </w:tr>
      <w:tr>
        <w:tc>
          <w:tcPr>
            <w:tcW w:type="dxa" w:w="1871"/>
            <w:tcMar>
              <w:top w:w="80" w:type="dxa"/>
              <w:start w:w="110" w:type="dxa"/>
              <w:bottom w:w="80" w:type="dxa"/>
              <w:end w:w="110" w:type="dxa"/>
            </w:tcMar>
            <w:vAlign w:val="center"/>
          </w:tcPr>
          <w:p>
            <w:pPr>
              <w:jc w:val="center"/>
            </w:pPr>
            <w:r>
              <w:rPr>
                <w:sz w:val="19"/>
              </w:rPr>
              <w:t>Category</w:t>
            </w:r>
          </w:p>
        </w:tc>
        <w:tc>
          <w:tcPr>
            <w:tcW w:type="dxa" w:w="3402"/>
            <w:tcMar>
              <w:top w:w="80" w:type="dxa"/>
              <w:start w:w="110" w:type="dxa"/>
              <w:bottom w:w="80" w:type="dxa"/>
              <w:end w:w="110" w:type="dxa"/>
            </w:tcMar>
            <w:vAlign w:val="center"/>
          </w:tcPr>
          <w:p>
            <w:pPr>
              <w:jc w:val="left"/>
            </w:pPr>
            <w:r>
              <w:rPr>
                <w:sz w:val="19"/>
              </w:rPr>
              <w:t>id, household_id, nom, parent_id</w:t>
            </w:r>
          </w:p>
        </w:tc>
        <w:tc>
          <w:tcPr>
            <w:tcW w:type="dxa" w:w="3798"/>
            <w:tcMar>
              <w:top w:w="80" w:type="dxa"/>
              <w:start w:w="110" w:type="dxa"/>
              <w:bottom w:w="80" w:type="dxa"/>
              <w:end w:w="110" w:type="dxa"/>
            </w:tcMar>
            <w:vAlign w:val="center"/>
          </w:tcPr>
          <w:p>
            <w:pPr>
              <w:jc w:val="left"/>
            </w:pPr>
            <w:r>
              <w:rPr>
                <w:sz w:val="19"/>
              </w:rPr>
              <w:t>Catégories personnalisables</w:t>
            </w:r>
          </w:p>
        </w:tc>
      </w:tr>
      <w:tr>
        <w:tc>
          <w:tcPr>
            <w:tcW w:type="dxa" w:w="1871"/>
            <w:tcMar>
              <w:top w:w="80" w:type="dxa"/>
              <w:start w:w="110" w:type="dxa"/>
              <w:bottom w:w="80" w:type="dxa"/>
              <w:end w:w="110" w:type="dxa"/>
            </w:tcMar>
            <w:vAlign w:val="center"/>
          </w:tcPr>
          <w:p>
            <w:pPr>
              <w:jc w:val="left"/>
            </w:pPr>
            <w:r>
              <w:rPr>
                <w:sz w:val="19"/>
              </w:rPr>
              <w:t>RecurringExpenseTemplate</w:t>
            </w:r>
          </w:p>
        </w:tc>
        <w:tc>
          <w:tcPr>
            <w:tcW w:type="dxa" w:w="3402"/>
            <w:tcMar>
              <w:top w:w="80" w:type="dxa"/>
              <w:start w:w="110" w:type="dxa"/>
              <w:bottom w:w="80" w:type="dxa"/>
              <w:end w:w="110" w:type="dxa"/>
            </w:tcMar>
            <w:vAlign w:val="center"/>
          </w:tcPr>
          <w:p>
            <w:pPr>
              <w:jc w:val="left"/>
            </w:pPr>
            <w:r>
              <w:rPr>
                <w:sz w:val="19"/>
              </w:rPr>
              <w:t>id, cadence, next_date</w:t>
            </w:r>
          </w:p>
        </w:tc>
        <w:tc>
          <w:tcPr>
            <w:tcW w:type="dxa" w:w="3798"/>
            <w:tcMar>
              <w:top w:w="80" w:type="dxa"/>
              <w:start w:w="110" w:type="dxa"/>
              <w:bottom w:w="80" w:type="dxa"/>
              <w:end w:w="110" w:type="dxa"/>
            </w:tcMar>
            <w:vAlign w:val="center"/>
          </w:tcPr>
          <w:p>
            <w:pPr>
              <w:jc w:val="left"/>
            </w:pPr>
            <w:r>
              <w:rPr>
                <w:sz w:val="19"/>
              </w:rPr>
              <w:t>Génère des dépenses futures</w:t>
            </w:r>
          </w:p>
        </w:tc>
      </w:tr>
      <w:tr>
        <w:tc>
          <w:tcPr>
            <w:tcW w:type="dxa" w:w="1871"/>
            <w:tcMar>
              <w:top w:w="80" w:type="dxa"/>
              <w:start w:w="110" w:type="dxa"/>
              <w:bottom w:w="80" w:type="dxa"/>
              <w:end w:w="110" w:type="dxa"/>
            </w:tcMar>
            <w:vAlign w:val="center"/>
          </w:tcPr>
          <w:p>
            <w:pPr>
              <w:jc w:val="center"/>
            </w:pPr>
            <w:r>
              <w:rPr>
                <w:sz w:val="19"/>
              </w:rPr>
              <w:t>Goal</w:t>
            </w:r>
          </w:p>
        </w:tc>
        <w:tc>
          <w:tcPr>
            <w:tcW w:type="dxa" w:w="3402"/>
            <w:tcMar>
              <w:top w:w="80" w:type="dxa"/>
              <w:start w:w="110" w:type="dxa"/>
              <w:bottom w:w="80" w:type="dxa"/>
              <w:end w:w="110" w:type="dxa"/>
            </w:tcMar>
            <w:vAlign w:val="center"/>
          </w:tcPr>
          <w:p>
            <w:pPr>
              <w:jc w:val="left"/>
            </w:pPr>
            <w:r>
              <w:rPr>
                <w:sz w:val="19"/>
              </w:rPr>
              <w:t>id, target_amount, current_amount, target_date, owner_scope</w:t>
            </w:r>
          </w:p>
        </w:tc>
        <w:tc>
          <w:tcPr>
            <w:tcW w:type="dxa" w:w="3798"/>
            <w:tcMar>
              <w:top w:w="80" w:type="dxa"/>
              <w:start w:w="110" w:type="dxa"/>
              <w:bottom w:w="80" w:type="dxa"/>
              <w:end w:w="110" w:type="dxa"/>
            </w:tcMar>
            <w:vAlign w:val="center"/>
          </w:tcPr>
          <w:p>
            <w:pPr>
              <w:jc w:val="left"/>
            </w:pPr>
            <w:r>
              <w:rPr>
                <w:sz w:val="19"/>
              </w:rPr>
              <w:t>Commun ou solo</w:t>
            </w:r>
          </w:p>
        </w:tc>
      </w:tr>
      <w:tr>
        <w:tc>
          <w:tcPr>
            <w:tcW w:type="dxa" w:w="1871"/>
            <w:tcMar>
              <w:top w:w="80" w:type="dxa"/>
              <w:start w:w="110" w:type="dxa"/>
              <w:bottom w:w="80" w:type="dxa"/>
              <w:end w:w="110" w:type="dxa"/>
            </w:tcMar>
            <w:vAlign w:val="center"/>
          </w:tcPr>
          <w:p>
            <w:pPr>
              <w:jc w:val="center"/>
            </w:pPr>
            <w:r>
              <w:rPr>
                <w:sz w:val="19"/>
              </w:rPr>
              <w:t>DecisionNote</w:t>
            </w:r>
          </w:p>
        </w:tc>
        <w:tc>
          <w:tcPr>
            <w:tcW w:type="dxa" w:w="3402"/>
            <w:tcMar>
              <w:top w:w="80" w:type="dxa"/>
              <w:start w:w="110" w:type="dxa"/>
              <w:bottom w:w="80" w:type="dxa"/>
              <w:end w:w="110" w:type="dxa"/>
            </w:tcMar>
            <w:vAlign w:val="center"/>
          </w:tcPr>
          <w:p>
            <w:pPr>
              <w:jc w:val="left"/>
            </w:pPr>
            <w:r>
              <w:rPr>
                <w:sz w:val="19"/>
              </w:rPr>
              <w:t>id, household_id, month, texte</w:t>
            </w:r>
          </w:p>
        </w:tc>
        <w:tc>
          <w:tcPr>
            <w:tcW w:type="dxa" w:w="3798"/>
            <w:tcMar>
              <w:top w:w="80" w:type="dxa"/>
              <w:start w:w="110" w:type="dxa"/>
              <w:bottom w:w="80" w:type="dxa"/>
              <w:end w:w="110" w:type="dxa"/>
            </w:tcMar>
            <w:vAlign w:val="center"/>
          </w:tcPr>
          <w:p>
            <w:pPr>
              <w:jc w:val="left"/>
            </w:pPr>
            <w:r>
              <w:rPr>
                <w:sz w:val="19"/>
              </w:rPr>
              <w:t>Mémoire du point mensuel</w:t>
            </w:r>
          </w:p>
        </w:tc>
      </w:tr>
    </w:tbl>
    <w:p>
      <w:pPr>
        <w:spacing w:after="60"/>
      </w:pPr>
    </w:p>
    <w:p>
      <w:pPr>
        <w:pStyle w:val="Heading1"/>
        <w:spacing w:after="120"/>
      </w:pPr>
      <w:r>
        <w:rPr>
          <w:b w:val="0"/>
        </w:rPr>
        <w:t>14. UX/UI — règles à ne pas casser</w:t>
      </w:r>
    </w:p>
    <w:p>
      <w:pPr>
        <w:spacing w:after="40"/>
        <w:ind w:left="283"/>
      </w:pPr>
      <w:r>
        <w:rPr>
          <w:sz w:val="21"/>
        </w:rPr>
        <w:t>• Une seule action primaire visible par écran.</w:t>
      </w:r>
    </w:p>
    <w:p>
      <w:pPr>
        <w:spacing w:after="40"/>
        <w:ind w:left="283"/>
      </w:pPr>
      <w:r>
        <w:rPr>
          <w:sz w:val="21"/>
        </w:rPr>
        <w:t>• Sur mobile, l’accueil ne doit pas dépasser 4 à 6 cartes sans scroll lourd.</w:t>
      </w:r>
    </w:p>
    <w:p>
      <w:pPr>
        <w:spacing w:after="40"/>
        <w:ind w:left="283"/>
      </w:pPr>
      <w:r>
        <w:rPr>
          <w:sz w:val="21"/>
        </w:rPr>
        <w:t>• Le formulaire d’ajout standard n’affiche pas plus de 6 champs avant les options avancées.</w:t>
      </w:r>
    </w:p>
    <w:p>
      <w:pPr>
        <w:spacing w:after="40"/>
        <w:ind w:left="283"/>
      </w:pPr>
      <w:r>
        <w:rPr>
          <w:sz w:val="21"/>
        </w:rPr>
        <w:t>• Le code couleur doit être sobre : 1 couleur d’accent, 1 neutre chaud, 1 couleur d’alerte douce.</w:t>
      </w:r>
    </w:p>
    <w:p>
      <w:pPr>
        <w:spacing w:after="40"/>
        <w:ind w:left="283"/>
      </w:pPr>
      <w:r>
        <w:rPr>
          <w:sz w:val="21"/>
        </w:rPr>
        <w:t>• Les graphiques ne doivent jamais remplacer une phrase claire.</w:t>
      </w:r>
    </w:p>
    <w:p>
      <w:pPr>
        <w:spacing w:after="40"/>
        <w:ind w:left="283"/>
      </w:pPr>
      <w:r>
        <w:rPr>
          <w:sz w:val="21"/>
        </w:rPr>
        <w:t>• Toutes les formulations sensibles doivent rester neutres : “écart à régulariser” plutôt que “tu dois”.</w:t>
      </w:r>
    </w:p>
    <w:p>
      <w:pPr>
        <w:spacing w:after="40"/>
        <w:ind w:left="283"/>
      </w:pPr>
      <w:r>
        <w:rPr>
          <w:sz w:val="21"/>
        </w:rPr>
        <w:t>• Les alertes doivent être informatives, pas anxiogènes.</w:t>
      </w:r>
    </w:p>
    <w:p>
      <w:pPr>
        <w:pStyle w:val="Heading1"/>
        <w:spacing w:after="120"/>
      </w:pPr>
      <w:r>
        <w:rPr>
          <w:b w:val="0"/>
        </w:rPr>
        <w:t>15. KPIs de succès</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EAF0FF"/>
            <w:tcMar>
              <w:top w:w="100" w:type="dxa"/>
              <w:start w:w="120" w:type="dxa"/>
              <w:bottom w:w="100" w:type="dxa"/>
              <w:end w:w="120" w:type="dxa"/>
            </w:tcMar>
            <w:vAlign w:val="center"/>
          </w:tcPr>
          <w:p>
            <w:pPr>
              <w:jc w:val="center"/>
            </w:pPr>
            <w:r>
              <w:rPr>
                <w:b/>
                <w:sz w:val="20"/>
              </w:rPr>
              <w:t>KPI</w:t>
            </w:r>
          </w:p>
        </w:tc>
        <w:tc>
          <w:tcPr>
            <w:tcW w:type="dxa" w:w="3402"/>
            <w:shd w:fill="EAF0FF"/>
            <w:tcMar>
              <w:top w:w="100" w:type="dxa"/>
              <w:start w:w="120" w:type="dxa"/>
              <w:bottom w:w="100" w:type="dxa"/>
              <w:end w:w="120" w:type="dxa"/>
            </w:tcMar>
            <w:vAlign w:val="center"/>
          </w:tcPr>
          <w:p>
            <w:pPr>
              <w:jc w:val="center"/>
            </w:pPr>
            <w:r>
              <w:rPr>
                <w:b/>
                <w:sz w:val="20"/>
              </w:rPr>
              <w:t>Pourquoi</w:t>
            </w:r>
          </w:p>
        </w:tc>
        <w:tc>
          <w:tcPr>
            <w:tcW w:type="dxa" w:w="2721"/>
            <w:shd w:fill="EAF0FF"/>
            <w:tcMar>
              <w:top w:w="100" w:type="dxa"/>
              <w:start w:w="120" w:type="dxa"/>
              <w:bottom w:w="100" w:type="dxa"/>
              <w:end w:w="120" w:type="dxa"/>
            </w:tcMar>
            <w:vAlign w:val="center"/>
          </w:tcPr>
          <w:p>
            <w:pPr>
              <w:jc w:val="center"/>
            </w:pPr>
            <w:r>
              <w:rPr>
                <w:b/>
                <w:sz w:val="20"/>
              </w:rPr>
              <w:t>Cible de départ</w:t>
            </w:r>
          </w:p>
        </w:tc>
      </w:tr>
      <w:tr>
        <w:tc>
          <w:tcPr>
            <w:tcW w:type="dxa" w:w="2835"/>
            <w:tcMar>
              <w:top w:w="80" w:type="dxa"/>
              <w:start w:w="110" w:type="dxa"/>
              <w:bottom w:w="80" w:type="dxa"/>
              <w:end w:w="110" w:type="dxa"/>
            </w:tcMar>
            <w:vAlign w:val="center"/>
          </w:tcPr>
          <w:p>
            <w:pPr>
              <w:jc w:val="left"/>
            </w:pPr>
            <w:r>
              <w:rPr>
                <w:sz w:val="19"/>
              </w:rPr>
              <w:t>Temps moyen d’ajout d’une dépense</w:t>
            </w:r>
          </w:p>
        </w:tc>
        <w:tc>
          <w:tcPr>
            <w:tcW w:type="dxa" w:w="3402"/>
            <w:tcMar>
              <w:top w:w="80" w:type="dxa"/>
              <w:start w:w="110" w:type="dxa"/>
              <w:bottom w:w="80" w:type="dxa"/>
              <w:end w:w="110" w:type="dxa"/>
            </w:tcMar>
            <w:vAlign w:val="center"/>
          </w:tcPr>
          <w:p>
            <w:pPr>
              <w:jc w:val="left"/>
            </w:pPr>
            <w:r>
              <w:rPr>
                <w:sz w:val="19"/>
              </w:rPr>
              <w:t>Mesure la friction principale</w:t>
            </w:r>
          </w:p>
        </w:tc>
        <w:tc>
          <w:tcPr>
            <w:tcW w:type="dxa" w:w="2721"/>
            <w:tcMar>
              <w:top w:w="80" w:type="dxa"/>
              <w:start w:w="110" w:type="dxa"/>
              <w:bottom w:w="80" w:type="dxa"/>
              <w:end w:w="110" w:type="dxa"/>
            </w:tcMar>
            <w:vAlign w:val="center"/>
          </w:tcPr>
          <w:p>
            <w:pPr>
              <w:jc w:val="left"/>
            </w:pPr>
            <w:r>
              <w:rPr>
                <w:sz w:val="19"/>
              </w:rPr>
              <w:t>&lt; 15 secondes</w:t>
            </w:r>
          </w:p>
        </w:tc>
      </w:tr>
      <w:tr>
        <w:tc>
          <w:tcPr>
            <w:tcW w:type="dxa" w:w="2835"/>
            <w:tcMar>
              <w:top w:w="80" w:type="dxa"/>
              <w:start w:w="110" w:type="dxa"/>
              <w:bottom w:w="80" w:type="dxa"/>
              <w:end w:w="110" w:type="dxa"/>
            </w:tcMar>
            <w:vAlign w:val="center"/>
          </w:tcPr>
          <w:p>
            <w:pPr>
              <w:jc w:val="left"/>
            </w:pPr>
            <w:r>
              <w:rPr>
                <w:sz w:val="19"/>
              </w:rPr>
              <w:t>Nombre de dépenses ajoutées par semaine</w:t>
            </w:r>
          </w:p>
        </w:tc>
        <w:tc>
          <w:tcPr>
            <w:tcW w:type="dxa" w:w="3402"/>
            <w:tcMar>
              <w:top w:w="80" w:type="dxa"/>
              <w:start w:w="110" w:type="dxa"/>
              <w:bottom w:w="80" w:type="dxa"/>
              <w:end w:w="110" w:type="dxa"/>
            </w:tcMar>
            <w:vAlign w:val="center"/>
          </w:tcPr>
          <w:p>
            <w:pPr>
              <w:jc w:val="left"/>
            </w:pPr>
            <w:r>
              <w:rPr>
                <w:sz w:val="19"/>
              </w:rPr>
              <w:t>Mesure l’usage réel</w:t>
            </w:r>
          </w:p>
        </w:tc>
        <w:tc>
          <w:tcPr>
            <w:tcW w:type="dxa" w:w="2721"/>
            <w:tcMar>
              <w:top w:w="80" w:type="dxa"/>
              <w:start w:w="110" w:type="dxa"/>
              <w:bottom w:w="80" w:type="dxa"/>
              <w:end w:w="110" w:type="dxa"/>
            </w:tcMar>
            <w:vAlign w:val="center"/>
          </w:tcPr>
          <w:p>
            <w:pPr>
              <w:jc w:val="left"/>
            </w:pPr>
            <w:r>
              <w:rPr>
                <w:sz w:val="19"/>
              </w:rPr>
              <w:t>≥ 5 par foyer actif</w:t>
            </w:r>
          </w:p>
        </w:tc>
      </w:tr>
      <w:tr>
        <w:tc>
          <w:tcPr>
            <w:tcW w:type="dxa" w:w="2835"/>
            <w:tcMar>
              <w:top w:w="80" w:type="dxa"/>
              <w:start w:w="110" w:type="dxa"/>
              <w:bottom w:w="80" w:type="dxa"/>
              <w:end w:w="110" w:type="dxa"/>
            </w:tcMar>
            <w:vAlign w:val="center"/>
          </w:tcPr>
          <w:p>
            <w:pPr>
              <w:jc w:val="left"/>
            </w:pPr>
            <w:r>
              <w:rPr>
                <w:sz w:val="19"/>
              </w:rPr>
              <w:t>Consultation de l’accueil</w:t>
            </w:r>
          </w:p>
        </w:tc>
        <w:tc>
          <w:tcPr>
            <w:tcW w:type="dxa" w:w="3402"/>
            <w:tcMar>
              <w:top w:w="80" w:type="dxa"/>
              <w:start w:w="110" w:type="dxa"/>
              <w:bottom w:w="80" w:type="dxa"/>
              <w:end w:w="110" w:type="dxa"/>
            </w:tcMar>
            <w:vAlign w:val="center"/>
          </w:tcPr>
          <w:p>
            <w:pPr>
              <w:jc w:val="left"/>
            </w:pPr>
            <w:r>
              <w:rPr>
                <w:sz w:val="19"/>
              </w:rPr>
              <w:t>Mesure la valeur dashboard</w:t>
            </w:r>
          </w:p>
        </w:tc>
        <w:tc>
          <w:tcPr>
            <w:tcW w:type="dxa" w:w="2721"/>
            <w:tcMar>
              <w:top w:w="80" w:type="dxa"/>
              <w:start w:w="110" w:type="dxa"/>
              <w:bottom w:w="80" w:type="dxa"/>
              <w:end w:w="110" w:type="dxa"/>
            </w:tcMar>
            <w:vAlign w:val="center"/>
          </w:tcPr>
          <w:p>
            <w:pPr>
              <w:jc w:val="left"/>
            </w:pPr>
            <w:r>
              <w:rPr>
                <w:sz w:val="19"/>
              </w:rPr>
              <w:t>≥ 3 ouvertures/semaine</w:t>
            </w:r>
          </w:p>
        </w:tc>
      </w:tr>
      <w:tr>
        <w:tc>
          <w:tcPr>
            <w:tcW w:type="dxa" w:w="2835"/>
            <w:tcMar>
              <w:top w:w="80" w:type="dxa"/>
              <w:start w:w="110" w:type="dxa"/>
              <w:bottom w:w="80" w:type="dxa"/>
              <w:end w:w="110" w:type="dxa"/>
            </w:tcMar>
            <w:vAlign w:val="center"/>
          </w:tcPr>
          <w:p>
            <w:pPr>
              <w:jc w:val="left"/>
            </w:pPr>
            <w:r>
              <w:rPr>
                <w:sz w:val="19"/>
              </w:rPr>
              <w:t>Taux d’usage écran Répartition</w:t>
            </w:r>
          </w:p>
        </w:tc>
        <w:tc>
          <w:tcPr>
            <w:tcW w:type="dxa" w:w="3402"/>
            <w:tcMar>
              <w:top w:w="80" w:type="dxa"/>
              <w:start w:w="110" w:type="dxa"/>
              <w:bottom w:w="80" w:type="dxa"/>
              <w:end w:w="110" w:type="dxa"/>
            </w:tcMar>
            <w:vAlign w:val="center"/>
          </w:tcPr>
          <w:p>
            <w:pPr>
              <w:jc w:val="left"/>
            </w:pPr>
            <w:r>
              <w:rPr>
                <w:sz w:val="19"/>
              </w:rPr>
              <w:t>Valide le cœur du besoin</w:t>
            </w:r>
          </w:p>
        </w:tc>
        <w:tc>
          <w:tcPr>
            <w:tcW w:type="dxa" w:w="2721"/>
            <w:tcMar>
              <w:top w:w="80" w:type="dxa"/>
              <w:start w:w="110" w:type="dxa"/>
              <w:bottom w:w="80" w:type="dxa"/>
              <w:end w:w="110" w:type="dxa"/>
            </w:tcMar>
            <w:vAlign w:val="center"/>
          </w:tcPr>
          <w:p>
            <w:pPr>
              <w:jc w:val="left"/>
            </w:pPr>
            <w:r>
              <w:rPr>
                <w:sz w:val="19"/>
              </w:rPr>
              <w:t>≥ 1 usage/semaine</w:t>
            </w:r>
          </w:p>
        </w:tc>
      </w:tr>
      <w:tr>
        <w:tc>
          <w:tcPr>
            <w:tcW w:type="dxa" w:w="2835"/>
            <w:tcMar>
              <w:top w:w="80" w:type="dxa"/>
              <w:start w:w="110" w:type="dxa"/>
              <w:bottom w:w="80" w:type="dxa"/>
              <w:end w:w="110" w:type="dxa"/>
            </w:tcMar>
            <w:vAlign w:val="center"/>
          </w:tcPr>
          <w:p>
            <w:pPr>
              <w:jc w:val="center"/>
            </w:pPr>
            <w:r>
              <w:rPr>
                <w:sz w:val="19"/>
              </w:rPr>
              <w:t>Objectif créé</w:t>
            </w:r>
          </w:p>
        </w:tc>
        <w:tc>
          <w:tcPr>
            <w:tcW w:type="dxa" w:w="3402"/>
            <w:tcMar>
              <w:top w:w="80" w:type="dxa"/>
              <w:start w:w="110" w:type="dxa"/>
              <w:bottom w:w="80" w:type="dxa"/>
              <w:end w:w="110" w:type="dxa"/>
            </w:tcMar>
            <w:vAlign w:val="center"/>
          </w:tcPr>
          <w:p>
            <w:pPr>
              <w:jc w:val="left"/>
            </w:pPr>
            <w:r>
              <w:rPr>
                <w:sz w:val="19"/>
              </w:rPr>
              <w:t>Valide l’angle projection</w:t>
            </w:r>
          </w:p>
        </w:tc>
        <w:tc>
          <w:tcPr>
            <w:tcW w:type="dxa" w:w="2721"/>
            <w:tcMar>
              <w:top w:w="80" w:type="dxa"/>
              <w:start w:w="110" w:type="dxa"/>
              <w:bottom w:w="80" w:type="dxa"/>
              <w:end w:w="110" w:type="dxa"/>
            </w:tcMar>
            <w:vAlign w:val="center"/>
          </w:tcPr>
          <w:p>
            <w:pPr>
              <w:jc w:val="left"/>
            </w:pPr>
            <w:r>
              <w:rPr>
                <w:sz w:val="19"/>
              </w:rPr>
              <w:t>≥ 1 objectif dans 60% des foyers</w:t>
            </w:r>
          </w:p>
        </w:tc>
      </w:tr>
      <w:tr>
        <w:tc>
          <w:tcPr>
            <w:tcW w:type="dxa" w:w="2835"/>
            <w:tcMar>
              <w:top w:w="80" w:type="dxa"/>
              <w:start w:w="110" w:type="dxa"/>
              <w:bottom w:w="80" w:type="dxa"/>
              <w:end w:w="110" w:type="dxa"/>
            </w:tcMar>
            <w:vAlign w:val="center"/>
          </w:tcPr>
          <w:p>
            <w:pPr>
              <w:jc w:val="left"/>
            </w:pPr>
            <w:r>
              <w:rPr>
                <w:sz w:val="19"/>
              </w:rPr>
              <w:t>Rétention 4 semaines</w:t>
            </w:r>
          </w:p>
        </w:tc>
        <w:tc>
          <w:tcPr>
            <w:tcW w:type="dxa" w:w="3402"/>
            <w:tcMar>
              <w:top w:w="80" w:type="dxa"/>
              <w:start w:w="110" w:type="dxa"/>
              <w:bottom w:w="80" w:type="dxa"/>
              <w:end w:w="110" w:type="dxa"/>
            </w:tcMar>
            <w:vAlign w:val="center"/>
          </w:tcPr>
          <w:p>
            <w:pPr>
              <w:jc w:val="left"/>
            </w:pPr>
            <w:r>
              <w:rPr>
                <w:sz w:val="19"/>
              </w:rPr>
              <w:t>Mesure le fit</w:t>
            </w:r>
          </w:p>
        </w:tc>
        <w:tc>
          <w:tcPr>
            <w:tcW w:type="dxa" w:w="2721"/>
            <w:tcMar>
              <w:top w:w="80" w:type="dxa"/>
              <w:start w:w="110" w:type="dxa"/>
              <w:bottom w:w="80" w:type="dxa"/>
              <w:end w:w="110" w:type="dxa"/>
            </w:tcMar>
            <w:vAlign w:val="center"/>
          </w:tcPr>
          <w:p>
            <w:pPr>
              <w:jc w:val="left"/>
            </w:pPr>
            <w:r>
              <w:rPr>
                <w:sz w:val="19"/>
              </w:rPr>
              <w:t>&gt; 40% en phase alpha perso élargie</w:t>
            </w:r>
          </w:p>
        </w:tc>
      </w:tr>
    </w:tbl>
    <w:p>
      <w:pPr>
        <w:spacing w:after="60"/>
      </w:pPr>
    </w:p>
    <w:p>
      <w:pPr>
        <w:pStyle w:val="Heading1"/>
        <w:spacing w:after="120"/>
      </w:pPr>
      <w:r>
        <w:rPr>
          <w:b w:val="0"/>
        </w:rPr>
        <w:t>16. Roadmap recommandée</w:t>
      </w:r>
    </w:p>
    <w:tbl>
      <w:tblPr>
        <w:tblStyle w:val="TableGrid"/>
        <w:tblW w:type="auto" w:w="0"/>
        <w:jc w:val="center"/>
        <w:tblLook w:firstColumn="1" w:firstRow="1" w:lastColumn="0" w:lastRow="0" w:noHBand="0" w:noVBand="1" w:val="04A0"/>
      </w:tblPr>
      <w:tblGrid>
        <w:gridCol w:w="3324"/>
        <w:gridCol w:w="3324"/>
        <w:gridCol w:w="3324"/>
      </w:tblGrid>
      <w:tr>
        <w:tc>
          <w:tcPr>
            <w:tcW w:type="dxa" w:w="1587"/>
            <w:shd w:fill="EAF0FF"/>
            <w:tcMar>
              <w:top w:w="100" w:type="dxa"/>
              <w:start w:w="120" w:type="dxa"/>
              <w:bottom w:w="100" w:type="dxa"/>
              <w:end w:w="120" w:type="dxa"/>
            </w:tcMar>
            <w:vAlign w:val="center"/>
          </w:tcPr>
          <w:p>
            <w:pPr>
              <w:jc w:val="center"/>
            </w:pPr>
            <w:r>
              <w:rPr>
                <w:b/>
                <w:sz w:val="20"/>
              </w:rPr>
              <w:t>Phase</w:t>
            </w:r>
          </w:p>
        </w:tc>
        <w:tc>
          <w:tcPr>
            <w:tcW w:type="dxa" w:w="1701"/>
            <w:shd w:fill="EAF0FF"/>
            <w:tcMar>
              <w:top w:w="100" w:type="dxa"/>
              <w:start w:w="120" w:type="dxa"/>
              <w:bottom w:w="100" w:type="dxa"/>
              <w:end w:w="120" w:type="dxa"/>
            </w:tcMar>
            <w:vAlign w:val="center"/>
          </w:tcPr>
          <w:p>
            <w:pPr>
              <w:jc w:val="center"/>
            </w:pPr>
            <w:r>
              <w:rPr>
                <w:b/>
                <w:sz w:val="20"/>
              </w:rPr>
              <w:t>Durée indicative</w:t>
            </w:r>
          </w:p>
        </w:tc>
        <w:tc>
          <w:tcPr>
            <w:tcW w:type="dxa" w:w="5669"/>
            <w:shd w:fill="EAF0FF"/>
            <w:tcMar>
              <w:top w:w="100" w:type="dxa"/>
              <w:start w:w="120" w:type="dxa"/>
              <w:bottom w:w="100" w:type="dxa"/>
              <w:end w:w="120" w:type="dxa"/>
            </w:tcMar>
            <w:vAlign w:val="center"/>
          </w:tcPr>
          <w:p>
            <w:pPr>
              <w:jc w:val="center"/>
            </w:pPr>
            <w:r>
              <w:rPr>
                <w:b/>
                <w:sz w:val="20"/>
              </w:rPr>
              <w:t>Livrables</w:t>
            </w:r>
          </w:p>
        </w:tc>
      </w:tr>
      <w:tr>
        <w:tc>
          <w:tcPr>
            <w:tcW w:type="dxa" w:w="1587"/>
            <w:tcMar>
              <w:top w:w="80" w:type="dxa"/>
              <w:start w:w="110" w:type="dxa"/>
              <w:bottom w:w="80" w:type="dxa"/>
              <w:end w:w="110" w:type="dxa"/>
            </w:tcMar>
            <w:vAlign w:val="center"/>
          </w:tcPr>
          <w:p>
            <w:pPr>
              <w:jc w:val="center"/>
            </w:pPr>
            <w:r>
              <w:rPr>
                <w:sz w:val="19"/>
              </w:rPr>
              <w:t>Sprint 0</w:t>
            </w:r>
          </w:p>
        </w:tc>
        <w:tc>
          <w:tcPr>
            <w:tcW w:type="dxa" w:w="1701"/>
            <w:tcMar>
              <w:top w:w="80" w:type="dxa"/>
              <w:start w:w="110" w:type="dxa"/>
              <w:bottom w:w="80" w:type="dxa"/>
              <w:end w:w="110" w:type="dxa"/>
            </w:tcMar>
            <w:vAlign w:val="center"/>
          </w:tcPr>
          <w:p>
            <w:pPr>
              <w:jc w:val="center"/>
            </w:pPr>
            <w:r>
              <w:rPr>
                <w:sz w:val="19"/>
              </w:rPr>
              <w:t>3–5 jours</w:t>
            </w:r>
          </w:p>
        </w:tc>
        <w:tc>
          <w:tcPr>
            <w:tcW w:type="dxa" w:w="5669"/>
            <w:tcMar>
              <w:top w:w="80" w:type="dxa"/>
              <w:start w:w="110" w:type="dxa"/>
              <w:bottom w:w="80" w:type="dxa"/>
              <w:end w:w="110" w:type="dxa"/>
            </w:tcMar>
            <w:vAlign w:val="center"/>
          </w:tcPr>
          <w:p>
            <w:pPr>
              <w:jc w:val="left"/>
            </w:pPr>
            <w:r>
              <w:rPr>
                <w:sz w:val="19"/>
              </w:rPr>
              <w:t>Design system léger, schéma DB, navigation, auth</w:t>
            </w:r>
          </w:p>
        </w:tc>
      </w:tr>
      <w:tr>
        <w:tc>
          <w:tcPr>
            <w:tcW w:type="dxa" w:w="1587"/>
            <w:tcMar>
              <w:top w:w="80" w:type="dxa"/>
              <w:start w:w="110" w:type="dxa"/>
              <w:bottom w:w="80" w:type="dxa"/>
              <w:end w:w="110" w:type="dxa"/>
            </w:tcMar>
            <w:vAlign w:val="center"/>
          </w:tcPr>
          <w:p>
            <w:pPr>
              <w:jc w:val="center"/>
            </w:pPr>
            <w:r>
              <w:rPr>
                <w:sz w:val="19"/>
              </w:rPr>
              <w:t>Sprint 1</w:t>
            </w:r>
          </w:p>
        </w:tc>
        <w:tc>
          <w:tcPr>
            <w:tcW w:type="dxa" w:w="1701"/>
            <w:tcMar>
              <w:top w:w="80" w:type="dxa"/>
              <w:start w:w="110" w:type="dxa"/>
              <w:bottom w:w="80" w:type="dxa"/>
              <w:end w:w="110" w:type="dxa"/>
            </w:tcMar>
            <w:vAlign w:val="center"/>
          </w:tcPr>
          <w:p>
            <w:pPr>
              <w:jc w:val="center"/>
            </w:pPr>
            <w:r>
              <w:rPr>
                <w:sz w:val="19"/>
              </w:rPr>
              <w:t>1 semaine</w:t>
            </w:r>
          </w:p>
        </w:tc>
        <w:tc>
          <w:tcPr>
            <w:tcW w:type="dxa" w:w="5669"/>
            <w:tcMar>
              <w:top w:w="80" w:type="dxa"/>
              <w:start w:w="110" w:type="dxa"/>
              <w:bottom w:w="80" w:type="dxa"/>
              <w:end w:w="110" w:type="dxa"/>
            </w:tcMar>
            <w:vAlign w:val="center"/>
          </w:tcPr>
          <w:p>
            <w:pPr>
              <w:jc w:val="left"/>
            </w:pPr>
            <w:r>
              <w:rPr>
                <w:sz w:val="19"/>
              </w:rPr>
              <w:t>Onboarding foyer, partenaires, catégories, règles</w:t>
            </w:r>
          </w:p>
        </w:tc>
      </w:tr>
      <w:tr>
        <w:tc>
          <w:tcPr>
            <w:tcW w:type="dxa" w:w="1587"/>
            <w:tcMar>
              <w:top w:w="80" w:type="dxa"/>
              <w:start w:w="110" w:type="dxa"/>
              <w:bottom w:w="80" w:type="dxa"/>
              <w:end w:w="110" w:type="dxa"/>
            </w:tcMar>
            <w:vAlign w:val="center"/>
          </w:tcPr>
          <w:p>
            <w:pPr>
              <w:jc w:val="center"/>
            </w:pPr>
            <w:r>
              <w:rPr>
                <w:sz w:val="19"/>
              </w:rPr>
              <w:t>Sprint 2</w:t>
            </w:r>
          </w:p>
        </w:tc>
        <w:tc>
          <w:tcPr>
            <w:tcW w:type="dxa" w:w="1701"/>
            <w:tcMar>
              <w:top w:w="80" w:type="dxa"/>
              <w:start w:w="110" w:type="dxa"/>
              <w:bottom w:w="80" w:type="dxa"/>
              <w:end w:w="110" w:type="dxa"/>
            </w:tcMar>
            <w:vAlign w:val="center"/>
          </w:tcPr>
          <w:p>
            <w:pPr>
              <w:jc w:val="center"/>
            </w:pPr>
            <w:r>
              <w:rPr>
                <w:sz w:val="19"/>
              </w:rPr>
              <w:t>1 semaine</w:t>
            </w:r>
          </w:p>
        </w:tc>
        <w:tc>
          <w:tcPr>
            <w:tcW w:type="dxa" w:w="5669"/>
            <w:tcMar>
              <w:top w:w="80" w:type="dxa"/>
              <w:start w:w="110" w:type="dxa"/>
              <w:bottom w:w="80" w:type="dxa"/>
              <w:end w:w="110" w:type="dxa"/>
            </w:tcMar>
            <w:vAlign w:val="center"/>
          </w:tcPr>
          <w:p>
            <w:pPr>
              <w:jc w:val="left"/>
            </w:pPr>
            <w:r>
              <w:rPr>
                <w:sz w:val="19"/>
              </w:rPr>
              <w:t>CRUD dépenses + splits + dashboard simple</w:t>
            </w:r>
          </w:p>
        </w:tc>
      </w:tr>
      <w:tr>
        <w:tc>
          <w:tcPr>
            <w:tcW w:type="dxa" w:w="1587"/>
            <w:tcMar>
              <w:top w:w="80" w:type="dxa"/>
              <w:start w:w="110" w:type="dxa"/>
              <w:bottom w:w="80" w:type="dxa"/>
              <w:end w:w="110" w:type="dxa"/>
            </w:tcMar>
            <w:vAlign w:val="center"/>
          </w:tcPr>
          <w:p>
            <w:pPr>
              <w:jc w:val="center"/>
            </w:pPr>
            <w:r>
              <w:rPr>
                <w:sz w:val="19"/>
              </w:rPr>
              <w:t>Sprint 3</w:t>
            </w:r>
          </w:p>
        </w:tc>
        <w:tc>
          <w:tcPr>
            <w:tcW w:type="dxa" w:w="1701"/>
            <w:tcMar>
              <w:top w:w="80" w:type="dxa"/>
              <w:start w:w="110" w:type="dxa"/>
              <w:bottom w:w="80" w:type="dxa"/>
              <w:end w:w="110" w:type="dxa"/>
            </w:tcMar>
            <w:vAlign w:val="center"/>
          </w:tcPr>
          <w:p>
            <w:pPr>
              <w:jc w:val="center"/>
            </w:pPr>
            <w:r>
              <w:rPr>
                <w:sz w:val="19"/>
              </w:rPr>
              <w:t>1 semaine</w:t>
            </w:r>
          </w:p>
        </w:tc>
        <w:tc>
          <w:tcPr>
            <w:tcW w:type="dxa" w:w="5669"/>
            <w:tcMar>
              <w:top w:w="80" w:type="dxa"/>
              <w:start w:w="110" w:type="dxa"/>
              <w:bottom w:w="80" w:type="dxa"/>
              <w:end w:w="110" w:type="dxa"/>
            </w:tcMar>
            <w:vAlign w:val="center"/>
          </w:tcPr>
          <w:p>
            <w:pPr>
              <w:jc w:val="left"/>
            </w:pPr>
            <w:r>
              <w:rPr>
                <w:sz w:val="19"/>
              </w:rPr>
              <w:t>Écran Répartition + settlements + récurrences</w:t>
            </w:r>
          </w:p>
        </w:tc>
      </w:tr>
      <w:tr>
        <w:tc>
          <w:tcPr>
            <w:tcW w:type="dxa" w:w="1587"/>
            <w:tcMar>
              <w:top w:w="80" w:type="dxa"/>
              <w:start w:w="110" w:type="dxa"/>
              <w:bottom w:w="80" w:type="dxa"/>
              <w:end w:w="110" w:type="dxa"/>
            </w:tcMar>
            <w:vAlign w:val="center"/>
          </w:tcPr>
          <w:p>
            <w:pPr>
              <w:jc w:val="center"/>
            </w:pPr>
            <w:r>
              <w:rPr>
                <w:sz w:val="19"/>
              </w:rPr>
              <w:t>Sprint 4</w:t>
            </w:r>
          </w:p>
        </w:tc>
        <w:tc>
          <w:tcPr>
            <w:tcW w:type="dxa" w:w="1701"/>
            <w:tcMar>
              <w:top w:w="80" w:type="dxa"/>
              <w:start w:w="110" w:type="dxa"/>
              <w:bottom w:w="80" w:type="dxa"/>
              <w:end w:w="110" w:type="dxa"/>
            </w:tcMar>
            <w:vAlign w:val="center"/>
          </w:tcPr>
          <w:p>
            <w:pPr>
              <w:jc w:val="center"/>
            </w:pPr>
            <w:r>
              <w:rPr>
                <w:sz w:val="19"/>
              </w:rPr>
              <w:t>1 semaine</w:t>
            </w:r>
          </w:p>
        </w:tc>
        <w:tc>
          <w:tcPr>
            <w:tcW w:type="dxa" w:w="5669"/>
            <w:tcMar>
              <w:top w:w="80" w:type="dxa"/>
              <w:start w:w="110" w:type="dxa"/>
              <w:bottom w:w="80" w:type="dxa"/>
              <w:end w:w="110" w:type="dxa"/>
            </w:tcMar>
            <w:vAlign w:val="center"/>
          </w:tcPr>
          <w:p>
            <w:pPr>
              <w:jc w:val="left"/>
            </w:pPr>
            <w:r>
              <w:rPr>
                <w:sz w:val="19"/>
              </w:rPr>
              <w:t>Objectifs + polish UI + QA complète</w:t>
            </w:r>
          </w:p>
        </w:tc>
      </w:tr>
      <w:tr>
        <w:tc>
          <w:tcPr>
            <w:tcW w:type="dxa" w:w="1587"/>
            <w:tcMar>
              <w:top w:w="80" w:type="dxa"/>
              <w:start w:w="110" w:type="dxa"/>
              <w:bottom w:w="80" w:type="dxa"/>
              <w:end w:w="110" w:type="dxa"/>
            </w:tcMar>
            <w:vAlign w:val="center"/>
          </w:tcPr>
          <w:p>
            <w:pPr>
              <w:jc w:val="center"/>
            </w:pPr>
            <w:r>
              <w:rPr>
                <w:sz w:val="19"/>
              </w:rPr>
              <w:t>Post-MVP</w:t>
            </w:r>
          </w:p>
        </w:tc>
        <w:tc>
          <w:tcPr>
            <w:tcW w:type="dxa" w:w="1701"/>
            <w:tcMar>
              <w:top w:w="80" w:type="dxa"/>
              <w:start w:w="110" w:type="dxa"/>
              <w:bottom w:w="80" w:type="dxa"/>
              <w:end w:w="110" w:type="dxa"/>
            </w:tcMar>
            <w:vAlign w:val="center"/>
          </w:tcPr>
          <w:p>
            <w:pPr>
              <w:jc w:val="left"/>
            </w:pPr>
            <w:r>
              <w:rPr>
                <w:sz w:val="19"/>
              </w:rPr>
              <w:t>2–4 semaines</w:t>
            </w:r>
          </w:p>
        </w:tc>
        <w:tc>
          <w:tcPr>
            <w:tcW w:type="dxa" w:w="5669"/>
            <w:tcMar>
              <w:top w:w="80" w:type="dxa"/>
              <w:start w:w="110" w:type="dxa"/>
              <w:bottom w:w="80" w:type="dxa"/>
              <w:end w:w="110" w:type="dxa"/>
            </w:tcMar>
            <w:vAlign w:val="center"/>
          </w:tcPr>
          <w:p>
            <w:pPr>
              <w:jc w:val="left"/>
            </w:pPr>
            <w:r>
              <w:rPr>
                <w:sz w:val="19"/>
              </w:rPr>
              <w:t>Budgets, point mensuel, exports, notifications</w:t>
            </w:r>
          </w:p>
        </w:tc>
      </w:tr>
      <w:tr>
        <w:tc>
          <w:tcPr>
            <w:tcW w:type="dxa" w:w="1587"/>
            <w:tcMar>
              <w:top w:w="80" w:type="dxa"/>
              <w:start w:w="110" w:type="dxa"/>
              <w:bottom w:w="80" w:type="dxa"/>
              <w:end w:w="110" w:type="dxa"/>
            </w:tcMar>
            <w:vAlign w:val="center"/>
          </w:tcPr>
          <w:p>
            <w:pPr>
              <w:jc w:val="center"/>
            </w:pPr>
            <w:r>
              <w:rPr>
                <w:sz w:val="19"/>
              </w:rPr>
              <w:t>V2</w:t>
            </w:r>
          </w:p>
        </w:tc>
        <w:tc>
          <w:tcPr>
            <w:tcW w:type="dxa" w:w="1701"/>
            <w:tcMar>
              <w:top w:w="80" w:type="dxa"/>
              <w:start w:w="110" w:type="dxa"/>
              <w:bottom w:w="80" w:type="dxa"/>
              <w:end w:w="110" w:type="dxa"/>
            </w:tcMar>
            <w:vAlign w:val="center"/>
          </w:tcPr>
          <w:p>
            <w:pPr>
              <w:jc w:val="center"/>
            </w:pPr>
            <w:r>
              <w:rPr>
                <w:sz w:val="19"/>
              </w:rPr>
              <w:t>itératif</w:t>
            </w:r>
          </w:p>
        </w:tc>
        <w:tc>
          <w:tcPr>
            <w:tcW w:type="dxa" w:w="5669"/>
            <w:tcMar>
              <w:top w:w="80" w:type="dxa"/>
              <w:start w:w="110" w:type="dxa"/>
              <w:bottom w:w="80" w:type="dxa"/>
              <w:end w:w="110" w:type="dxa"/>
            </w:tcMar>
            <w:vAlign w:val="center"/>
          </w:tcPr>
          <w:p>
            <w:pPr>
              <w:jc w:val="left"/>
            </w:pPr>
            <w:r>
              <w:rPr>
                <w:sz w:val="19"/>
              </w:rPr>
              <w:t>Projection, règles avancées, résumé IA, contrat financier</w:t>
            </w:r>
          </w:p>
        </w:tc>
      </w:tr>
      <w:tr>
        <w:tc>
          <w:tcPr>
            <w:tcW w:type="dxa" w:w="1587"/>
            <w:tcMar>
              <w:top w:w="80" w:type="dxa"/>
              <w:start w:w="110" w:type="dxa"/>
              <w:bottom w:w="80" w:type="dxa"/>
              <w:end w:w="110" w:type="dxa"/>
            </w:tcMar>
            <w:vAlign w:val="center"/>
          </w:tcPr>
          <w:p>
            <w:pPr>
              <w:jc w:val="center"/>
            </w:pPr>
            <w:r>
              <w:rPr>
                <w:sz w:val="19"/>
              </w:rPr>
              <w:t>V3</w:t>
            </w:r>
          </w:p>
        </w:tc>
        <w:tc>
          <w:tcPr>
            <w:tcW w:type="dxa" w:w="1701"/>
            <w:tcMar>
              <w:top w:w="80" w:type="dxa"/>
              <w:start w:w="110" w:type="dxa"/>
              <w:bottom w:w="80" w:type="dxa"/>
              <w:end w:w="110" w:type="dxa"/>
            </w:tcMar>
            <w:vAlign w:val="center"/>
          </w:tcPr>
          <w:p>
            <w:pPr>
              <w:jc w:val="center"/>
            </w:pPr>
            <w:r>
              <w:rPr>
                <w:sz w:val="19"/>
              </w:rPr>
              <w:t>itératif</w:t>
            </w:r>
          </w:p>
        </w:tc>
        <w:tc>
          <w:tcPr>
            <w:tcW w:type="dxa" w:w="5669"/>
            <w:tcMar>
              <w:top w:w="80" w:type="dxa"/>
              <w:start w:w="110" w:type="dxa"/>
              <w:bottom w:w="80" w:type="dxa"/>
              <w:end w:w="110" w:type="dxa"/>
            </w:tcMar>
            <w:vAlign w:val="center"/>
          </w:tcPr>
          <w:p>
            <w:pPr>
              <w:jc w:val="left"/>
            </w:pPr>
            <w:r>
              <w:rPr>
                <w:sz w:val="19"/>
              </w:rPr>
              <w:t>Connexion bancaire, OCR, copilote conversationnel</w:t>
            </w:r>
          </w:p>
        </w:tc>
      </w:tr>
    </w:tbl>
    <w:p>
      <w:pPr>
        <w:spacing w:after="60"/>
      </w:pPr>
    </w:p>
    <w:p>
      <w:pPr>
        <w:pStyle w:val="Heading1"/>
        <w:spacing w:after="120"/>
      </w:pPr>
      <w:r>
        <w:rPr>
          <w:b w:val="0"/>
        </w:rPr>
        <w:t>17. Backlog de build priorisé</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134"/>
            <w:shd w:fill="EAF0FF"/>
            <w:tcMar>
              <w:top w:w="100" w:type="dxa"/>
              <w:start w:w="120" w:type="dxa"/>
              <w:bottom w:w="100" w:type="dxa"/>
              <w:end w:w="120" w:type="dxa"/>
            </w:tcMar>
            <w:vAlign w:val="center"/>
          </w:tcPr>
          <w:p>
            <w:pPr>
              <w:jc w:val="center"/>
            </w:pPr>
            <w:r>
              <w:rPr>
                <w:b/>
                <w:sz w:val="20"/>
              </w:rPr>
              <w:t>Priorité</w:t>
            </w:r>
          </w:p>
        </w:tc>
        <w:tc>
          <w:tcPr>
            <w:tcW w:type="dxa" w:w="3402"/>
            <w:shd w:fill="EAF0FF"/>
            <w:tcMar>
              <w:top w:w="100" w:type="dxa"/>
              <w:start w:w="120" w:type="dxa"/>
              <w:bottom w:w="100" w:type="dxa"/>
              <w:end w:w="120" w:type="dxa"/>
            </w:tcMar>
            <w:vAlign w:val="center"/>
          </w:tcPr>
          <w:p>
            <w:pPr>
              <w:jc w:val="center"/>
            </w:pPr>
            <w:r>
              <w:rPr>
                <w:b/>
                <w:sz w:val="20"/>
              </w:rPr>
              <w:t>Item</w:t>
            </w:r>
          </w:p>
        </w:tc>
        <w:tc>
          <w:tcPr>
            <w:tcW w:type="dxa" w:w="2268"/>
            <w:shd w:fill="EAF0FF"/>
            <w:tcMar>
              <w:top w:w="100" w:type="dxa"/>
              <w:start w:w="120" w:type="dxa"/>
              <w:bottom w:w="100" w:type="dxa"/>
              <w:end w:w="120" w:type="dxa"/>
            </w:tcMar>
            <w:vAlign w:val="center"/>
          </w:tcPr>
          <w:p>
            <w:pPr>
              <w:jc w:val="center"/>
            </w:pPr>
            <w:r>
              <w:rPr>
                <w:b/>
                <w:sz w:val="20"/>
              </w:rPr>
              <w:t>Raison</w:t>
            </w:r>
          </w:p>
        </w:tc>
        <w:tc>
          <w:tcPr>
            <w:tcW w:type="dxa" w:w="2041"/>
            <w:shd w:fill="EAF0FF"/>
            <w:tcMar>
              <w:top w:w="100" w:type="dxa"/>
              <w:start w:w="120" w:type="dxa"/>
              <w:bottom w:w="100" w:type="dxa"/>
              <w:end w:w="120" w:type="dxa"/>
            </w:tcMar>
            <w:vAlign w:val="center"/>
          </w:tcPr>
          <w:p>
            <w:pPr>
              <w:jc w:val="center"/>
            </w:pPr>
            <w:r>
              <w:rPr>
                <w:b/>
                <w:sz w:val="20"/>
              </w:rPr>
              <w:t>Phase</w:t>
            </w:r>
          </w:p>
        </w:tc>
      </w:tr>
      <w:tr>
        <w:tc>
          <w:tcPr>
            <w:tcW w:type="dxa" w:w="1134"/>
            <w:tcMar>
              <w:top w:w="80" w:type="dxa"/>
              <w:start w:w="110" w:type="dxa"/>
              <w:bottom w:w="80" w:type="dxa"/>
              <w:end w:w="110" w:type="dxa"/>
            </w:tcMar>
            <w:vAlign w:val="center"/>
          </w:tcPr>
          <w:p>
            <w:pPr>
              <w:jc w:val="center"/>
            </w:pPr>
            <w:r>
              <w:rPr>
                <w:sz w:val="19"/>
              </w:rPr>
              <w:t>P0</w:t>
            </w:r>
          </w:p>
        </w:tc>
        <w:tc>
          <w:tcPr>
            <w:tcW w:type="dxa" w:w="3402"/>
            <w:tcMar>
              <w:top w:w="80" w:type="dxa"/>
              <w:start w:w="110" w:type="dxa"/>
              <w:bottom w:w="80" w:type="dxa"/>
              <w:end w:w="110" w:type="dxa"/>
            </w:tcMar>
            <w:vAlign w:val="center"/>
          </w:tcPr>
          <w:p>
            <w:pPr>
              <w:jc w:val="left"/>
            </w:pPr>
            <w:r>
              <w:rPr>
                <w:sz w:val="19"/>
              </w:rPr>
              <w:t>Auth / foyer / invitation</w:t>
            </w:r>
          </w:p>
        </w:tc>
        <w:tc>
          <w:tcPr>
            <w:tcW w:type="dxa" w:w="2268"/>
            <w:tcMar>
              <w:top w:w="80" w:type="dxa"/>
              <w:start w:w="110" w:type="dxa"/>
              <w:bottom w:w="80" w:type="dxa"/>
              <w:end w:w="110" w:type="dxa"/>
            </w:tcMar>
            <w:vAlign w:val="center"/>
          </w:tcPr>
          <w:p>
            <w:pPr>
              <w:jc w:val="center"/>
            </w:pPr>
            <w:r>
              <w:rPr>
                <w:sz w:val="19"/>
              </w:rPr>
              <w:t>bloquant</w:t>
            </w:r>
          </w:p>
        </w:tc>
        <w:tc>
          <w:tcPr>
            <w:tcW w:type="dxa" w:w="2041"/>
            <w:tcMar>
              <w:top w:w="80" w:type="dxa"/>
              <w:start w:w="110" w:type="dxa"/>
              <w:bottom w:w="80" w:type="dxa"/>
              <w:end w:w="110" w:type="dxa"/>
            </w:tcMar>
            <w:vAlign w:val="center"/>
          </w:tcPr>
          <w:p>
            <w:pPr>
              <w:jc w:val="left"/>
            </w:pPr>
            <w:r>
              <w:rPr>
                <w:sz w:val="19"/>
              </w:rPr>
              <w:t>MVP strict</w:t>
            </w:r>
          </w:p>
        </w:tc>
      </w:tr>
      <w:tr>
        <w:tc>
          <w:tcPr>
            <w:tcW w:type="dxa" w:w="1134"/>
            <w:tcMar>
              <w:top w:w="80" w:type="dxa"/>
              <w:start w:w="110" w:type="dxa"/>
              <w:bottom w:w="80" w:type="dxa"/>
              <w:end w:w="110" w:type="dxa"/>
            </w:tcMar>
            <w:vAlign w:val="center"/>
          </w:tcPr>
          <w:p>
            <w:pPr>
              <w:jc w:val="center"/>
            </w:pPr>
            <w:r>
              <w:rPr>
                <w:sz w:val="19"/>
              </w:rPr>
              <w:t>P0</w:t>
            </w:r>
          </w:p>
        </w:tc>
        <w:tc>
          <w:tcPr>
            <w:tcW w:type="dxa" w:w="3402"/>
            <w:tcMar>
              <w:top w:w="80" w:type="dxa"/>
              <w:start w:w="110" w:type="dxa"/>
              <w:bottom w:w="80" w:type="dxa"/>
              <w:end w:w="110" w:type="dxa"/>
            </w:tcMar>
            <w:vAlign w:val="center"/>
          </w:tcPr>
          <w:p>
            <w:pPr>
              <w:jc w:val="left"/>
            </w:pPr>
            <w:r>
              <w:rPr>
                <w:sz w:val="19"/>
              </w:rPr>
              <w:t>Catégories + règles par défaut</w:t>
            </w:r>
          </w:p>
        </w:tc>
        <w:tc>
          <w:tcPr>
            <w:tcW w:type="dxa" w:w="2268"/>
            <w:tcMar>
              <w:top w:w="80" w:type="dxa"/>
              <w:start w:w="110" w:type="dxa"/>
              <w:bottom w:w="80" w:type="dxa"/>
              <w:end w:w="110" w:type="dxa"/>
            </w:tcMar>
            <w:vAlign w:val="center"/>
          </w:tcPr>
          <w:p>
            <w:pPr>
              <w:jc w:val="center"/>
            </w:pPr>
            <w:r>
              <w:rPr>
                <w:sz w:val="19"/>
              </w:rPr>
              <w:t>bloquant</w:t>
            </w:r>
          </w:p>
        </w:tc>
        <w:tc>
          <w:tcPr>
            <w:tcW w:type="dxa" w:w="2041"/>
            <w:tcMar>
              <w:top w:w="80" w:type="dxa"/>
              <w:start w:w="110" w:type="dxa"/>
              <w:bottom w:w="80" w:type="dxa"/>
              <w:end w:w="110" w:type="dxa"/>
            </w:tcMar>
            <w:vAlign w:val="center"/>
          </w:tcPr>
          <w:p>
            <w:pPr>
              <w:jc w:val="left"/>
            </w:pPr>
            <w:r>
              <w:rPr>
                <w:sz w:val="19"/>
              </w:rPr>
              <w:t>MVP strict</w:t>
            </w:r>
          </w:p>
        </w:tc>
      </w:tr>
      <w:tr>
        <w:tc>
          <w:tcPr>
            <w:tcW w:type="dxa" w:w="1134"/>
            <w:tcMar>
              <w:top w:w="80" w:type="dxa"/>
              <w:start w:w="110" w:type="dxa"/>
              <w:bottom w:w="80" w:type="dxa"/>
              <w:end w:w="110" w:type="dxa"/>
            </w:tcMar>
            <w:vAlign w:val="center"/>
          </w:tcPr>
          <w:p>
            <w:pPr>
              <w:jc w:val="center"/>
            </w:pPr>
            <w:r>
              <w:rPr>
                <w:sz w:val="19"/>
              </w:rPr>
              <w:t>P0</w:t>
            </w:r>
          </w:p>
        </w:tc>
        <w:tc>
          <w:tcPr>
            <w:tcW w:type="dxa" w:w="3402"/>
            <w:tcMar>
              <w:top w:w="80" w:type="dxa"/>
              <w:start w:w="110" w:type="dxa"/>
              <w:bottom w:w="80" w:type="dxa"/>
              <w:end w:w="110" w:type="dxa"/>
            </w:tcMar>
            <w:vAlign w:val="center"/>
          </w:tcPr>
          <w:p>
            <w:pPr>
              <w:jc w:val="left"/>
            </w:pPr>
            <w:r>
              <w:rPr>
                <w:sz w:val="19"/>
              </w:rPr>
              <w:t>CRUD dépenses</w:t>
            </w:r>
          </w:p>
        </w:tc>
        <w:tc>
          <w:tcPr>
            <w:tcW w:type="dxa" w:w="2268"/>
            <w:tcMar>
              <w:top w:w="80" w:type="dxa"/>
              <w:start w:w="110" w:type="dxa"/>
              <w:bottom w:w="80" w:type="dxa"/>
              <w:end w:w="110" w:type="dxa"/>
            </w:tcMar>
            <w:vAlign w:val="center"/>
          </w:tcPr>
          <w:p>
            <w:pPr>
              <w:jc w:val="center"/>
            </w:pPr>
            <w:r>
              <w:rPr>
                <w:sz w:val="19"/>
              </w:rPr>
              <w:t>bloquant</w:t>
            </w:r>
          </w:p>
        </w:tc>
        <w:tc>
          <w:tcPr>
            <w:tcW w:type="dxa" w:w="2041"/>
            <w:tcMar>
              <w:top w:w="80" w:type="dxa"/>
              <w:start w:w="110" w:type="dxa"/>
              <w:bottom w:w="80" w:type="dxa"/>
              <w:end w:w="110" w:type="dxa"/>
            </w:tcMar>
            <w:vAlign w:val="center"/>
          </w:tcPr>
          <w:p>
            <w:pPr>
              <w:jc w:val="left"/>
            </w:pPr>
            <w:r>
              <w:rPr>
                <w:sz w:val="19"/>
              </w:rPr>
              <w:t>MVP strict</w:t>
            </w:r>
          </w:p>
        </w:tc>
      </w:tr>
      <w:tr>
        <w:tc>
          <w:tcPr>
            <w:tcW w:type="dxa" w:w="1134"/>
            <w:tcMar>
              <w:top w:w="80" w:type="dxa"/>
              <w:start w:w="110" w:type="dxa"/>
              <w:bottom w:w="80" w:type="dxa"/>
              <w:end w:w="110" w:type="dxa"/>
            </w:tcMar>
            <w:vAlign w:val="center"/>
          </w:tcPr>
          <w:p>
            <w:pPr>
              <w:jc w:val="center"/>
            </w:pPr>
            <w:r>
              <w:rPr>
                <w:sz w:val="19"/>
              </w:rPr>
              <w:t>P0</w:t>
            </w:r>
          </w:p>
        </w:tc>
        <w:tc>
          <w:tcPr>
            <w:tcW w:type="dxa" w:w="3402"/>
            <w:tcMar>
              <w:top w:w="80" w:type="dxa"/>
              <w:start w:w="110" w:type="dxa"/>
              <w:bottom w:w="80" w:type="dxa"/>
              <w:end w:w="110" w:type="dxa"/>
            </w:tcMar>
            <w:vAlign w:val="center"/>
          </w:tcPr>
          <w:p>
            <w:pPr>
              <w:jc w:val="left"/>
            </w:pPr>
            <w:r>
              <w:rPr>
                <w:sz w:val="19"/>
              </w:rPr>
              <w:t>Calcul des splits</w:t>
            </w:r>
          </w:p>
        </w:tc>
        <w:tc>
          <w:tcPr>
            <w:tcW w:type="dxa" w:w="2268"/>
            <w:tcMar>
              <w:top w:w="80" w:type="dxa"/>
              <w:start w:w="110" w:type="dxa"/>
              <w:bottom w:w="80" w:type="dxa"/>
              <w:end w:w="110" w:type="dxa"/>
            </w:tcMar>
            <w:vAlign w:val="center"/>
          </w:tcPr>
          <w:p>
            <w:pPr>
              <w:jc w:val="center"/>
            </w:pPr>
            <w:r>
              <w:rPr>
                <w:sz w:val="19"/>
              </w:rPr>
              <w:t>bloquant</w:t>
            </w:r>
          </w:p>
        </w:tc>
        <w:tc>
          <w:tcPr>
            <w:tcW w:type="dxa" w:w="2041"/>
            <w:tcMar>
              <w:top w:w="80" w:type="dxa"/>
              <w:start w:w="110" w:type="dxa"/>
              <w:bottom w:w="80" w:type="dxa"/>
              <w:end w:w="110" w:type="dxa"/>
            </w:tcMar>
            <w:vAlign w:val="center"/>
          </w:tcPr>
          <w:p>
            <w:pPr>
              <w:jc w:val="left"/>
            </w:pPr>
            <w:r>
              <w:rPr>
                <w:sz w:val="19"/>
              </w:rPr>
              <w:t>MVP strict</w:t>
            </w:r>
          </w:p>
        </w:tc>
      </w:tr>
      <w:tr>
        <w:tc>
          <w:tcPr>
            <w:tcW w:type="dxa" w:w="1134"/>
            <w:tcMar>
              <w:top w:w="80" w:type="dxa"/>
              <w:start w:w="110" w:type="dxa"/>
              <w:bottom w:w="80" w:type="dxa"/>
              <w:end w:w="110" w:type="dxa"/>
            </w:tcMar>
            <w:vAlign w:val="center"/>
          </w:tcPr>
          <w:p>
            <w:pPr>
              <w:jc w:val="center"/>
            </w:pPr>
            <w:r>
              <w:rPr>
                <w:sz w:val="19"/>
              </w:rPr>
              <w:t>P0</w:t>
            </w:r>
          </w:p>
        </w:tc>
        <w:tc>
          <w:tcPr>
            <w:tcW w:type="dxa" w:w="3402"/>
            <w:tcMar>
              <w:top w:w="80" w:type="dxa"/>
              <w:start w:w="110" w:type="dxa"/>
              <w:bottom w:w="80" w:type="dxa"/>
              <w:end w:w="110" w:type="dxa"/>
            </w:tcMar>
            <w:vAlign w:val="center"/>
          </w:tcPr>
          <w:p>
            <w:pPr>
              <w:jc w:val="left"/>
            </w:pPr>
            <w:r>
              <w:rPr>
                <w:sz w:val="19"/>
              </w:rPr>
              <w:t>Vue Répartition + settlements</w:t>
            </w:r>
          </w:p>
        </w:tc>
        <w:tc>
          <w:tcPr>
            <w:tcW w:type="dxa" w:w="2268"/>
            <w:tcMar>
              <w:top w:w="80" w:type="dxa"/>
              <w:start w:w="110" w:type="dxa"/>
              <w:bottom w:w="80" w:type="dxa"/>
              <w:end w:w="110" w:type="dxa"/>
            </w:tcMar>
            <w:vAlign w:val="center"/>
          </w:tcPr>
          <w:p>
            <w:pPr>
              <w:jc w:val="center"/>
            </w:pPr>
            <w:r>
              <w:rPr>
                <w:sz w:val="19"/>
              </w:rPr>
              <w:t>bloquant</w:t>
            </w:r>
          </w:p>
        </w:tc>
        <w:tc>
          <w:tcPr>
            <w:tcW w:type="dxa" w:w="2041"/>
            <w:tcMar>
              <w:top w:w="80" w:type="dxa"/>
              <w:start w:w="110" w:type="dxa"/>
              <w:bottom w:w="80" w:type="dxa"/>
              <w:end w:w="110" w:type="dxa"/>
            </w:tcMar>
            <w:vAlign w:val="center"/>
          </w:tcPr>
          <w:p>
            <w:pPr>
              <w:jc w:val="left"/>
            </w:pPr>
            <w:r>
              <w:rPr>
                <w:sz w:val="19"/>
              </w:rPr>
              <w:t>MVP strict</w:t>
            </w:r>
          </w:p>
        </w:tc>
      </w:tr>
      <w:tr>
        <w:tc>
          <w:tcPr>
            <w:tcW w:type="dxa" w:w="1134"/>
            <w:tcMar>
              <w:top w:w="80" w:type="dxa"/>
              <w:start w:w="110" w:type="dxa"/>
              <w:bottom w:w="80" w:type="dxa"/>
              <w:end w:w="110" w:type="dxa"/>
            </w:tcMar>
            <w:vAlign w:val="center"/>
          </w:tcPr>
          <w:p>
            <w:pPr>
              <w:jc w:val="center"/>
            </w:pPr>
            <w:r>
              <w:rPr>
                <w:sz w:val="19"/>
              </w:rPr>
              <w:t>P1</w:t>
            </w:r>
          </w:p>
        </w:tc>
        <w:tc>
          <w:tcPr>
            <w:tcW w:type="dxa" w:w="3402"/>
            <w:tcMar>
              <w:top w:w="80" w:type="dxa"/>
              <w:start w:w="110" w:type="dxa"/>
              <w:bottom w:w="80" w:type="dxa"/>
              <w:end w:w="110" w:type="dxa"/>
            </w:tcMar>
            <w:vAlign w:val="center"/>
          </w:tcPr>
          <w:p>
            <w:pPr>
              <w:jc w:val="left"/>
            </w:pPr>
            <w:r>
              <w:rPr>
                <w:sz w:val="19"/>
              </w:rPr>
              <w:t>Dashboard du mois</w:t>
            </w:r>
          </w:p>
        </w:tc>
        <w:tc>
          <w:tcPr>
            <w:tcW w:type="dxa" w:w="2268"/>
            <w:tcMar>
              <w:top w:w="80" w:type="dxa"/>
              <w:start w:w="110" w:type="dxa"/>
              <w:bottom w:w="80" w:type="dxa"/>
              <w:end w:w="110" w:type="dxa"/>
            </w:tcMar>
            <w:vAlign w:val="center"/>
          </w:tcPr>
          <w:p>
            <w:pPr>
              <w:jc w:val="left"/>
            </w:pPr>
            <w:r>
              <w:rPr>
                <w:sz w:val="19"/>
              </w:rPr>
              <w:t>forte valeur</w:t>
            </w:r>
          </w:p>
        </w:tc>
        <w:tc>
          <w:tcPr>
            <w:tcW w:type="dxa" w:w="2041"/>
            <w:tcMar>
              <w:top w:w="80" w:type="dxa"/>
              <w:start w:w="110" w:type="dxa"/>
              <w:bottom w:w="80" w:type="dxa"/>
              <w:end w:w="110" w:type="dxa"/>
            </w:tcMar>
            <w:vAlign w:val="center"/>
          </w:tcPr>
          <w:p>
            <w:pPr>
              <w:jc w:val="left"/>
            </w:pPr>
            <w:r>
              <w:rPr>
                <w:sz w:val="19"/>
              </w:rPr>
              <w:t>MVP strict</w:t>
            </w:r>
          </w:p>
        </w:tc>
      </w:tr>
      <w:tr>
        <w:tc>
          <w:tcPr>
            <w:tcW w:type="dxa" w:w="1134"/>
            <w:tcMar>
              <w:top w:w="80" w:type="dxa"/>
              <w:start w:w="110" w:type="dxa"/>
              <w:bottom w:w="80" w:type="dxa"/>
              <w:end w:w="110" w:type="dxa"/>
            </w:tcMar>
            <w:vAlign w:val="center"/>
          </w:tcPr>
          <w:p>
            <w:pPr>
              <w:jc w:val="center"/>
            </w:pPr>
            <w:r>
              <w:rPr>
                <w:sz w:val="19"/>
              </w:rPr>
              <w:t>P1</w:t>
            </w:r>
          </w:p>
        </w:tc>
        <w:tc>
          <w:tcPr>
            <w:tcW w:type="dxa" w:w="3402"/>
            <w:tcMar>
              <w:top w:w="80" w:type="dxa"/>
              <w:start w:w="110" w:type="dxa"/>
              <w:bottom w:w="80" w:type="dxa"/>
              <w:end w:w="110" w:type="dxa"/>
            </w:tcMar>
            <w:vAlign w:val="center"/>
          </w:tcPr>
          <w:p>
            <w:pPr>
              <w:jc w:val="left"/>
            </w:pPr>
            <w:r>
              <w:rPr>
                <w:sz w:val="19"/>
              </w:rPr>
              <w:t>Objectif commun simple</w:t>
            </w:r>
          </w:p>
        </w:tc>
        <w:tc>
          <w:tcPr>
            <w:tcW w:type="dxa" w:w="2268"/>
            <w:tcMar>
              <w:top w:w="80" w:type="dxa"/>
              <w:start w:w="110" w:type="dxa"/>
              <w:bottom w:w="80" w:type="dxa"/>
              <w:end w:w="110" w:type="dxa"/>
            </w:tcMar>
            <w:vAlign w:val="center"/>
          </w:tcPr>
          <w:p>
            <w:pPr>
              <w:jc w:val="left"/>
            </w:pPr>
            <w:r>
              <w:rPr>
                <w:sz w:val="19"/>
              </w:rPr>
              <w:t>forte valeur</w:t>
            </w:r>
          </w:p>
        </w:tc>
        <w:tc>
          <w:tcPr>
            <w:tcW w:type="dxa" w:w="2041"/>
            <w:tcMar>
              <w:top w:w="80" w:type="dxa"/>
              <w:start w:w="110" w:type="dxa"/>
              <w:bottom w:w="80" w:type="dxa"/>
              <w:end w:w="110" w:type="dxa"/>
            </w:tcMar>
            <w:vAlign w:val="center"/>
          </w:tcPr>
          <w:p>
            <w:pPr>
              <w:jc w:val="left"/>
            </w:pPr>
            <w:r>
              <w:rPr>
                <w:sz w:val="19"/>
              </w:rPr>
              <w:t>MVP strict</w:t>
            </w:r>
          </w:p>
        </w:tc>
      </w:tr>
      <w:tr>
        <w:tc>
          <w:tcPr>
            <w:tcW w:type="dxa" w:w="1134"/>
            <w:tcMar>
              <w:top w:w="80" w:type="dxa"/>
              <w:start w:w="110" w:type="dxa"/>
              <w:bottom w:w="80" w:type="dxa"/>
              <w:end w:w="110" w:type="dxa"/>
            </w:tcMar>
            <w:vAlign w:val="center"/>
          </w:tcPr>
          <w:p>
            <w:pPr>
              <w:jc w:val="center"/>
            </w:pPr>
            <w:r>
              <w:rPr>
                <w:sz w:val="19"/>
              </w:rPr>
              <w:t>P1</w:t>
            </w:r>
          </w:p>
        </w:tc>
        <w:tc>
          <w:tcPr>
            <w:tcW w:type="dxa" w:w="3402"/>
            <w:tcMar>
              <w:top w:w="80" w:type="dxa"/>
              <w:start w:w="110" w:type="dxa"/>
              <w:bottom w:w="80" w:type="dxa"/>
              <w:end w:w="110" w:type="dxa"/>
            </w:tcMar>
            <w:vAlign w:val="center"/>
          </w:tcPr>
          <w:p>
            <w:pPr>
              <w:jc w:val="left"/>
            </w:pPr>
            <w:r>
              <w:rPr>
                <w:sz w:val="19"/>
              </w:rPr>
              <w:t>Récurrences</w:t>
            </w:r>
          </w:p>
        </w:tc>
        <w:tc>
          <w:tcPr>
            <w:tcW w:type="dxa" w:w="2268"/>
            <w:tcMar>
              <w:top w:w="80" w:type="dxa"/>
              <w:start w:w="110" w:type="dxa"/>
              <w:bottom w:w="80" w:type="dxa"/>
              <w:end w:w="110" w:type="dxa"/>
            </w:tcMar>
            <w:vAlign w:val="center"/>
          </w:tcPr>
          <w:p>
            <w:pPr>
              <w:jc w:val="left"/>
            </w:pPr>
            <w:r>
              <w:rPr>
                <w:sz w:val="19"/>
              </w:rPr>
              <w:t>confort usage</w:t>
            </w:r>
          </w:p>
        </w:tc>
        <w:tc>
          <w:tcPr>
            <w:tcW w:type="dxa" w:w="2041"/>
            <w:tcMar>
              <w:top w:w="80" w:type="dxa"/>
              <w:start w:w="110" w:type="dxa"/>
              <w:bottom w:w="80" w:type="dxa"/>
              <w:end w:w="110" w:type="dxa"/>
            </w:tcMar>
            <w:vAlign w:val="center"/>
          </w:tcPr>
          <w:p>
            <w:pPr>
              <w:jc w:val="left"/>
            </w:pPr>
            <w:r>
              <w:rPr>
                <w:sz w:val="19"/>
              </w:rPr>
              <w:t>MVP strict</w:t>
            </w:r>
          </w:p>
        </w:tc>
      </w:tr>
      <w:tr>
        <w:tc>
          <w:tcPr>
            <w:tcW w:type="dxa" w:w="1134"/>
            <w:tcMar>
              <w:top w:w="80" w:type="dxa"/>
              <w:start w:w="110" w:type="dxa"/>
              <w:bottom w:w="80" w:type="dxa"/>
              <w:end w:w="110" w:type="dxa"/>
            </w:tcMar>
            <w:vAlign w:val="center"/>
          </w:tcPr>
          <w:p>
            <w:pPr>
              <w:jc w:val="center"/>
            </w:pPr>
            <w:r>
              <w:rPr>
                <w:sz w:val="19"/>
              </w:rPr>
              <w:t>P2</w:t>
            </w:r>
          </w:p>
        </w:tc>
        <w:tc>
          <w:tcPr>
            <w:tcW w:type="dxa" w:w="3402"/>
            <w:tcMar>
              <w:top w:w="80" w:type="dxa"/>
              <w:start w:w="110" w:type="dxa"/>
              <w:bottom w:w="80" w:type="dxa"/>
              <w:end w:w="110" w:type="dxa"/>
            </w:tcMar>
            <w:vAlign w:val="center"/>
          </w:tcPr>
          <w:p>
            <w:pPr>
              <w:jc w:val="left"/>
            </w:pPr>
            <w:r>
              <w:rPr>
                <w:sz w:val="19"/>
              </w:rPr>
              <w:t>Budgets catégorie</w:t>
            </w:r>
          </w:p>
        </w:tc>
        <w:tc>
          <w:tcPr>
            <w:tcW w:type="dxa" w:w="2268"/>
            <w:tcMar>
              <w:top w:w="80" w:type="dxa"/>
              <w:start w:w="110" w:type="dxa"/>
              <w:bottom w:w="80" w:type="dxa"/>
              <w:end w:w="110" w:type="dxa"/>
            </w:tcMar>
            <w:vAlign w:val="center"/>
          </w:tcPr>
          <w:p>
            <w:pPr>
              <w:jc w:val="center"/>
            </w:pPr>
            <w:r>
              <w:rPr>
                <w:sz w:val="19"/>
              </w:rPr>
              <w:t>important</w:t>
            </w:r>
          </w:p>
        </w:tc>
        <w:tc>
          <w:tcPr>
            <w:tcW w:type="dxa" w:w="2041"/>
            <w:tcMar>
              <w:top w:w="80" w:type="dxa"/>
              <w:start w:w="110" w:type="dxa"/>
              <w:bottom w:w="80" w:type="dxa"/>
              <w:end w:w="110" w:type="dxa"/>
            </w:tcMar>
            <w:vAlign w:val="center"/>
          </w:tcPr>
          <w:p>
            <w:pPr>
              <w:jc w:val="left"/>
            </w:pPr>
            <w:r>
              <w:rPr>
                <w:sz w:val="19"/>
              </w:rPr>
              <w:t>MVP ambitieux</w:t>
            </w:r>
          </w:p>
        </w:tc>
      </w:tr>
      <w:tr>
        <w:tc>
          <w:tcPr>
            <w:tcW w:type="dxa" w:w="1134"/>
            <w:tcMar>
              <w:top w:w="80" w:type="dxa"/>
              <w:start w:w="110" w:type="dxa"/>
              <w:bottom w:w="80" w:type="dxa"/>
              <w:end w:w="110" w:type="dxa"/>
            </w:tcMar>
            <w:vAlign w:val="center"/>
          </w:tcPr>
          <w:p>
            <w:pPr>
              <w:jc w:val="center"/>
            </w:pPr>
            <w:r>
              <w:rPr>
                <w:sz w:val="19"/>
              </w:rPr>
              <w:t>P2</w:t>
            </w:r>
          </w:p>
        </w:tc>
        <w:tc>
          <w:tcPr>
            <w:tcW w:type="dxa" w:w="3402"/>
            <w:tcMar>
              <w:top w:w="80" w:type="dxa"/>
              <w:start w:w="110" w:type="dxa"/>
              <w:bottom w:w="80" w:type="dxa"/>
              <w:end w:w="110" w:type="dxa"/>
            </w:tcMar>
            <w:vAlign w:val="center"/>
          </w:tcPr>
          <w:p>
            <w:pPr>
              <w:jc w:val="left"/>
            </w:pPr>
            <w:r>
              <w:rPr>
                <w:sz w:val="19"/>
              </w:rPr>
              <w:t>Point mensuel simple</w:t>
            </w:r>
          </w:p>
        </w:tc>
        <w:tc>
          <w:tcPr>
            <w:tcW w:type="dxa" w:w="2268"/>
            <w:tcMar>
              <w:top w:w="80" w:type="dxa"/>
              <w:start w:w="110" w:type="dxa"/>
              <w:bottom w:w="80" w:type="dxa"/>
              <w:end w:w="110" w:type="dxa"/>
            </w:tcMar>
            <w:vAlign w:val="center"/>
          </w:tcPr>
          <w:p>
            <w:pPr>
              <w:jc w:val="center"/>
            </w:pPr>
            <w:r>
              <w:rPr>
                <w:sz w:val="19"/>
              </w:rPr>
              <w:t>important</w:t>
            </w:r>
          </w:p>
        </w:tc>
        <w:tc>
          <w:tcPr>
            <w:tcW w:type="dxa" w:w="2041"/>
            <w:tcMar>
              <w:top w:w="80" w:type="dxa"/>
              <w:start w:w="110" w:type="dxa"/>
              <w:bottom w:w="80" w:type="dxa"/>
              <w:end w:w="110" w:type="dxa"/>
            </w:tcMar>
            <w:vAlign w:val="center"/>
          </w:tcPr>
          <w:p>
            <w:pPr>
              <w:jc w:val="left"/>
            </w:pPr>
            <w:r>
              <w:rPr>
                <w:sz w:val="19"/>
              </w:rPr>
              <w:t>MVP ambitieux</w:t>
            </w:r>
          </w:p>
        </w:tc>
      </w:tr>
      <w:tr>
        <w:tc>
          <w:tcPr>
            <w:tcW w:type="dxa" w:w="1134"/>
            <w:tcMar>
              <w:top w:w="80" w:type="dxa"/>
              <w:start w:w="110" w:type="dxa"/>
              <w:bottom w:w="80" w:type="dxa"/>
              <w:end w:w="110" w:type="dxa"/>
            </w:tcMar>
            <w:vAlign w:val="center"/>
          </w:tcPr>
          <w:p>
            <w:pPr>
              <w:jc w:val="center"/>
            </w:pPr>
            <w:r>
              <w:rPr>
                <w:sz w:val="19"/>
              </w:rPr>
              <w:t>P2</w:t>
            </w:r>
          </w:p>
        </w:tc>
        <w:tc>
          <w:tcPr>
            <w:tcW w:type="dxa" w:w="3402"/>
            <w:tcMar>
              <w:top w:w="80" w:type="dxa"/>
              <w:start w:w="110" w:type="dxa"/>
              <w:bottom w:w="80" w:type="dxa"/>
              <w:end w:w="110" w:type="dxa"/>
            </w:tcMar>
            <w:vAlign w:val="center"/>
          </w:tcPr>
          <w:p>
            <w:pPr>
              <w:jc w:val="left"/>
            </w:pPr>
            <w:r>
              <w:rPr>
                <w:sz w:val="19"/>
              </w:rPr>
              <w:t>Export CSV/PDF</w:t>
            </w:r>
          </w:p>
        </w:tc>
        <w:tc>
          <w:tcPr>
            <w:tcW w:type="dxa" w:w="2268"/>
            <w:tcMar>
              <w:top w:w="80" w:type="dxa"/>
              <w:start w:w="110" w:type="dxa"/>
              <w:bottom w:w="80" w:type="dxa"/>
              <w:end w:w="110" w:type="dxa"/>
            </w:tcMar>
            <w:vAlign w:val="center"/>
          </w:tcPr>
          <w:p>
            <w:pPr>
              <w:jc w:val="center"/>
            </w:pPr>
            <w:r>
              <w:rPr>
                <w:sz w:val="19"/>
              </w:rPr>
              <w:t>utile</w:t>
            </w:r>
          </w:p>
        </w:tc>
        <w:tc>
          <w:tcPr>
            <w:tcW w:type="dxa" w:w="2041"/>
            <w:tcMar>
              <w:top w:w="80" w:type="dxa"/>
              <w:start w:w="110" w:type="dxa"/>
              <w:bottom w:w="80" w:type="dxa"/>
              <w:end w:w="110" w:type="dxa"/>
            </w:tcMar>
            <w:vAlign w:val="center"/>
          </w:tcPr>
          <w:p>
            <w:pPr>
              <w:jc w:val="left"/>
            </w:pPr>
            <w:r>
              <w:rPr>
                <w:sz w:val="19"/>
              </w:rPr>
              <w:t>MVP ambitieux</w:t>
            </w:r>
          </w:p>
        </w:tc>
      </w:tr>
      <w:tr>
        <w:tc>
          <w:tcPr>
            <w:tcW w:type="dxa" w:w="1134"/>
            <w:tcMar>
              <w:top w:w="80" w:type="dxa"/>
              <w:start w:w="110" w:type="dxa"/>
              <w:bottom w:w="80" w:type="dxa"/>
              <w:end w:w="110" w:type="dxa"/>
            </w:tcMar>
            <w:vAlign w:val="center"/>
          </w:tcPr>
          <w:p>
            <w:pPr>
              <w:jc w:val="center"/>
            </w:pPr>
            <w:r>
              <w:rPr>
                <w:sz w:val="19"/>
              </w:rPr>
              <w:t>P3</w:t>
            </w:r>
          </w:p>
        </w:tc>
        <w:tc>
          <w:tcPr>
            <w:tcW w:type="dxa" w:w="3402"/>
            <w:tcMar>
              <w:top w:w="80" w:type="dxa"/>
              <w:start w:w="110" w:type="dxa"/>
              <w:bottom w:w="80" w:type="dxa"/>
              <w:end w:w="110" w:type="dxa"/>
            </w:tcMar>
            <w:vAlign w:val="center"/>
          </w:tcPr>
          <w:p>
            <w:pPr>
              <w:jc w:val="left"/>
            </w:pPr>
            <w:r>
              <w:rPr>
                <w:sz w:val="19"/>
              </w:rPr>
              <w:t>Projection fin de mois</w:t>
            </w:r>
          </w:p>
        </w:tc>
        <w:tc>
          <w:tcPr>
            <w:tcW w:type="dxa" w:w="2268"/>
            <w:tcMar>
              <w:top w:w="80" w:type="dxa"/>
              <w:start w:w="110" w:type="dxa"/>
              <w:bottom w:w="80" w:type="dxa"/>
              <w:end w:w="110" w:type="dxa"/>
            </w:tcMar>
            <w:vAlign w:val="center"/>
          </w:tcPr>
          <w:p>
            <w:pPr>
              <w:jc w:val="left"/>
            </w:pPr>
            <w:r>
              <w:rPr>
                <w:sz w:val="19"/>
              </w:rPr>
              <w:t>différenciant</w:t>
            </w:r>
          </w:p>
        </w:tc>
        <w:tc>
          <w:tcPr>
            <w:tcW w:type="dxa" w:w="2041"/>
            <w:tcMar>
              <w:top w:w="80" w:type="dxa"/>
              <w:start w:w="110" w:type="dxa"/>
              <w:bottom w:w="80" w:type="dxa"/>
              <w:end w:w="110" w:type="dxa"/>
            </w:tcMar>
            <w:vAlign w:val="center"/>
          </w:tcPr>
          <w:p>
            <w:pPr>
              <w:jc w:val="center"/>
            </w:pPr>
            <w:r>
              <w:rPr>
                <w:sz w:val="19"/>
              </w:rPr>
              <w:t>V2</w:t>
            </w:r>
          </w:p>
        </w:tc>
      </w:tr>
      <w:tr>
        <w:tc>
          <w:tcPr>
            <w:tcW w:type="dxa" w:w="1134"/>
            <w:tcMar>
              <w:top w:w="80" w:type="dxa"/>
              <w:start w:w="110" w:type="dxa"/>
              <w:bottom w:w="80" w:type="dxa"/>
              <w:end w:w="110" w:type="dxa"/>
            </w:tcMar>
            <w:vAlign w:val="center"/>
          </w:tcPr>
          <w:p>
            <w:pPr>
              <w:jc w:val="center"/>
            </w:pPr>
            <w:r>
              <w:rPr>
                <w:sz w:val="19"/>
              </w:rPr>
              <w:t>P3</w:t>
            </w:r>
          </w:p>
        </w:tc>
        <w:tc>
          <w:tcPr>
            <w:tcW w:type="dxa" w:w="3402"/>
            <w:tcMar>
              <w:top w:w="80" w:type="dxa"/>
              <w:start w:w="110" w:type="dxa"/>
              <w:bottom w:w="80" w:type="dxa"/>
              <w:end w:w="110" w:type="dxa"/>
            </w:tcMar>
            <w:vAlign w:val="center"/>
          </w:tcPr>
          <w:p>
            <w:pPr>
              <w:jc w:val="center"/>
            </w:pPr>
            <w:r>
              <w:rPr>
                <w:sz w:val="19"/>
              </w:rPr>
              <w:t>Résumé IA</w:t>
            </w:r>
          </w:p>
        </w:tc>
        <w:tc>
          <w:tcPr>
            <w:tcW w:type="dxa" w:w="2268"/>
            <w:tcMar>
              <w:top w:w="80" w:type="dxa"/>
              <w:start w:w="110" w:type="dxa"/>
              <w:bottom w:w="80" w:type="dxa"/>
              <w:end w:w="110" w:type="dxa"/>
            </w:tcMar>
            <w:vAlign w:val="center"/>
          </w:tcPr>
          <w:p>
            <w:pPr>
              <w:jc w:val="left"/>
            </w:pPr>
            <w:r>
              <w:rPr>
                <w:sz w:val="19"/>
              </w:rPr>
              <w:t>différenciant</w:t>
            </w:r>
          </w:p>
        </w:tc>
        <w:tc>
          <w:tcPr>
            <w:tcW w:type="dxa" w:w="2041"/>
            <w:tcMar>
              <w:top w:w="80" w:type="dxa"/>
              <w:start w:w="110" w:type="dxa"/>
              <w:bottom w:w="80" w:type="dxa"/>
              <w:end w:w="110" w:type="dxa"/>
            </w:tcMar>
            <w:vAlign w:val="center"/>
          </w:tcPr>
          <w:p>
            <w:pPr>
              <w:jc w:val="center"/>
            </w:pPr>
            <w:r>
              <w:rPr>
                <w:sz w:val="19"/>
              </w:rPr>
              <w:t>V2</w:t>
            </w:r>
          </w:p>
        </w:tc>
      </w:tr>
      <w:tr>
        <w:tc>
          <w:tcPr>
            <w:tcW w:type="dxa" w:w="1134"/>
            <w:tcMar>
              <w:top w:w="80" w:type="dxa"/>
              <w:start w:w="110" w:type="dxa"/>
              <w:bottom w:w="80" w:type="dxa"/>
              <w:end w:w="110" w:type="dxa"/>
            </w:tcMar>
            <w:vAlign w:val="center"/>
          </w:tcPr>
          <w:p>
            <w:pPr>
              <w:jc w:val="center"/>
            </w:pPr>
            <w:r>
              <w:rPr>
                <w:sz w:val="19"/>
              </w:rPr>
              <w:t>P4</w:t>
            </w:r>
          </w:p>
        </w:tc>
        <w:tc>
          <w:tcPr>
            <w:tcW w:type="dxa" w:w="3402"/>
            <w:tcMar>
              <w:top w:w="80" w:type="dxa"/>
              <w:start w:w="110" w:type="dxa"/>
              <w:bottom w:w="80" w:type="dxa"/>
              <w:end w:w="110" w:type="dxa"/>
            </w:tcMar>
            <w:vAlign w:val="center"/>
          </w:tcPr>
          <w:p>
            <w:pPr>
              <w:jc w:val="left"/>
            </w:pPr>
            <w:r>
              <w:rPr>
                <w:sz w:val="19"/>
              </w:rPr>
              <w:t>Connexion bancaire</w:t>
            </w:r>
          </w:p>
        </w:tc>
        <w:tc>
          <w:tcPr>
            <w:tcW w:type="dxa" w:w="2268"/>
            <w:tcMar>
              <w:top w:w="80" w:type="dxa"/>
              <w:start w:w="110" w:type="dxa"/>
              <w:bottom w:w="80" w:type="dxa"/>
              <w:end w:w="110" w:type="dxa"/>
            </w:tcMar>
            <w:vAlign w:val="center"/>
          </w:tcPr>
          <w:p>
            <w:pPr>
              <w:jc w:val="center"/>
            </w:pPr>
            <w:r>
              <w:rPr>
                <w:sz w:val="19"/>
              </w:rPr>
              <w:t>complexe</w:t>
            </w:r>
          </w:p>
        </w:tc>
        <w:tc>
          <w:tcPr>
            <w:tcW w:type="dxa" w:w="2041"/>
            <w:tcMar>
              <w:top w:w="80" w:type="dxa"/>
              <w:start w:w="110" w:type="dxa"/>
              <w:bottom w:w="80" w:type="dxa"/>
              <w:end w:w="110" w:type="dxa"/>
            </w:tcMar>
            <w:vAlign w:val="center"/>
          </w:tcPr>
          <w:p>
            <w:pPr>
              <w:jc w:val="center"/>
            </w:pPr>
            <w:r>
              <w:rPr>
                <w:sz w:val="19"/>
              </w:rPr>
              <w:t>V3</w:t>
            </w:r>
          </w:p>
        </w:tc>
      </w:tr>
    </w:tbl>
    <w:p>
      <w:pPr>
        <w:spacing w:after="60"/>
      </w:pPr>
    </w:p>
    <w:p>
      <w:pPr>
        <w:pStyle w:val="Heading1"/>
        <w:spacing w:after="120"/>
      </w:pPr>
      <w:r>
        <w:rPr>
          <w:b w:val="0"/>
        </w:rPr>
        <w:t>18. Idées non conventionnelles à garder en réserve</w:t>
      </w:r>
    </w:p>
    <w:p>
      <w:pPr>
        <w:spacing w:after="40"/>
        <w:ind w:left="283"/>
      </w:pPr>
      <w:r>
        <w:rPr>
          <w:sz w:val="21"/>
        </w:rPr>
        <w:t>• Mode charge mentale : suivre qui porte les tâches financières invisibles.</w:t>
      </w:r>
    </w:p>
    <w:p>
      <w:pPr>
        <w:spacing w:after="40"/>
        <w:ind w:left="283"/>
      </w:pPr>
      <w:r>
        <w:rPr>
          <w:sz w:val="21"/>
        </w:rPr>
        <w:t>• Mode avant dispute : formuler les écarts comme sujets d’alignement.</w:t>
      </w:r>
    </w:p>
    <w:p>
      <w:pPr>
        <w:spacing w:after="40"/>
        <w:ind w:left="283"/>
      </w:pPr>
      <w:r>
        <w:rPr>
          <w:sz w:val="21"/>
        </w:rPr>
        <w:t>• Carte “ce que ce mois raconte” : synthèse narrative du foyer.</w:t>
      </w:r>
    </w:p>
    <w:p>
      <w:pPr>
        <w:spacing w:after="40"/>
        <w:ind w:left="283"/>
      </w:pPr>
      <w:r>
        <w:rPr>
          <w:sz w:val="21"/>
        </w:rPr>
        <w:t>• Contrat financier du couple : expliciter les règles, exceptions et priorités.</w:t>
      </w:r>
    </w:p>
    <w:p>
      <w:pPr>
        <w:spacing w:after="40"/>
        <w:ind w:left="283"/>
      </w:pPr>
      <w:r>
        <w:rPr>
          <w:sz w:val="21"/>
        </w:rPr>
        <w:t>• Coffre de décisions : journaliser pourquoi une décision budgétaire a été prise.</w:t>
      </w:r>
    </w:p>
    <w:p>
      <w:pPr>
        <w:pStyle w:val="Heading1"/>
        <w:spacing w:after="120"/>
      </w:pPr>
      <w:r>
        <w:rPr>
          <w:b w:val="0"/>
        </w:rPr>
        <w:t>19. Hors-scope explicite</w:t>
      </w:r>
    </w:p>
    <w:p>
      <w:pPr>
        <w:spacing w:after="40"/>
        <w:ind w:left="283"/>
      </w:pPr>
      <w:r>
        <w:rPr>
          <w:sz w:val="21"/>
        </w:rPr>
        <w:t>• Comptabilité complète, fiscalité, patrimoine détaillé, crédits complexes.</w:t>
      </w:r>
    </w:p>
    <w:p>
      <w:pPr>
        <w:spacing w:after="40"/>
        <w:ind w:left="283"/>
      </w:pPr>
      <w:r>
        <w:rPr>
          <w:sz w:val="21"/>
        </w:rPr>
        <w:t>• Multi-devises, multi-foyers, gestion entreprise.</w:t>
      </w:r>
    </w:p>
    <w:p>
      <w:pPr>
        <w:spacing w:after="40"/>
        <w:ind w:left="283"/>
      </w:pPr>
      <w:r>
        <w:rPr>
          <w:sz w:val="21"/>
        </w:rPr>
        <w:t>• Autorisations très fines par ligne de dépense.</w:t>
      </w:r>
    </w:p>
    <w:p>
      <w:pPr>
        <w:spacing w:after="40"/>
        <w:ind w:left="283"/>
      </w:pPr>
      <w:r>
        <w:rPr>
          <w:sz w:val="21"/>
        </w:rPr>
        <w:t>• IA qui modifie automatiquement les données financières.</w:t>
      </w:r>
    </w:p>
    <w:p>
      <w:pPr>
        <w:spacing w:after="40"/>
        <w:ind w:left="283"/>
      </w:pPr>
      <w:r>
        <w:rPr>
          <w:sz w:val="21"/>
        </w:rPr>
        <w:t>• Agrégation bancaire dès le premier lancement.</w:t>
      </w:r>
    </w:p>
    <w:p>
      <w:pPr>
        <w:pStyle w:val="Heading1"/>
        <w:spacing w:after="120"/>
      </w:pPr>
      <w:r>
        <w:rPr>
          <w:b w:val="0"/>
        </w:rPr>
        <w:t>20. Recommandation finale</w:t>
      </w:r>
    </w:p>
    <w:p>
      <w:pPr>
        <w:spacing w:after="80"/>
      </w:pPr>
      <w:r>
        <w:rPr>
          <w:b w:val="0"/>
        </w:rPr>
        <w:t>Le bon mouvement n’est pas d’ajouter encore des idées. Le bon mouvement est de verrouiller un MVP strict, de dessiner 5 écrans excellents et de construire une première version que le couple peut utiliser tous les jours. Si cette boucle fonctionne, Money Duo pourra ensuite s’élargir naturellement vers un OS financier du foyer.</w:t>
      </w:r>
    </w:p>
    <w:p>
      <w:pPr>
        <w:spacing w:after="80"/>
      </w:pPr>
      <w:r>
        <w:rPr>
          <w:b/>
          <w:color w:val="112859"/>
        </w:rPr>
        <w:t>Prochaine étape recommandée : produire les wireframes détaillés écran par écran puis le prompt de build complet pour Codex / Claude / Cursor.</w:t>
      </w:r>
    </w:p>
    <w:sectPr w:rsidR="00FC693F" w:rsidRPr="0006063C" w:rsidSect="00034616">
      <w:footerReference w:type="default" r:id="rId9"/>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Money Duo — V4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28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741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449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285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