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5F"/>
          <w:sz w:val="44"/>
          <w:szCs w:val="44"/>
        </w:rPr>
        <w:t xml:space="preserve">Viabilidad de una heladería artesanal italiana en Colombia</w:t>
      </w:r>
    </w:p>
    <w:p>
      <w:pPr>
        <w:spacing w:after="60"/>
      </w:pPr>
      <w:r>
        <w:rPr>
          <w:i/>
          <w:iCs/>
          <w:color w:val="666666"/>
          <w:sz w:val="26"/>
          <w:szCs w:val="26"/>
        </w:rPr>
        <w:t xml:space="preserve">Informe final — Resultados y respuestas a las 6 preguntas de negocio</w:t>
      </w:r>
    </w:p>
    <w:p>
      <w:pPr>
        <w:spacing w:after="500"/>
      </w:pPr>
      <w:r>
        <w:rPr>
          <w:color w:val="666666"/>
          <w:sz w:val="22"/>
          <w:szCs w:val="22"/>
        </w:rPr>
        <w:t xml:space="preserve">Proyecto de portfolio en analítica de datos · Julio 2026</w:t>
      </w:r>
    </w:p>
    <w:p>
      <w:pPr>
        <w:pStyle w:val="Heading1"/>
        <w:spacing w:after="150" w:before="320"/>
      </w:pPr>
      <w:r>
        <w:t xml:space="preserve">Resumen ejecutivo</w:t>
      </w:r>
    </w:p>
    <w:p>
      <w:pPr>
        <w:spacing w:after="150"/>
      </w:pPr>
      <w:r>
        <w:rPr>
          <w:b w:val="false"/>
          <w:bCs w:val="false"/>
          <w:i w:val="false"/>
          <w:iCs w:val="false"/>
        </w:rPr>
        <w:t xml:space="preserve">Este informe recoge el resultado completo de un proyecto de análisis de datos aplicado a un caso de negocio real: evaluar la viabilidad de abrir una heladería artesanal de estilo italiano en Colombia, combinando experiencia profesional propia como maestro heladero con un proceso de analítica de datos de principio a fin (SQL, Python y Tableau).</w:t>
      </w:r>
    </w:p>
    <w:p>
      <w:pPr>
        <w:spacing w:after="150"/>
      </w:pPr>
      <w:r>
        <w:rPr>
          <w:b w:val="false"/>
          <w:bCs w:val="false"/>
          <w:i w:val="false"/>
          <w:iCs w:val="false"/>
        </w:rPr>
        <w:t xml:space="preserve">El proyecto partió de seis preguntas de negocio. A continuación se presenta la respuesta a cada una, con la evidencia que la respalda.</w:t>
      </w:r>
    </w:p>
    <w:p>
      <w:pPr>
        <w:pStyle w:val="Heading1"/>
        <w:spacing w:after="150" w:before="320"/>
      </w:pPr>
      <w:r>
        <w:t xml:space="preserve">Las 6 preguntas de negocio — respuestas</w:t>
      </w:r>
    </w:p>
    <w:p>
      <w:pPr>
        <w:pStyle w:val="Heading2"/>
        <w:spacing w:after="100" w:before="220"/>
      </w:pPr>
      <w:r>
        <w:t xml:space="preserve">1. ¿Qué ciudad colombiana es la más rentable para el negocio?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F4E5F" w:val="clear"/>
          </w:tcPr>
          <w:p>
            <w:r>
              <w:rPr>
                <w:b/>
                <w:bCs/>
                <w:color w:val="FFFFFF"/>
                <w:sz w:val="22"/>
                <w:szCs w:val="22"/>
              </w:rPr>
              <w:t xml:space="preserve">Pregunta</w:t>
            </w:r>
          </w:p>
        </w:tc>
      </w:tr>
      <w:tr>
        <w:tc>
          <w:tcPr>
            <w:shd w:fill="D9E7ED" w:val="clear"/>
          </w:tcPr>
          <w:p>
            <w:r>
              <w:rPr>
                <w:b/>
                <w:bCs/>
                <w:color w:val="1F4E5F"/>
                <w:sz w:val="24"/>
                <w:szCs w:val="24"/>
              </w:rPr>
              <w:t xml:space="preserve">Medellín</w:t>
            </w:r>
          </w:p>
        </w:tc>
      </w:tr>
    </w:tbl>
    <w:p>
      <w:pPr>
        <w:spacing w:after="150"/>
      </w:pPr>
      <w:r>
        <w:rPr>
          <w:b w:val="false"/>
          <w:bCs w:val="false"/>
          <w:i w:val="false"/>
          <w:iCs w:val="false"/>
        </w:rPr>
        <w:t xml:space="preserve"/>
      </w:r>
    </w:p>
    <w:p>
      <w:pPr>
        <w:spacing w:after="150"/>
      </w:pPr>
      <w:r>
        <w:rPr>
          <w:b w:val="false"/>
          <w:bCs w:val="false"/>
          <w:i w:val="false"/>
          <w:iCs w:val="false"/>
        </w:rPr>
        <w:t xml:space="preserve">Se construyó un scorecard ponderado comparando 8 ciudades candidatas (Bogotá, Medellín, Cali, Barranquilla, Cartagena, Bucaramanga, Pereira, Santa Marta) en 6 criterios: consumo de helado (30%), clima (20%), poder adquisitivo (20%), turismo extranjero (15%), costo de local (10%) y competencia existente (5%). Los datos provienen de fuentes oficiales: IDEAM (clima), DANE (poder adquisitivo, vía incidencia de pobreza monetaria 2025), MinCIT/observatorios de turismo, y Google Maps/portales inmobiliarios (competencia y costo de local).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tblGrid>
      <w:tr>
        <w:tc>
          <w:tcPr>
            <w:tcW w:type="dxa" w:w="3200"/>
            <w:shd w:fill="1F4E5F" w:val="clear"/>
          </w:tcPr>
          <w:p>
            <w:r>
              <w:rPr>
                <w:b/>
                <w:bCs/>
                <w:color w:val="FFFFFF"/>
                <w:sz w:val="20"/>
                <w:szCs w:val="20"/>
              </w:rPr>
              <w:t xml:space="preserve">Ciudad</w:t>
            </w:r>
          </w:p>
        </w:tc>
        <w:tc>
          <w:tcPr>
            <w:tcW w:type="dxa" w:w="2200"/>
            <w:shd w:fill="1F4E5F" w:val="clear"/>
          </w:tcPr>
          <w:p>
            <w:r>
              <w:rPr>
                <w:b/>
                <w:bCs/>
                <w:color w:val="FFFFFF"/>
                <w:sz w:val="20"/>
                <w:szCs w:val="20"/>
              </w:rPr>
              <w:t xml:space="preserve">Score total</w:t>
            </w:r>
          </w:p>
        </w:tc>
        <w:tc>
          <w:tcPr>
            <w:tcW w:type="dxa" w:w="2200"/>
            <w:shd w:fill="1F4E5F" w:val="clear"/>
          </w:tcPr>
          <w:p>
            <w:r>
              <w:rPr>
                <w:b/>
                <w:bCs/>
                <w:color w:val="FFFFFF"/>
                <w:sz w:val="20"/>
                <w:szCs w:val="20"/>
              </w:rPr>
              <w:t xml:space="preserve">Posición</w:t>
            </w:r>
          </w:p>
        </w:tc>
      </w:tr>
      <w:tr>
        <w:tc>
          <w:tcPr>
            <w:tcW w:type="dxa" w:w="3200"/>
            <w:shd w:fill="D9E7ED" w:val="clear"/>
          </w:tcPr>
          <w:p>
            <w:r>
              <w:rPr>
                <w:b/>
                <w:bCs/>
                <w:sz w:val="20"/>
                <w:szCs w:val="20"/>
              </w:rPr>
              <w:t xml:space="preserve">Medellín</w:t>
            </w:r>
          </w:p>
        </w:tc>
        <w:tc>
          <w:tcPr>
            <w:tcW w:type="dxa" w:w="2200"/>
            <w:shd w:fill="D9E7ED" w:val="clear"/>
          </w:tcPr>
          <w:p>
            <w:r>
              <w:rPr>
                <w:b w:val="false"/>
                <w:bCs w:val="false"/>
                <w:sz w:val="20"/>
                <w:szCs w:val="20"/>
              </w:rPr>
              <w:t xml:space="preserve">3.534</w:t>
            </w:r>
          </w:p>
        </w:tc>
        <w:tc>
          <w:tcPr>
            <w:tcW w:type="dxa" w:w="2200"/>
            <w:shd w:fill="D9E7ED" w:val="clear"/>
          </w:tcPr>
          <w:p>
            <w:r>
              <w:rPr>
                <w:b/>
                <w:bCs/>
                <w:sz w:val="20"/>
                <w:szCs w:val="20"/>
              </w:rPr>
              <w:t xml:space="preserve">1º</w:t>
            </w:r>
          </w:p>
        </w:tc>
      </w:tr>
      <w:tr>
        <w:tc>
          <w:tcPr>
            <w:tcW w:type="dxa" w:w="3200"/>
          </w:tcPr>
          <w:p>
            <w:r>
              <w:rPr>
                <w:b w:val="false"/>
                <w:bCs w:val="false"/>
                <w:sz w:val="20"/>
                <w:szCs w:val="20"/>
              </w:rPr>
              <w:t xml:space="preserve">Bogotá</w:t>
            </w:r>
          </w:p>
        </w:tc>
        <w:tc>
          <w:tcPr>
            <w:tcW w:type="dxa" w:w="2200"/>
          </w:tcPr>
          <w:p>
            <w:r>
              <w:rPr>
                <w:b w:val="false"/>
                <w:bCs w:val="false"/>
                <w:sz w:val="20"/>
                <w:szCs w:val="20"/>
              </w:rPr>
              <w:t xml:space="preserve">3.454</w:t>
            </w:r>
          </w:p>
        </w:tc>
        <w:tc>
          <w:tcPr>
            <w:tcW w:type="dxa" w:w="2200"/>
          </w:tcPr>
          <w:p>
            <w:r>
              <w:rPr>
                <w:b w:val="false"/>
                <w:bCs w:val="false"/>
                <w:sz w:val="20"/>
                <w:szCs w:val="20"/>
              </w:rPr>
              <w:t xml:space="preserve">2º</w:t>
            </w:r>
          </w:p>
        </w:tc>
      </w:tr>
      <w:tr>
        <w:tc>
          <w:tcPr>
            <w:tcW w:type="dxa" w:w="3200"/>
          </w:tcPr>
          <w:p>
            <w:r>
              <w:rPr>
                <w:b w:val="false"/>
                <w:bCs w:val="false"/>
                <w:sz w:val="20"/>
                <w:szCs w:val="20"/>
              </w:rPr>
              <w:t xml:space="preserve">Pereira</w:t>
            </w:r>
          </w:p>
        </w:tc>
        <w:tc>
          <w:tcPr>
            <w:tcW w:type="dxa" w:w="2200"/>
          </w:tcPr>
          <w:p>
            <w:r>
              <w:rPr>
                <w:b w:val="false"/>
                <w:bCs w:val="false"/>
                <w:sz w:val="20"/>
                <w:szCs w:val="20"/>
              </w:rPr>
              <w:t xml:space="preserve">3.335</w:t>
            </w:r>
          </w:p>
        </w:tc>
        <w:tc>
          <w:tcPr>
            <w:tcW w:type="dxa" w:w="2200"/>
          </w:tcPr>
          <w:p>
            <w:r>
              <w:rPr>
                <w:b w:val="false"/>
                <w:bCs w:val="false"/>
                <w:sz w:val="20"/>
                <w:szCs w:val="20"/>
              </w:rPr>
              <w:t xml:space="preserve">3º</w:t>
            </w:r>
          </w:p>
        </w:tc>
      </w:tr>
      <w:tr>
        <w:tc>
          <w:tcPr>
            <w:tcW w:type="dxa" w:w="3200"/>
          </w:tcPr>
          <w:p>
            <w:r>
              <w:rPr>
                <w:b w:val="false"/>
                <w:bCs w:val="false"/>
                <w:sz w:val="20"/>
                <w:szCs w:val="20"/>
              </w:rPr>
              <w:t xml:space="preserve">Barranquilla</w:t>
            </w:r>
          </w:p>
        </w:tc>
        <w:tc>
          <w:tcPr>
            <w:tcW w:type="dxa" w:w="2200"/>
          </w:tcPr>
          <w:p>
            <w:r>
              <w:rPr>
                <w:b w:val="false"/>
                <w:bCs w:val="false"/>
                <w:sz w:val="20"/>
                <w:szCs w:val="20"/>
              </w:rPr>
              <w:t xml:space="preserve">3.251</w:t>
            </w:r>
          </w:p>
        </w:tc>
        <w:tc>
          <w:tcPr>
            <w:tcW w:type="dxa" w:w="2200"/>
          </w:tcPr>
          <w:p>
            <w:r>
              <w:rPr>
                <w:b w:val="false"/>
                <w:bCs w:val="false"/>
                <w:sz w:val="20"/>
                <w:szCs w:val="20"/>
              </w:rPr>
              <w:t xml:space="preserve">4º</w:t>
            </w:r>
          </w:p>
        </w:tc>
      </w:tr>
      <w:tr>
        <w:tc>
          <w:tcPr>
            <w:tcW w:type="dxa" w:w="3200"/>
          </w:tcPr>
          <w:p>
            <w:r>
              <w:rPr>
                <w:b w:val="false"/>
                <w:bCs w:val="false"/>
                <w:sz w:val="20"/>
                <w:szCs w:val="20"/>
              </w:rPr>
              <w:t xml:space="preserve">Cali</w:t>
            </w:r>
          </w:p>
        </w:tc>
        <w:tc>
          <w:tcPr>
            <w:tcW w:type="dxa" w:w="2200"/>
          </w:tcPr>
          <w:p>
            <w:r>
              <w:rPr>
                <w:b w:val="false"/>
                <w:bCs w:val="false"/>
                <w:sz w:val="20"/>
                <w:szCs w:val="20"/>
              </w:rPr>
              <w:t xml:space="preserve">2.923</w:t>
            </w:r>
          </w:p>
        </w:tc>
        <w:tc>
          <w:tcPr>
            <w:tcW w:type="dxa" w:w="2200"/>
          </w:tcPr>
          <w:p>
            <w:r>
              <w:rPr>
                <w:b w:val="false"/>
                <w:bCs w:val="false"/>
                <w:sz w:val="20"/>
                <w:szCs w:val="20"/>
              </w:rPr>
              <w:t xml:space="preserve">5º</w:t>
            </w:r>
          </w:p>
        </w:tc>
      </w:tr>
      <w:tr>
        <w:tc>
          <w:tcPr>
            <w:tcW w:type="dxa" w:w="3200"/>
          </w:tcPr>
          <w:p>
            <w:r>
              <w:rPr>
                <w:b w:val="false"/>
                <w:bCs w:val="false"/>
                <w:sz w:val="20"/>
                <w:szCs w:val="20"/>
              </w:rPr>
              <w:t xml:space="preserve">Bucaramanga</w:t>
            </w:r>
          </w:p>
        </w:tc>
        <w:tc>
          <w:tcPr>
            <w:tcW w:type="dxa" w:w="2200"/>
          </w:tcPr>
          <w:p>
            <w:r>
              <w:rPr>
                <w:b w:val="false"/>
                <w:bCs w:val="false"/>
                <w:sz w:val="20"/>
                <w:szCs w:val="20"/>
              </w:rPr>
              <w:t xml:space="preserve">2.510</w:t>
            </w:r>
          </w:p>
        </w:tc>
        <w:tc>
          <w:tcPr>
            <w:tcW w:type="dxa" w:w="2200"/>
          </w:tcPr>
          <w:p>
            <w:r>
              <w:rPr>
                <w:b w:val="false"/>
                <w:bCs w:val="false"/>
                <w:sz w:val="20"/>
                <w:szCs w:val="20"/>
              </w:rPr>
              <w:t xml:space="preserve">6º</w:t>
            </w:r>
          </w:p>
        </w:tc>
      </w:tr>
      <w:tr>
        <w:tc>
          <w:tcPr>
            <w:tcW w:type="dxa" w:w="3200"/>
          </w:tcPr>
          <w:p>
            <w:r>
              <w:rPr>
                <w:b w:val="false"/>
                <w:bCs w:val="false"/>
                <w:sz w:val="20"/>
                <w:szCs w:val="20"/>
              </w:rPr>
              <w:t xml:space="preserve">Cartagena</w:t>
            </w:r>
          </w:p>
        </w:tc>
        <w:tc>
          <w:tcPr>
            <w:tcW w:type="dxa" w:w="2200"/>
          </w:tcPr>
          <w:p>
            <w:r>
              <w:rPr>
                <w:b w:val="false"/>
                <w:bCs w:val="false"/>
                <w:sz w:val="20"/>
                <w:szCs w:val="20"/>
              </w:rPr>
              <w:t xml:space="preserve">2.356</w:t>
            </w:r>
          </w:p>
        </w:tc>
        <w:tc>
          <w:tcPr>
            <w:tcW w:type="dxa" w:w="2200"/>
          </w:tcPr>
          <w:p>
            <w:r>
              <w:rPr>
                <w:b w:val="false"/>
                <w:bCs w:val="false"/>
                <w:sz w:val="20"/>
                <w:szCs w:val="20"/>
              </w:rPr>
              <w:t xml:space="preserve">7º</w:t>
            </w:r>
          </w:p>
        </w:tc>
      </w:tr>
      <w:tr>
        <w:tc>
          <w:tcPr>
            <w:tcW w:type="dxa" w:w="3200"/>
          </w:tcPr>
          <w:p>
            <w:r>
              <w:rPr>
                <w:b w:val="false"/>
                <w:bCs w:val="false"/>
                <w:sz w:val="20"/>
                <w:szCs w:val="20"/>
              </w:rPr>
              <w:t xml:space="preserve">Santa Marta</w:t>
            </w:r>
          </w:p>
        </w:tc>
        <w:tc>
          <w:tcPr>
            <w:tcW w:type="dxa" w:w="2200"/>
          </w:tcPr>
          <w:p>
            <w:r>
              <w:rPr>
                <w:b w:val="false"/>
                <w:bCs w:val="false"/>
                <w:sz w:val="20"/>
                <w:szCs w:val="20"/>
              </w:rPr>
              <w:t xml:space="preserve">2.261</w:t>
            </w:r>
          </w:p>
        </w:tc>
        <w:tc>
          <w:tcPr>
            <w:tcW w:type="dxa" w:w="2200"/>
          </w:tcPr>
          <w:p>
            <w:r>
              <w:rPr>
                <w:b w:val="false"/>
                <w:bCs w:val="false"/>
                <w:sz w:val="20"/>
                <w:szCs w:val="20"/>
              </w:rPr>
              <w:t xml:space="preserve">8º</w:t>
            </w:r>
          </w:p>
        </w:tc>
      </w:tr>
    </w:tbl>
    <w:p>
      <w:pPr>
        <w:spacing w:after="200"/>
      </w:pPr>
      <w:r>
        <w:rPr>
          <w:i/>
          <w:iCs/>
          <w:color w:val="666666"/>
          <w:sz w:val="18"/>
          <w:szCs w:val="18"/>
        </w:rPr>
        <w:t xml:space="preserve">Medellín gana por un balance sólido en todos los criterios, sin depender de un único factor extremo — a diferencia de Cartagena, que domina en turismo pero pierde por el costo de local más alto de las 8 ciudades.</w:t>
      </w:r>
    </w:p>
    <w:p>
      <w:pPr>
        <w:pStyle w:val="Heading2"/>
        <w:spacing w:after="100" w:before="220"/>
      </w:pPr>
      <w:r>
        <w:t xml:space="preserve">2. ¿Es rentable el negocio en esa ciudad?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F4E5F" w:val="clear"/>
          </w:tcPr>
          <w:p>
            <w:r>
              <w:rPr>
                <w:b/>
                <w:bCs/>
                <w:color w:val="FFFFFF"/>
                <w:sz w:val="22"/>
                <w:szCs w:val="22"/>
              </w:rPr>
              <w:t xml:space="preserve">Pregunta</w:t>
            </w:r>
          </w:p>
        </w:tc>
      </w:tr>
      <w:tr>
        <w:tc>
          <w:tcPr>
            <w:shd w:fill="D9E7ED" w:val="clear"/>
          </w:tcPr>
          <w:p>
            <w:r>
              <w:rPr>
                <w:b/>
                <w:bCs/>
                <w:color w:val="1F4E5F"/>
                <w:sz w:val="24"/>
                <w:szCs w:val="24"/>
              </w:rPr>
              <w:t xml:space="preserve">Sí, con un punto de equilibrio alcanzable de ~66 bolas/día</w:t>
            </w:r>
          </w:p>
        </w:tc>
      </w:tr>
    </w:tbl>
    <w:p>
      <w:pPr>
        <w:spacing w:after="150"/>
      </w:pPr>
      <w:r>
        <w:rPr>
          <w:b w:val="false"/>
          <w:bCs w:val="false"/>
          <w:i w:val="false"/>
          <w:iCs w:val="false"/>
        </w:rPr>
        <w:t xml:space="preserve"/>
      </w:r>
    </w:p>
    <w:p>
      <w:pPr>
        <w:spacing w:after="150"/>
      </w:pPr>
      <w:r>
        <w:rPr>
          <w:b w:val="false"/>
          <w:bCs w:val="false"/>
          <w:i w:val="false"/>
          <w:iCs w:val="false"/>
        </w:rPr>
        <w:t xml:space="preserve">Se construyó un modelo financiero completo: inversión inicial (CAPEX), estructura de costos variables y fijos, y punto de equilibrio. Un hallazgo relevante del proceso: la primera versión del modelo, basada en importar toda la maquinaria directamente desde España, inflaba el CAPEX en más de 140 millones de COP frente a los precios reales de mercado en Colombia (vía distribuidores regionales de marcas italianas). Corregir ese supuesto llevó el proyecto a una inversión mucho más realista.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800"/>
        <w:gridCol w:w="2800"/>
      </w:tblGrid>
      <w:tr>
        <w:tc>
          <w:tcPr>
            <w:tcW w:type="dxa" w:w="4800"/>
            <w:shd w:fill="1F4E5F" w:val="clear"/>
          </w:tcPr>
          <w:p>
            <w:r>
              <w:rPr>
                <w:b/>
                <w:bCs/>
                <w:color w:val="FFFFFF"/>
                <w:sz w:val="20"/>
                <w:szCs w:val="20"/>
              </w:rPr>
              <w:t xml:space="preserve">Concepto</w:t>
            </w:r>
          </w:p>
        </w:tc>
        <w:tc>
          <w:tcPr>
            <w:tcW w:type="dxa" w:w="2800"/>
            <w:shd w:fill="1F4E5F" w:val="clear"/>
          </w:tcPr>
          <w:p>
            <w:r>
              <w:rPr>
                <w:b/>
                <w:bCs/>
                <w:color w:val="FFFFFF"/>
                <w:sz w:val="20"/>
                <w:szCs w:val="20"/>
              </w:rPr>
              <w:t xml:space="preserve">Costo (COP)</w:t>
            </w:r>
          </w:p>
        </w:tc>
      </w:tr>
      <w:tr>
        <w:tc>
          <w:tcPr>
            <w:tcW w:type="dxa" w:w="4800"/>
            <w:shd w:fill="D9E7ED" w:val="clear"/>
          </w:tcPr>
          <w:p>
            <w:r>
              <w:rPr>
                <w:b w:val="false"/>
                <w:bCs w:val="false"/>
                <w:sz w:val="20"/>
                <w:szCs w:val="20"/>
              </w:rPr>
              <w:t xml:space="preserve">Acondicionamiento de local (65 m²)</w:t>
            </w:r>
          </w:p>
        </w:tc>
        <w:tc>
          <w:tcPr>
            <w:tcW w:type="dxa" w:w="2800"/>
            <w:shd w:fill="D9E7ED" w:val="clear"/>
          </w:tcPr>
          <w:p>
            <w:r>
              <w:rPr>
                <w:b w:val="false"/>
                <w:bCs w:val="false"/>
                <w:sz w:val="20"/>
                <w:szCs w:val="20"/>
              </w:rPr>
              <w:t xml:space="preserve">130.000.000</w:t>
            </w:r>
          </w:p>
        </w:tc>
      </w:tr>
      <w:tr>
        <w:tc>
          <w:tcPr>
            <w:tcW w:type="dxa" w:w="4800"/>
          </w:tcPr>
          <w:p>
            <w:r>
              <w:rPr>
                <w:b w:val="false"/>
                <w:bCs w:val="false"/>
                <w:sz w:val="20"/>
                <w:szCs w:val="20"/>
              </w:rPr>
              <w:t xml:space="preserve">Mantecadora profesional</w:t>
            </w:r>
          </w:p>
        </w:tc>
        <w:tc>
          <w:tcPr>
            <w:tcW w:type="dxa" w:w="2800"/>
          </w:tcPr>
          <w:p>
            <w:r>
              <w:rPr>
                <w:b w:val="false"/>
                <w:bCs w:val="false"/>
                <w:sz w:val="20"/>
                <w:szCs w:val="20"/>
              </w:rPr>
              <w:t xml:space="preserve">28.000.000</w:t>
            </w:r>
          </w:p>
        </w:tc>
      </w:tr>
      <w:tr>
        <w:tc>
          <w:tcPr>
            <w:tcW w:type="dxa" w:w="4800"/>
            <w:shd w:fill="D9E7ED" w:val="clear"/>
          </w:tcPr>
          <w:p>
            <w:r>
              <w:rPr>
                <w:b w:val="false"/>
                <w:bCs w:val="false"/>
                <w:sz w:val="20"/>
                <w:szCs w:val="20"/>
              </w:rPr>
              <w:t xml:space="preserve">Vitrina expositora (pozzetti)</w:t>
            </w:r>
          </w:p>
        </w:tc>
        <w:tc>
          <w:tcPr>
            <w:tcW w:type="dxa" w:w="2800"/>
            <w:shd w:fill="D9E7ED" w:val="clear"/>
          </w:tcPr>
          <w:p>
            <w:r>
              <w:rPr>
                <w:b w:val="false"/>
                <w:bCs w:val="false"/>
                <w:sz w:val="20"/>
                <w:szCs w:val="20"/>
              </w:rPr>
              <w:t xml:space="preserve">22.000.000</w:t>
            </w:r>
          </w:p>
        </w:tc>
      </w:tr>
      <w:tr>
        <w:tc>
          <w:tcPr>
            <w:tcW w:type="dxa" w:w="4800"/>
          </w:tcPr>
          <w:p>
            <w:r>
              <w:rPr>
                <w:b w:val="false"/>
                <w:bCs w:val="false"/>
                <w:sz w:val="20"/>
                <w:szCs w:val="20"/>
              </w:rPr>
              <w:t xml:space="preserve">Capital de trabajo inicial</w:t>
            </w:r>
          </w:p>
        </w:tc>
        <w:tc>
          <w:tcPr>
            <w:tcW w:type="dxa" w:w="2800"/>
          </w:tcPr>
          <w:p>
            <w:r>
              <w:rPr>
                <w:b w:val="false"/>
                <w:bCs w:val="false"/>
                <w:sz w:val="20"/>
                <w:szCs w:val="20"/>
              </w:rPr>
              <w:t xml:space="preserve">15.500.000</w:t>
            </w:r>
          </w:p>
        </w:tc>
      </w:tr>
      <w:tr>
        <w:tc>
          <w:tcPr>
            <w:tcW w:type="dxa" w:w="4800"/>
            <w:shd w:fill="D9E7ED" w:val="clear"/>
          </w:tcPr>
          <w:p>
            <w:r>
              <w:rPr>
                <w:b w:val="false"/>
                <w:bCs w:val="false"/>
                <w:sz w:val="20"/>
                <w:szCs w:val="20"/>
              </w:rPr>
              <w:t xml:space="preserve">Cámara de conservación</w:t>
            </w:r>
          </w:p>
        </w:tc>
        <w:tc>
          <w:tcPr>
            <w:tcW w:type="dxa" w:w="2800"/>
            <w:shd w:fill="D9E7ED" w:val="clear"/>
          </w:tcPr>
          <w:p>
            <w:r>
              <w:rPr>
                <w:b w:val="false"/>
                <w:bCs w:val="false"/>
                <w:sz w:val="20"/>
                <w:szCs w:val="20"/>
              </w:rPr>
              <w:t xml:space="preserve">14.000.000</w:t>
            </w:r>
          </w:p>
        </w:tc>
      </w:tr>
      <w:tr>
        <w:tc>
          <w:tcPr>
            <w:tcW w:type="dxa" w:w="4800"/>
          </w:tcPr>
          <w:p>
            <w:r>
              <w:rPr>
                <w:b w:val="false"/>
                <w:bCs w:val="false"/>
                <w:sz w:val="20"/>
                <w:szCs w:val="20"/>
              </w:rPr>
              <w:t xml:space="preserve">Pasteurizadora</w:t>
            </w:r>
          </w:p>
        </w:tc>
        <w:tc>
          <w:tcPr>
            <w:tcW w:type="dxa" w:w="2800"/>
          </w:tcPr>
          <w:p>
            <w:r>
              <w:rPr>
                <w:b w:val="false"/>
                <w:bCs w:val="false"/>
                <w:sz w:val="20"/>
                <w:szCs w:val="20"/>
              </w:rPr>
              <w:t xml:space="preserve">13.000.000</w:t>
            </w:r>
          </w:p>
        </w:tc>
      </w:tr>
      <w:tr>
        <w:tc>
          <w:tcPr>
            <w:tcW w:type="dxa" w:w="4800"/>
            <w:shd w:fill="D9E7ED" w:val="clear"/>
          </w:tcPr>
          <w:p>
            <w:r>
              <w:rPr>
                <w:b w:val="false"/>
                <w:bCs w:val="false"/>
                <w:sz w:val="20"/>
                <w:szCs w:val="20"/>
              </w:rPr>
              <w:t xml:space="preserve">Abatidor de temperatura</w:t>
            </w:r>
          </w:p>
        </w:tc>
        <w:tc>
          <w:tcPr>
            <w:tcW w:type="dxa" w:w="2800"/>
            <w:shd w:fill="D9E7ED" w:val="clear"/>
          </w:tcPr>
          <w:p>
            <w:r>
              <w:rPr>
                <w:b w:val="false"/>
                <w:bCs w:val="false"/>
                <w:sz w:val="20"/>
                <w:szCs w:val="20"/>
              </w:rPr>
              <w:t xml:space="preserve">7.851.000</w:t>
            </w:r>
          </w:p>
        </w:tc>
      </w:tr>
      <w:tr>
        <w:tc>
          <w:tcPr>
            <w:tcW w:type="dxa" w:w="4800"/>
          </w:tcPr>
          <w:p>
            <w:r>
              <w:rPr>
                <w:b w:val="false"/>
                <w:bCs w:val="false"/>
                <w:sz w:val="20"/>
                <w:szCs w:val="20"/>
              </w:rPr>
              <w:t xml:space="preserve">Licencias y trámites</w:t>
            </w:r>
          </w:p>
        </w:tc>
        <w:tc>
          <w:tcPr>
            <w:tcW w:type="dxa" w:w="2800"/>
          </w:tcPr>
          <w:p>
            <w:r>
              <w:rPr>
                <w:b w:val="false"/>
                <w:bCs w:val="false"/>
                <w:sz w:val="20"/>
                <w:szCs w:val="20"/>
              </w:rPr>
              <w:t xml:space="preserve">3.000.000</w:t>
            </w:r>
          </w:p>
        </w:tc>
      </w:tr>
      <w:tr>
        <w:tc>
          <w:tcPr>
            <w:tcW w:type="dxa" w:w="4800"/>
          </w:tcPr>
          <w:p>
            <w:r>
              <w:rPr>
                <w:b/>
                <w:bCs/>
                <w:sz w:val="20"/>
                <w:szCs w:val="20"/>
              </w:rPr>
              <w:t xml:space="preserve">TOTAL CAPEX</w:t>
            </w:r>
          </w:p>
        </w:tc>
        <w:tc>
          <w:tcPr>
            <w:tcW w:type="dxa" w:w="2800"/>
          </w:tcPr>
          <w:p>
            <w:r>
              <w:rPr>
                <w:b/>
                <w:bCs/>
                <w:sz w:val="20"/>
                <w:szCs w:val="20"/>
              </w:rPr>
              <w:t xml:space="preserve">233.351.000</w:t>
            </w:r>
          </w:p>
        </w:tc>
      </w:tr>
    </w:tbl>
    <w:p>
      <w:pPr>
        <w:spacing w:after="200"/>
      </w:pPr>
      <w:r>
        <w:rPr>
          <w:i/>
          <w:iCs/>
          <w:color w:val="666666"/>
          <w:sz w:val="18"/>
          <w:szCs w:val="18"/>
        </w:rPr>
        <w:t xml:space="preserve">Con un punto de equilibrio de 66 bolas/día — un volumen razonable para un local bien ubicado en una ciudad de más de 2,5 millones de habitantes — el negocio resulta viable.</w:t>
      </w:r>
    </w:p>
    <w:p>
      <w:pPr>
        <w:pStyle w:val="Heading2"/>
        <w:spacing w:after="100" w:before="220"/>
      </w:pPr>
      <w:r>
        <w:t xml:space="preserve">3. ¿Qué precio de venta es el adecuado?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F4E5F" w:val="clear"/>
          </w:tcPr>
          <w:p>
            <w:r>
              <w:rPr>
                <w:b/>
                <w:bCs/>
                <w:color w:val="FFFFFF"/>
                <w:sz w:val="22"/>
                <w:szCs w:val="22"/>
              </w:rPr>
              <w:t xml:space="preserve">Pregunta</w:t>
            </w:r>
          </w:p>
        </w:tc>
      </w:tr>
      <w:tr>
        <w:tc>
          <w:tcPr>
            <w:shd w:fill="D9E7ED" w:val="clear"/>
          </w:tcPr>
          <w:p>
            <w:r>
              <w:rPr>
                <w:b/>
                <w:bCs/>
                <w:color w:val="1F4E5F"/>
                <w:sz w:val="24"/>
                <w:szCs w:val="24"/>
              </w:rPr>
              <w:t xml:space="preserve">9.000 COP por bola</w:t>
            </w:r>
          </w:p>
        </w:tc>
      </w:tr>
    </w:tbl>
    <w:p>
      <w:pPr>
        <w:spacing w:after="150"/>
      </w:pPr>
      <w:r>
        <w:rPr>
          <w:b w:val="false"/>
          <w:bCs w:val="false"/>
          <w:i w:val="false"/>
          <w:iCs w:val="false"/>
        </w:rPr>
        <w:t xml:space="preserve"/>
      </w:r>
    </w:p>
    <w:p>
      <w:pPr>
        <w:spacing w:after="150"/>
      </w:pPr>
      <w:r>
        <w:rPr>
          <w:b w:val="false"/>
          <w:bCs w:val="false"/>
          <w:i w:val="false"/>
          <w:iCs w:val="false"/>
        </w:rPr>
        <w:t xml:space="preserve">El precio inicial del modelo (11.900 COP) se contrastó con precios reales de heladerías artesanales de Medellín, incluyendo Amor-Acuyá — heladería premiada en el ranking mundial del Gelato Festival — que cobra entre 6.500 y 9.500 COP por presentación personal. El precio se ajustó a 9.000 COP, dentro del rango real de mercado premium, resultando en un food cost del 13,5%.</w:t>
      </w:r>
    </w:p>
    <w:p>
      <w:pPr>
        <w:pStyle w:val="Heading2"/>
        <w:spacing w:after="100" w:before="220"/>
      </w:pPr>
      <w:r>
        <w:t xml:space="preserve">4. ¿Qué sabores tendrían más demanda: europeos, colombianos, o híbridos?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F4E5F" w:val="clear"/>
          </w:tcPr>
          <w:p>
            <w:r>
              <w:rPr>
                <w:b/>
                <w:bCs/>
                <w:color w:val="FFFFFF"/>
                <w:sz w:val="22"/>
                <w:szCs w:val="22"/>
              </w:rPr>
              <w:t xml:space="preserve">Pregunta</w:t>
            </w:r>
          </w:p>
        </w:tc>
      </w:tr>
      <w:tr>
        <w:tc>
          <w:tcPr>
            <w:shd w:fill="D9E7ED" w:val="clear"/>
          </w:tcPr>
          <w:p>
            <w:r>
              <w:rPr>
                <w:b/>
                <w:bCs/>
                <w:color w:val="1F4E5F"/>
                <w:sz w:val="24"/>
                <w:szCs w:val="24"/>
              </w:rPr>
              <w:t xml:space="preserve">Fusión italo-colombiana, con base de clásicos italianos</w:t>
            </w:r>
          </w:p>
        </w:tc>
      </w:tr>
    </w:tbl>
    <w:p>
      <w:pPr>
        <w:spacing w:after="150"/>
      </w:pPr>
      <w:r>
        <w:rPr>
          <w:b w:val="false"/>
          <w:bCs w:val="false"/>
          <w:i w:val="false"/>
          <w:iCs w:val="false"/>
        </w:rPr>
        <w:t xml:space="preserve"/>
      </w:r>
    </w:p>
    <w:p>
      <w:pPr>
        <w:spacing w:after="150"/>
      </w:pPr>
      <w:r>
        <w:rPr>
          <w:b w:val="false"/>
          <w:bCs w:val="false"/>
          <w:i w:val="false"/>
          <w:iCs w:val="false"/>
        </w:rPr>
        <w:t xml:space="preserve">El análisis de las heladerías mejor valoradas de Medellín reveló un patrón consistente: las marcas con mayor reconocimiento no ofrecen gelato italiano puro, sino una fusión deliberada entre técnica italiana y fruta colombiana — el propio sabor insignia de Amor-Acuyá (maracuyá con chocolate amargo) es un ejemplo directo. Con base en esto se propuso la siguiente carta: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2000"/>
      </w:tblGrid>
      <w:tr>
        <w:tc>
          <w:tcPr>
            <w:tcW w:type="dxa" w:w="2800"/>
            <w:shd w:fill="1F4E5F" w:val="clear"/>
          </w:tcPr>
          <w:p>
            <w:r>
              <w:rPr>
                <w:b/>
                <w:bCs/>
                <w:color w:val="FFFFFF"/>
                <w:sz w:val="20"/>
                <w:szCs w:val="20"/>
              </w:rPr>
              <w:t xml:space="preserve">Categoría</w:t>
            </w:r>
          </w:p>
        </w:tc>
        <w:tc>
          <w:tcPr>
            <w:tcW w:type="dxa" w:w="4800"/>
            <w:shd w:fill="1F4E5F" w:val="clear"/>
          </w:tcPr>
          <w:p>
            <w:r>
              <w:rPr>
                <w:b/>
                <w:bCs/>
                <w:color w:val="FFFFFF"/>
                <w:sz w:val="20"/>
                <w:szCs w:val="20"/>
              </w:rPr>
              <w:t xml:space="preserve">Sabores</w:t>
            </w:r>
          </w:p>
        </w:tc>
        <w:tc>
          <w:tcPr>
            <w:tcW w:type="dxa" w:w="2000"/>
            <w:shd w:fill="1F4E5F" w:val="clear"/>
          </w:tcPr>
          <w:p>
            <w:r>
              <w:rPr>
                <w:b/>
                <w:bCs/>
                <w:color w:val="FFFFFF"/>
                <w:sz w:val="20"/>
                <w:szCs w:val="20"/>
              </w:rPr>
              <w:t xml:space="preserve">% carta</w:t>
            </w:r>
          </w:p>
        </w:tc>
      </w:tr>
      <w:tr>
        <w:tc>
          <w:tcPr>
            <w:tcW w:type="dxa" w:w="2800"/>
          </w:tcPr>
          <w:p>
            <w:r>
              <w:rPr>
                <w:b/>
                <w:bCs/>
                <w:sz w:val="20"/>
                <w:szCs w:val="20"/>
              </w:rPr>
              <w:t xml:space="preserve">Clásicos italianos</w:t>
            </w:r>
          </w:p>
        </w:tc>
        <w:tc>
          <w:tcPr>
            <w:tcW w:type="dxa" w:w="4800"/>
          </w:tcPr>
          <w:p>
            <w:r>
              <w:rPr>
                <w:b w:val="false"/>
                <w:bCs w:val="false"/>
                <w:sz w:val="20"/>
                <w:szCs w:val="20"/>
              </w:rPr>
              <w:t xml:space="preserve">Pistacho, Avellana, Stracciatella, Fior di Latte, Chocolate fondente</w:t>
            </w:r>
          </w:p>
        </w:tc>
        <w:tc>
          <w:tcPr>
            <w:tcW w:type="dxa" w:w="2000"/>
          </w:tcPr>
          <w:p>
            <w:r>
              <w:rPr>
                <w:b w:val="false"/>
                <w:bCs w:val="false"/>
                <w:sz w:val="20"/>
                <w:szCs w:val="20"/>
              </w:rPr>
              <w:t xml:space="preserve">35%</w:t>
            </w:r>
          </w:p>
        </w:tc>
      </w:tr>
      <w:tr>
        <w:tc>
          <w:tcPr>
            <w:tcW w:type="dxa" w:w="2800"/>
            <w:shd w:fill="D9E7ED" w:val="clear"/>
          </w:tcPr>
          <w:p>
            <w:r>
              <w:rPr>
                <w:b/>
                <w:bCs/>
                <w:sz w:val="20"/>
                <w:szCs w:val="20"/>
              </w:rPr>
              <w:t xml:space="preserve">Fusión italo-colombiana</w:t>
            </w:r>
          </w:p>
        </w:tc>
        <w:tc>
          <w:tcPr>
            <w:tcW w:type="dxa" w:w="4800"/>
            <w:shd w:fill="D9E7ED" w:val="clear"/>
          </w:tcPr>
          <w:p>
            <w:r>
              <w:rPr>
                <w:b w:val="false"/>
                <w:bCs w:val="false"/>
                <w:sz w:val="20"/>
                <w:szCs w:val="20"/>
              </w:rPr>
              <w:t xml:space="preserve">Maracuyá con chocolate amargo, Mango biche con albahaca, Guanábana, Lulo con menta</w:t>
            </w:r>
          </w:p>
        </w:tc>
        <w:tc>
          <w:tcPr>
            <w:tcW w:type="dxa" w:w="2000"/>
            <w:shd w:fill="D9E7ED" w:val="clear"/>
          </w:tcPr>
          <w:p>
            <w:r>
              <w:rPr>
                <w:b w:val="false"/>
                <w:bCs w:val="false"/>
                <w:sz w:val="20"/>
                <w:szCs w:val="20"/>
              </w:rPr>
              <w:t xml:space="preserve">40%</w:t>
            </w:r>
          </w:p>
        </w:tc>
      </w:tr>
      <w:tr>
        <w:tc>
          <w:tcPr>
            <w:tcW w:type="dxa" w:w="2800"/>
          </w:tcPr>
          <w:p>
            <w:r>
              <w:rPr>
                <w:b/>
                <w:bCs/>
                <w:sz w:val="20"/>
                <w:szCs w:val="20"/>
              </w:rPr>
              <w:t xml:space="preserve">Frutales colombianos</w:t>
            </w:r>
          </w:p>
        </w:tc>
        <w:tc>
          <w:tcPr>
            <w:tcW w:type="dxa" w:w="4800"/>
          </w:tcPr>
          <w:p>
            <w:r>
              <w:rPr>
                <w:b w:val="false"/>
                <w:bCs w:val="false"/>
                <w:sz w:val="20"/>
                <w:szCs w:val="20"/>
              </w:rPr>
              <w:t xml:space="preserve">Mora, Coco, Chontaduro</w:t>
            </w:r>
          </w:p>
        </w:tc>
        <w:tc>
          <w:tcPr>
            <w:tcW w:type="dxa" w:w="2000"/>
          </w:tcPr>
          <w:p>
            <w:r>
              <w:rPr>
                <w:b w:val="false"/>
                <w:bCs w:val="false"/>
                <w:sz w:val="20"/>
                <w:szCs w:val="20"/>
              </w:rPr>
              <w:t xml:space="preserve">25%</w:t>
            </w:r>
          </w:p>
        </w:tc>
      </w:tr>
    </w:tbl>
    <w:p>
      <w:pPr>
        <w:pStyle w:val="Heading2"/>
        <w:spacing w:after="100" w:before="220"/>
      </w:pPr>
      <w:r>
        <w:t xml:space="preserve">5. ¿Quién es el cliente objetivo?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F4E5F" w:val="clear"/>
          </w:tcPr>
          <w:p>
            <w:r>
              <w:rPr>
                <w:b/>
                <w:bCs/>
                <w:color w:val="FFFFFF"/>
                <w:sz w:val="22"/>
                <w:szCs w:val="22"/>
              </w:rPr>
              <w:t xml:space="preserve">Pregunta</w:t>
            </w:r>
          </w:p>
        </w:tc>
      </w:tr>
      <w:tr>
        <w:tc>
          <w:tcPr>
            <w:shd w:fill="D9E7ED" w:val="clear"/>
          </w:tcPr>
          <w:p>
            <w:r>
              <w:rPr>
                <w:b/>
                <w:bCs/>
                <w:color w:val="1F4E5F"/>
                <w:sz w:val="24"/>
                <w:szCs w:val="24"/>
              </w:rPr>
              <w:t xml:space="preserve">Mezcla de clase media-alta local y turismo extranjero</w:t>
            </w:r>
          </w:p>
        </w:tc>
      </w:tr>
    </w:tbl>
    <w:p>
      <w:pPr>
        <w:spacing w:after="150"/>
      </w:pPr>
      <w:r>
        <w:rPr>
          <w:b w:val="false"/>
          <w:bCs w:val="false"/>
          <w:i w:val="false"/>
          <w:iCs w:val="false"/>
        </w:rPr>
        <w:t xml:space="preserve"/>
      </w:r>
    </w:p>
    <w:p>
      <w:pPr>
        <w:spacing w:after="150"/>
      </w:pPr>
      <w:r>
        <w:rPr>
          <w:b w:val="false"/>
          <w:bCs w:val="false"/>
          <w:i w:val="false"/>
          <w:iCs w:val="false"/>
        </w:rPr>
        <w:t xml:space="preserve">El scorecard de ciudad ponderó explícitamente tanto poder adquisitivo local (20%) como turismo extranjero (15%), reflejando que el negocio no depende de un único segmento. Medellín ofrece un balance de ambos: buen poder adquisitivo relativo (16,7% de incidencia de pobreza monetaria, la más baja de las 8 ciudades) junto con un flujo de turismo internacional consolidado, sin ser tan dependiente de este último como Cartagena.</w:t>
      </w:r>
    </w:p>
    <w:p>
      <w:pPr>
        <w:pStyle w:val="Heading2"/>
        <w:spacing w:after="100" w:before="220"/>
      </w:pPr>
      <w:r>
        <w:t xml:space="preserve">6. ¿Existe estacionalidad relevante en la demanda?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F4E5F" w:val="clear"/>
          </w:tcPr>
          <w:p>
            <w:r>
              <w:rPr>
                <w:b/>
                <w:bCs/>
                <w:color w:val="FFFFFF"/>
                <w:sz w:val="22"/>
                <w:szCs w:val="22"/>
              </w:rPr>
              <w:t xml:space="preserve">Pregunta</w:t>
            </w:r>
          </w:p>
        </w:tc>
      </w:tr>
      <w:tr>
        <w:tc>
          <w:tcPr>
            <w:shd w:fill="D9E7ED" w:val="clear"/>
          </w:tcPr>
          <w:p>
            <w:r>
              <w:rPr>
                <w:b/>
                <w:bCs/>
                <w:color w:val="1F4E5F"/>
                <w:sz w:val="24"/>
                <w:szCs w:val="24"/>
              </w:rPr>
              <w:t xml:space="preserve">Riesgo bajo — clima estable todo el año</w:t>
            </w:r>
          </w:p>
        </w:tc>
      </w:tr>
    </w:tbl>
    <w:p>
      <w:pPr>
        <w:spacing w:after="150"/>
      </w:pPr>
      <w:r>
        <w:rPr>
          <w:b w:val="false"/>
          <w:bCs w:val="false"/>
          <w:i w:val="false"/>
          <w:iCs w:val="false"/>
        </w:rPr>
        <w:t xml:space="preserve"/>
      </w:r>
    </w:p>
    <w:p>
      <w:pPr>
        <w:spacing w:after="150"/>
      </w:pPr>
      <w:r>
        <w:rPr>
          <w:b w:val="false"/>
          <w:bCs w:val="false"/>
          <w:i w:val="false"/>
          <w:iCs w:val="false"/>
        </w:rPr>
        <w:t xml:space="preserve">A diferencia de mercados de clima templado con veranos e inviernos marcados, Medellín mantiene una temperatura media anual estable (~22°C, con baja variación estacional según IDEAM/Weather Spark). Esto reduce el riesgo de picos y valles extremos de demanda ligados al clima, aunque conviene monitorear la demanda ligada a fechas festivas y temporada alta de turismo.</w:t>
      </w:r>
    </w:p>
    <w:p>
      <w:pPr>
        <w:pStyle w:val="Heading1"/>
        <w:spacing w:after="150" w:before="320"/>
      </w:pPr>
      <w:r>
        <w:t xml:space="preserve">Stack técnico utilizado</w:t>
      </w:r>
    </w:p>
    <w:p>
      <w:pPr>
        <w:pStyle w:val="ListParagraph"/>
        <w:numPr>
          <w:ilvl w:val="0"/>
          <w:numId w:val="1"/>
        </w:numPr>
        <w:spacing w:after="70"/>
      </w:pPr>
      <w:r>
        <w:t xml:space="preserve">SQL (SQLite) — base de datos relacional con 13 tablas y una vista calculada (v_scorecard) que reproduce el resultado del scorecard mediante JOINs y agregaciones, no valores precalculados</w:t>
      </w:r>
    </w:p>
    <w:p>
      <w:pPr>
        <w:pStyle w:val="ListParagraph"/>
        <w:numPr>
          <w:ilvl w:val="0"/>
          <w:numId w:val="1"/>
        </w:numPr>
        <w:spacing w:after="70"/>
      </w:pPr>
      <w:r>
        <w:t xml:space="preserve">Python (pandas, matplotlib, vía Google Colab) — carga de datos desde SQL y visualización</w:t>
      </w:r>
    </w:p>
    <w:p>
      <w:pPr>
        <w:pStyle w:val="ListParagraph"/>
        <w:numPr>
          <w:ilvl w:val="0"/>
          <w:numId w:val="1"/>
        </w:numPr>
        <w:spacing w:after="70"/>
      </w:pPr>
      <w:r>
        <w:t xml:space="preserve">Tableau Public — dashboard interactivo final con 3 vistas: scorecard de ciudades, distribución del CAPEX, y composición de la carta de sabores</w:t>
      </w:r>
    </w:p>
    <w:p>
      <w:pPr>
        <w:pStyle w:val="ListParagraph"/>
        <w:numPr>
          <w:ilvl w:val="0"/>
          <w:numId w:val="1"/>
        </w:numPr>
        <w:spacing w:after="70"/>
      </w:pPr>
      <w:r>
        <w:t xml:space="preserve">Excel — modelado financiero detallado (CAPEX, OPEX, pricing y punto de equilibrio) y recolección de datos por ciudad</w:t>
      </w:r>
    </w:p>
    <w:p>
      <w:pPr>
        <w:pStyle w:val="Heading1"/>
        <w:spacing w:after="150" w:before="320"/>
      </w:pPr>
      <w:r>
        <w:t xml:space="preserve">Dashboard interactivo</w:t>
      </w:r>
    </w:p>
    <w:p>
      <w:pPr>
        <w:spacing w:after="150"/>
      </w:pPr>
      <w:r>
        <w:rPr>
          <w:b w:val="false"/>
          <w:bCs w:val="false"/>
          <w:i w:val="false"/>
          <w:iCs w:val="false"/>
        </w:rPr>
        <w:t xml:space="preserve">El resultado visual completo del proyecto está disponible públicamente en:</w:t>
      </w:r>
    </w:p>
    <w:p>
      <w:pPr>
        <w:spacing w:after="150"/>
      </w:pPr>
      <w:r>
        <w:rPr>
          <w:b/>
          <w:bCs/>
          <w:i w:val="false"/>
          <w:iCs w:val="false"/>
        </w:rPr>
        <w:t xml:space="preserve">public.tableau.com/app/profile/guillermo.soler/viz/HeladeriaArtesanalcolombia/Dashboard1</w:t>
      </w:r>
    </w:p>
    <w:p>
      <w:pPr>
        <w:pStyle w:val="Heading1"/>
        <w:spacing w:after="150" w:before="320"/>
      </w:pPr>
      <w:r>
        <w:t xml:space="preserve">Conclusión</w:t>
      </w:r>
    </w:p>
    <w:p>
      <w:pPr>
        <w:spacing w:after="150"/>
      </w:pPr>
      <w:r>
        <w:rPr>
          <w:b w:val="false"/>
          <w:bCs w:val="false"/>
          <w:i w:val="false"/>
          <w:iCs w:val="false"/>
        </w:rPr>
        <w:t xml:space="preserve">El proyecto demuestra que abrir una heladería artesanal italiana en Medellín es una propuesta viable, con una inversión inicial de ~233 millones de COP, un punto de equilibrio alcanzable, un precio de venta validado contra el mercado real, y una propuesta de producto respaldada por el ejemplo de negocios ya exitosos en la ciudad. Más allá del resultado, el proceso ilustra un principio central de la analítica de datos aplicada a negocio: los primeros supuestos rara vez son los correctos, y el valor está en contrastarlos con evidencia real antes de tomar la decisión final.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2026-07-16T10:20:57.358Z</dcterms:created>
  <dcterms:modified xsi:type="dcterms:W3CDTF">2026-07-16T10:20:57.374Z</dcterms:modified>
</cp:coreProperties>
</file>

<file path=docProps/custom.xml><?xml version="1.0" encoding="utf-8"?>
<Properties xmlns="http://schemas.openxmlformats.org/officeDocument/2006/custom-properties" xmlns:vt="http://schemas.openxmlformats.org/officeDocument/2006/docPropsVTypes"/>
</file>