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0" w:after="200"/>
        <w:jc w:val="center"/>
        <w:rPr/>
      </w:pPr>
      <w:r>
        <w:rPr>
          <w:rFonts w:eastAsia="Calibri" w:cs="Calibri" w:ascii="Calibri" w:hAnsi="Calibri"/>
          <w:b/>
          <w:bCs/>
          <w:color w:val="1F3864"/>
          <w:sz w:val="60"/>
          <w:szCs w:val="60"/>
        </w:rPr>
        <w:t>AL AI Toolkit</w:t>
      </w:r>
    </w:p>
    <w:p>
      <w:pPr>
        <w:pStyle w:val="Normal"/>
        <w:spacing w:before="0" w:after="100"/>
        <w:jc w:val="center"/>
        <w:rPr/>
      </w:pPr>
      <w:r>
        <w:rPr>
          <w:rFonts w:eastAsia="Calibri" w:cs="Calibri" w:ascii="Calibri" w:hAnsi="Calibri"/>
          <w:b/>
          <w:bCs/>
          <w:color w:val="2E5395"/>
          <w:sz w:val="30"/>
          <w:szCs w:val="30"/>
        </w:rPr>
        <w:t>Product Requirements Document &amp; Architecture Decision Record</w:t>
      </w:r>
    </w:p>
    <w:p>
      <w:pPr>
        <w:pStyle w:val="Normal"/>
        <w:spacing w:before="0" w:after="40"/>
        <w:jc w:val="center"/>
        <w:rPr/>
      </w:pPr>
      <w:r>
        <w:rPr>
          <w:rFonts w:eastAsia="Calibri" w:cs="Calibri" w:ascii="Calibri" w:hAnsi="Calibri"/>
          <w:i/>
          <w:iCs/>
          <w:color w:val="595959"/>
          <w:sz w:val="22"/>
          <w:szCs w:val="22"/>
        </w:rPr>
        <w:t>A provider-agnostic AI integration library for Microsoft Dynamics 365 Business Central</w:t>
      </w:r>
    </w:p>
    <w:p>
      <w:pPr>
        <w:pStyle w:val="Normal"/>
        <w:spacing w:before="400" w:after="40"/>
        <w:jc w:val="center"/>
        <w:rPr/>
      </w:pPr>
      <w:r>
        <w:rPr>
          <w:rFonts w:eastAsia="Calibri" w:cs="Calibri" w:ascii="Calibri" w:hAnsi="Calibri"/>
          <w:color w:val="595959"/>
          <w:sz w:val="20"/>
          <w:szCs w:val="20"/>
        </w:rPr>
        <w:t>Version 0.1 — Draft for community review</w:t>
      </w:r>
    </w:p>
    <w:p>
      <w:pPr>
        <w:pStyle w:val="Normal"/>
        <w:spacing w:before="0" w:after="40"/>
        <w:jc w:val="center"/>
        <w:rPr/>
      </w:pPr>
      <w:r>
        <w:rPr>
          <w:rFonts w:eastAsia="Calibri" w:cs="Calibri" w:ascii="Calibri" w:hAnsi="Calibri"/>
          <w:color w:val="595959"/>
          <w:sz w:val="20"/>
          <w:szCs w:val="20"/>
        </w:rPr>
        <w:t>August 2026</w:t>
      </w:r>
    </w:p>
    <w:p>
      <w:pPr>
        <w:pStyle w:val="Normal"/>
        <w:spacing w:before="0" w:after="40"/>
        <w:jc w:val="center"/>
        <w:rPr/>
      </w:pPr>
      <w:r>
        <w:rPr>
          <w:rFonts w:eastAsia="Calibri" w:cs="Calibri" w:ascii="Calibri" w:hAnsi="Calibri"/>
          <w:color w:val="595959"/>
          <w:sz w:val="20"/>
          <w:szCs w:val="20"/>
        </w:rPr>
        <w:t>License: MIT · Status: Pre-implementation design</w:t>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Contents</w:t>
      </w:r>
    </w:p>
    <w:p>
      <w:pPr>
        <w:pStyle w:val="Normal"/>
        <w:spacing w:before="0" w:after="300"/>
        <w:rPr/>
      </w:pPr>
      <w:r>
        <w:rPr>
          <w:rFonts w:eastAsia="Calibri" w:cs="Calibri" w:ascii="Calibri" w:hAnsi="Calibri"/>
          <w:i/>
          <w:iCs/>
          <w:color w:val="595959"/>
          <w:sz w:val="18"/>
          <w:szCs w:val="18"/>
        </w:rPr>
        <w:t>(In Word: right-click this list and choose “Update Field” to populate page numbers, or use the heading navigation pane.)</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Part I — Product Requirements Document</w:t>
      </w:r>
    </w:p>
    <w:p>
      <w:pPr>
        <w:pStyle w:val="Heading2"/>
        <w:spacing w:before="360" w:after="160"/>
        <w:rPr/>
      </w:pPr>
      <w:r>
        <w:rPr>
          <w:rFonts w:eastAsia="Calibri" w:cs="Calibri" w:ascii="Calibri" w:hAnsi="Calibri"/>
          <w:b/>
          <w:bCs/>
          <w:color w:val="2E5395"/>
          <w:sz w:val="26"/>
          <w:szCs w:val="26"/>
        </w:rPr>
        <w:t>1. Summary</w:t>
      </w:r>
    </w:p>
    <w:p>
      <w:pPr>
        <w:pStyle w:val="Normal"/>
        <w:spacing w:lineRule="exact" w:line="300" w:before="0" w:after="200"/>
        <w:rPr/>
      </w:pPr>
      <w:r>
        <w:rPr>
          <w:rFonts w:eastAsia="Calibri" w:cs="Calibri" w:ascii="Calibri" w:hAnsi="Calibri"/>
          <w:sz w:val="22"/>
          <w:szCs w:val="22"/>
        </w:rPr>
        <w:t>AL AI Toolkit is a provider-agnostic AI integration library for Microsoft Dynamics 365 Business Central, written in AL. It gives BC developers a single, consistent API for calling large language models — regardless of vendor — with structured output parsing, retries, telemetry, and testability built in from day one.</w:t>
      </w:r>
    </w:p>
    <w:p>
      <w:pPr>
        <w:pStyle w:val="Normal"/>
        <w:spacing w:lineRule="exact" w:line="300" w:before="0" w:after="200"/>
        <w:rPr/>
      </w:pPr>
      <w:r>
        <w:rPr>
          <w:rFonts w:eastAsia="Calibri" w:cs="Calibri" w:ascii="Calibri" w:hAnsi="Calibri"/>
          <w:sz w:val="22"/>
          <w:szCs w:val="22"/>
        </w:rPr>
        <w:t>It is not a Copilot feature, not a hosted AI service, and not a Microsoft product. It is a library: code that ships inside a developer's own extension, with no runtime dependency on external infrastructure beyond the LLM provider itself.</w:t>
      </w:r>
    </w:p>
    <w:p>
      <w:pPr>
        <w:pStyle w:val="Normal"/>
        <w:spacing w:lineRule="exact" w:line="300" w:before="0" w:after="200"/>
        <w:rPr/>
      </w:pPr>
      <w:r>
        <w:rPr>
          <w:rFonts w:eastAsia="Calibri" w:cs="Calibri" w:ascii="Calibri" w:hAnsi="Calibri"/>
          <w:sz w:val="22"/>
          <w:szCs w:val="22"/>
        </w:rPr>
        <w:t>The bet this PRD makes: BC's AI story today is strong at the platform layer (System.AI, Copilot, Azure AI Foundry integration) and essentially absent at the library layer — there is no equivalent of what openai-python, LangChain, or the Vercel AI SDK give other ecosystems. That absence is the opportunity and the entire justification for this project existing.</w:t>
      </w:r>
    </w:p>
    <w:p>
      <w:pPr>
        <w:pStyle w:val="Heading2"/>
        <w:spacing w:before="360" w:after="160"/>
        <w:rPr/>
      </w:pPr>
      <w:r>
        <w:rPr>
          <w:rFonts w:eastAsia="Calibri" w:cs="Calibri" w:ascii="Calibri" w:hAnsi="Calibri"/>
          <w:b/>
          <w:bCs/>
          <w:color w:val="2E5395"/>
          <w:sz w:val="26"/>
          <w:szCs w:val="26"/>
        </w:rPr>
        <w:t>2. Problem Statement</w:t>
      </w:r>
    </w:p>
    <w:p>
      <w:pPr>
        <w:pStyle w:val="Normal"/>
        <w:spacing w:lineRule="exact" w:line="300" w:before="0" w:after="200"/>
        <w:rPr/>
      </w:pPr>
      <w:r>
        <w:rPr>
          <w:rFonts w:eastAsia="Calibri" w:cs="Calibri" w:ascii="Calibri" w:hAnsi="Calibri"/>
          <w:sz w:val="22"/>
          <w:szCs w:val="22"/>
        </w:rPr>
        <w:t>A BC developer who is asked to “add AI” to an extension today faces a disproportionate amount of undifferentiated work before writing a single line of business logic:</w:t>
      </w:r>
    </w:p>
    <w:p>
      <w:pPr>
        <w:pStyle w:val="ListParagraph"/>
        <w:numPr>
          <w:ilvl w:val="0"/>
          <w:numId w:val="3"/>
        </w:numPr>
        <w:spacing w:lineRule="exact" w:line="290" w:before="0" w:after="120"/>
        <w:rPr/>
      </w:pPr>
      <w:r>
        <w:rPr>
          <w:rFonts w:eastAsia="Calibri" w:cs="Calibri" w:ascii="Calibri" w:hAnsi="Calibri"/>
          <w:sz w:val="22"/>
          <w:szCs w:val="22"/>
        </w:rPr>
        <w:t>Every LLM provider has a different HTTP contract, auth scheme, and JSON shape. System.AI covers Microsoft-hosted models well but is not designed to be a general client for Anthropic, Gemini, or a self-hosted Ollama endpoint.</w:t>
      </w:r>
    </w:p>
    <w:p>
      <w:pPr>
        <w:pStyle w:val="ListParagraph"/>
        <w:numPr>
          <w:ilvl w:val="0"/>
          <w:numId w:val="1"/>
        </w:numPr>
        <w:spacing w:lineRule="exact" w:line="290" w:before="0" w:after="120"/>
        <w:rPr/>
      </w:pPr>
      <w:r>
        <w:rPr>
          <w:rFonts w:eastAsia="Calibri" w:cs="Calibri" w:ascii="Calibri" w:hAnsi="Calibri"/>
          <w:sz w:val="22"/>
          <w:szCs w:val="22"/>
        </w:rPr>
        <w:t>AL has no native JSON-to-record deserialization comparable to System.Text.Json's attribute-based binding — every developer hand-rolls JsonObject traversal, and does it slightly differently.</w:t>
      </w:r>
    </w:p>
    <w:p>
      <w:pPr>
        <w:pStyle w:val="ListParagraph"/>
        <w:numPr>
          <w:ilvl w:val="0"/>
          <w:numId w:val="1"/>
        </w:numPr>
        <w:spacing w:lineRule="exact" w:line="290" w:before="0" w:after="120"/>
        <w:rPr/>
      </w:pPr>
      <w:r>
        <w:rPr>
          <w:rFonts w:eastAsia="Calibri" w:cs="Calibri" w:ascii="Calibri" w:hAnsi="Calibri"/>
          <w:sz w:val="22"/>
          <w:szCs w:val="22"/>
        </w:rPr>
        <w:t>Retry logic, backoff, and rate-limit handling get rebuilt per project, usually badly, because nobody budgets time for it.</w:t>
      </w:r>
    </w:p>
    <w:p>
      <w:pPr>
        <w:pStyle w:val="ListParagraph"/>
        <w:numPr>
          <w:ilvl w:val="0"/>
          <w:numId w:val="1"/>
        </w:numPr>
        <w:spacing w:lineRule="exact" w:line="290" w:before="0" w:after="120"/>
        <w:rPr/>
      </w:pPr>
      <w:r>
        <w:rPr>
          <w:rFonts w:eastAsia="Calibri" w:cs="Calibri" w:ascii="Calibri" w:hAnsi="Calibri"/>
          <w:sz w:val="22"/>
          <w:szCs w:val="22"/>
        </w:rPr>
        <w:t>Testing AI-dependent code paths is close to nonexistent in AL today. There's no accepted pattern for a mock LLM response inside a BC test codeunit, so AI features either go untested or block CI on live network calls.</w:t>
      </w:r>
    </w:p>
    <w:p>
      <w:pPr>
        <w:pStyle w:val="ListParagraph"/>
        <w:numPr>
          <w:ilvl w:val="0"/>
          <w:numId w:val="1"/>
        </w:numPr>
        <w:spacing w:lineRule="exact" w:line="290" w:before="0" w:after="120"/>
        <w:rPr/>
      </w:pPr>
      <w:r>
        <w:rPr>
          <w:rFonts w:eastAsia="Calibri" w:cs="Calibri" w:ascii="Calibri" w:hAnsi="Calibri"/>
          <w:sz w:val="22"/>
          <w:szCs w:val="22"/>
        </w:rPr>
        <w:t>Telemetry for AI calls (cost, latency, token counts, failures) is bespoke per project, if it exists at all — this matters more for AI than for typical API calls, because cost and quality are both variable and provider-dependent in a way a REST call to a fixed internal API isn't.</w:t>
      </w:r>
    </w:p>
    <w:p>
      <w:pPr>
        <w:pStyle w:val="Normal"/>
        <w:spacing w:lineRule="exact" w:line="300" w:before="0" w:after="200"/>
        <w:rPr/>
      </w:pPr>
      <w:r>
        <w:rPr>
          <w:rFonts w:eastAsia="Calibri" w:cs="Calibri" w:ascii="Calibri" w:hAnsi="Calibri"/>
          <w:sz w:val="22"/>
          <w:szCs w:val="22"/>
        </w:rPr>
        <w:t>None of these problems are AL-specific in concept — every ecosystem solved them once for HTTP APIs in general, and is now re-solving them for LLMs specifically. AL is unusual only in that nobody has solved them yet for this ecosystem. That gap, not a technical impossibility, is the reason this project is viable.</w:t>
      </w:r>
    </w:p>
    <w:p>
      <w:pPr>
        <w:pStyle w:val="Heading2"/>
        <w:spacing w:before="360" w:after="160"/>
        <w:rPr/>
      </w:pPr>
      <w:r>
        <w:rPr>
          <w:rFonts w:eastAsia="Calibri" w:cs="Calibri" w:ascii="Calibri" w:hAnsi="Calibri"/>
          <w:b/>
          <w:bCs/>
          <w:color w:val="2E5395"/>
          <w:sz w:val="26"/>
          <w:szCs w:val="26"/>
        </w:rPr>
        <w:t>3. Goals and Non-Goals</w:t>
      </w:r>
    </w:p>
    <w:p>
      <w:pPr>
        <w:pStyle w:val="Heading3"/>
        <w:spacing w:before="260" w:after="120"/>
        <w:rPr/>
      </w:pPr>
      <w:r>
        <w:rPr>
          <w:rFonts w:eastAsia="Calibri" w:cs="Calibri" w:ascii="Calibri" w:hAnsi="Calibri"/>
          <w:b/>
          <w:bCs/>
          <w:color w:val="333333"/>
          <w:sz w:val="23"/>
          <w:szCs w:val="23"/>
        </w:rPr>
        <w:t>Goals</w:t>
      </w:r>
    </w:p>
    <w:p>
      <w:pPr>
        <w:pStyle w:val="ListParagraph"/>
        <w:numPr>
          <w:ilvl w:val="0"/>
          <w:numId w:val="1"/>
        </w:numPr>
        <w:spacing w:lineRule="exact" w:line="290" w:before="0" w:after="120"/>
        <w:rPr/>
      </w:pPr>
      <w:r>
        <w:rPr>
          <w:rFonts w:eastAsia="Calibri" w:cs="Calibri" w:ascii="Calibri" w:hAnsi="Calibri"/>
          <w:sz w:val="22"/>
          <w:szCs w:val="22"/>
        </w:rPr>
        <w:t>Let a developer call any supported LLM provider through one interface, with provider selection as configuration, not code change.</w:t>
      </w:r>
    </w:p>
    <w:p>
      <w:pPr>
        <w:pStyle w:val="ListParagraph"/>
        <w:numPr>
          <w:ilvl w:val="0"/>
          <w:numId w:val="1"/>
        </w:numPr>
        <w:spacing w:lineRule="exact" w:line="290" w:before="0" w:after="120"/>
        <w:rPr/>
      </w:pPr>
      <w:r>
        <w:rPr>
          <w:rFonts w:eastAsia="Calibri" w:cs="Calibri" w:ascii="Calibri" w:hAnsi="Calibri"/>
          <w:sz w:val="22"/>
          <w:szCs w:val="22"/>
        </w:rPr>
        <w:t>Make structured output (LLM response → strongly-typed AL record) a first-class, reliable primitive — this is the single feature most likely to differentiate the project from “a thin HTTP wrapper.”</w:t>
      </w:r>
    </w:p>
    <w:p>
      <w:pPr>
        <w:pStyle w:val="ListParagraph"/>
        <w:numPr>
          <w:ilvl w:val="0"/>
          <w:numId w:val="1"/>
        </w:numPr>
        <w:spacing w:lineRule="exact" w:line="290" w:before="0" w:after="120"/>
        <w:rPr/>
      </w:pPr>
      <w:r>
        <w:rPr>
          <w:rFonts w:eastAsia="Calibri" w:cs="Calibri" w:ascii="Calibri" w:hAnsi="Calibri"/>
          <w:sz w:val="22"/>
          <w:szCs w:val="22"/>
        </w:rPr>
        <w:t>Ship a mock provider that makes AI-dependent AL code unit-testable without network access, executable in standard BC test codeunits.</w:t>
      </w:r>
    </w:p>
    <w:p>
      <w:pPr>
        <w:pStyle w:val="ListParagraph"/>
        <w:numPr>
          <w:ilvl w:val="0"/>
          <w:numId w:val="1"/>
        </w:numPr>
        <w:spacing w:lineRule="exact" w:line="290" w:before="0" w:after="120"/>
        <w:rPr/>
      </w:pPr>
      <w:r>
        <w:rPr>
          <w:rFonts w:eastAsia="Calibri" w:cs="Calibri" w:ascii="Calibri" w:hAnsi="Calibri"/>
          <w:sz w:val="22"/>
          <w:szCs w:val="22"/>
        </w:rPr>
        <w:t>Emit OpenTelemetry-compatible signals for every AI call by default, not as an opt-in add-on.</w:t>
      </w:r>
    </w:p>
    <w:p>
      <w:pPr>
        <w:pStyle w:val="ListParagraph"/>
        <w:numPr>
          <w:ilvl w:val="0"/>
          <w:numId w:val="1"/>
        </w:numPr>
        <w:spacing w:lineRule="exact" w:line="290" w:before="0" w:after="120"/>
        <w:rPr/>
      </w:pPr>
      <w:r>
        <w:rPr>
          <w:rFonts w:eastAsia="Calibri" w:cs="Calibri" w:ascii="Calibri" w:hAnsi="Calibri"/>
          <w:sz w:val="22"/>
          <w:szCs w:val="22"/>
        </w:rPr>
        <w:t>Stay a library. No hosted service, no dashboard, no account system, no telemetry collection that leaves the customer's own environment.</w:t>
      </w:r>
    </w:p>
    <w:p>
      <w:pPr>
        <w:pStyle w:val="ListParagraph"/>
        <w:numPr>
          <w:ilvl w:val="0"/>
          <w:numId w:val="1"/>
        </w:numPr>
        <w:spacing w:lineRule="exact" w:line="290" w:before="0" w:after="120"/>
        <w:rPr/>
      </w:pPr>
      <w:r>
        <w:rPr>
          <w:rFonts w:eastAsia="Calibri" w:cs="Calibri" w:ascii="Calibri" w:hAnsi="Calibri"/>
          <w:sz w:val="22"/>
          <w:szCs w:val="22"/>
        </w:rPr>
        <w:t>Reach a stable v1 API within roughly two release cycles of BC, so early adopters aren't punished for adopting early.</w:t>
      </w:r>
    </w:p>
    <w:p>
      <w:pPr>
        <w:pStyle w:val="Heading3"/>
        <w:spacing w:before="260" w:after="120"/>
        <w:rPr/>
      </w:pPr>
      <w:r>
        <w:rPr>
          <w:rFonts w:eastAsia="Calibri" w:cs="Calibri" w:ascii="Calibri" w:hAnsi="Calibri"/>
          <w:b/>
          <w:bCs/>
          <w:color w:val="333333"/>
          <w:sz w:val="23"/>
          <w:szCs w:val="23"/>
        </w:rPr>
        <w:t>Non-Goals</w:t>
      </w:r>
    </w:p>
    <w:p>
      <w:pPr>
        <w:pStyle w:val="ListParagraph"/>
        <w:numPr>
          <w:ilvl w:val="0"/>
          <w:numId w:val="1"/>
        </w:numPr>
        <w:spacing w:lineRule="exact" w:line="290" w:before="0" w:after="120"/>
        <w:rPr/>
      </w:pPr>
      <w:r>
        <w:rPr>
          <w:rFonts w:eastAsia="Calibri" w:cs="Calibri" w:ascii="Calibri" w:hAnsi="Calibri"/>
          <w:sz w:val="22"/>
          <w:szCs w:val="22"/>
        </w:rPr>
        <w:t>Not an orchestration framework. No agent loops, no planning, no multi-step reasoning graphs in v1. That is explicitly deferred (Section 9) and may never be core scope.</w:t>
      </w:r>
    </w:p>
    <w:p>
      <w:pPr>
        <w:pStyle w:val="ListParagraph"/>
        <w:numPr>
          <w:ilvl w:val="0"/>
          <w:numId w:val="1"/>
        </w:numPr>
        <w:spacing w:lineRule="exact" w:line="290" w:before="0" w:after="120"/>
        <w:rPr/>
      </w:pPr>
      <w:r>
        <w:rPr>
          <w:rFonts w:eastAsia="Calibri" w:cs="Calibri" w:ascii="Calibri" w:hAnsi="Calibri"/>
          <w:sz w:val="22"/>
          <w:szCs w:val="22"/>
        </w:rPr>
        <w:t>Not a prompt-engineering product. No prompt marketplace, no prompt versioning UI.</w:t>
      </w:r>
    </w:p>
    <w:p>
      <w:pPr>
        <w:pStyle w:val="ListParagraph"/>
        <w:numPr>
          <w:ilvl w:val="0"/>
          <w:numId w:val="1"/>
        </w:numPr>
        <w:spacing w:lineRule="exact" w:line="290" w:before="0" w:after="120"/>
        <w:rPr/>
      </w:pPr>
      <w:r>
        <w:rPr>
          <w:rFonts w:eastAsia="Calibri" w:cs="Calibri" w:ascii="Calibri" w:hAnsi="Calibri"/>
          <w:sz w:val="22"/>
          <w:szCs w:val="22"/>
        </w:rPr>
        <w:t>Not a replacement for System.AI where System.AI is already the right tool. This toolkit targets everything System.AI doesn't reach: third-party providers, custom extensions, partner-built AI features outside the Copilot umbrella.</w:t>
      </w:r>
    </w:p>
    <w:p>
      <w:pPr>
        <w:pStyle w:val="ListParagraph"/>
        <w:numPr>
          <w:ilvl w:val="0"/>
          <w:numId w:val="1"/>
        </w:numPr>
        <w:spacing w:lineRule="exact" w:line="290" w:before="0" w:after="120"/>
        <w:rPr/>
      </w:pPr>
      <w:r>
        <w:rPr>
          <w:rFonts w:eastAsia="Calibri" w:cs="Calibri" w:ascii="Calibri" w:hAnsi="Calibri"/>
          <w:sz w:val="22"/>
          <w:szCs w:val="22"/>
        </w:rPr>
        <w:t>Not going to guarantee behavioral parity across providers. Flattening GPT's function-calling, Claude's tool_use blocks, and Gemini's function declarations into one shape would either lose capability or produce leaky abstractions. The toolkit normalizes what can be normalized honestly and documents where it can't (ADR-003).</w:t>
      </w:r>
    </w:p>
    <w:p>
      <w:pPr>
        <w:pStyle w:val="Heading2"/>
        <w:spacing w:before="360" w:after="160"/>
        <w:rPr/>
      </w:pPr>
      <w:r>
        <w:rPr>
          <w:rFonts w:eastAsia="Calibri" w:cs="Calibri" w:ascii="Calibri" w:hAnsi="Calibri"/>
          <w:b/>
          <w:bCs/>
          <w:color w:val="2E5395"/>
          <w:sz w:val="26"/>
          <w:szCs w:val="26"/>
        </w:rPr>
        <w:t>4. Target Users</w:t>
      </w:r>
    </w:p>
    <w:p>
      <w:pPr>
        <w:pStyle w:val="ListParagraph"/>
        <w:numPr>
          <w:ilvl w:val="0"/>
          <w:numId w:val="1"/>
        </w:numPr>
        <w:spacing w:lineRule="exact" w:line="290" w:before="0" w:after="120"/>
        <w:rPr/>
      </w:pPr>
      <w:r>
        <w:rPr>
          <w:rFonts w:eastAsia="Calibri" w:cs="Calibri" w:ascii="Calibri" w:hAnsi="Calibri"/>
          <w:b/>
          <w:bCs/>
          <w:sz w:val="22"/>
          <w:szCs w:val="22"/>
        </w:rPr>
        <w:t xml:space="preserve">BC partner developers: </w:t>
      </w:r>
      <w:r>
        <w:rPr>
          <w:rFonts w:eastAsia="Calibri" w:cs="Calibri" w:ascii="Calibri" w:hAnsi="Calibri"/>
          <w:sz w:val="22"/>
          <w:szCs w:val="22"/>
        </w:rPr>
        <w:t>building bespoke AI features for a client (a chatbot over sales data, an email drafting assistant, a document classifier) who don't want to become LLM integration specialists to do it.</w:t>
      </w:r>
    </w:p>
    <w:p>
      <w:pPr>
        <w:pStyle w:val="ListParagraph"/>
        <w:numPr>
          <w:ilvl w:val="0"/>
          <w:numId w:val="1"/>
        </w:numPr>
        <w:spacing w:lineRule="exact" w:line="290" w:before="0" w:after="120"/>
        <w:rPr/>
      </w:pPr>
      <w:r>
        <w:rPr>
          <w:rFonts w:eastAsia="Calibri" w:cs="Calibri" w:ascii="Calibri" w:hAnsi="Calibri"/>
          <w:b/>
          <w:bCs/>
          <w:sz w:val="22"/>
          <w:szCs w:val="22"/>
        </w:rPr>
        <w:t xml:space="preserve">ISVs: </w:t>
      </w:r>
      <w:r>
        <w:rPr>
          <w:rFonts w:eastAsia="Calibri" w:cs="Calibri" w:ascii="Calibri" w:hAnsi="Calibri"/>
          <w:sz w:val="22"/>
          <w:szCs w:val="22"/>
        </w:rPr>
        <w:t>building an AI-powered app-source app who need production-grade reliability (retries, telemetry, cost tracking) and provider flexibility, since a client's procurement rules may dictate Azure OpenAI vs. plain OpenAI vs. an on-prem Ollama box.</w:t>
      </w:r>
    </w:p>
    <w:p>
      <w:pPr>
        <w:pStyle w:val="ListParagraph"/>
        <w:numPr>
          <w:ilvl w:val="0"/>
          <w:numId w:val="1"/>
        </w:numPr>
        <w:spacing w:lineRule="exact" w:line="290" w:before="0" w:after="120"/>
        <w:rPr/>
      </w:pPr>
      <w:r>
        <w:rPr>
          <w:rFonts w:eastAsia="Calibri" w:cs="Calibri" w:ascii="Calibri" w:hAnsi="Calibri"/>
          <w:b/>
          <w:bCs/>
          <w:sz w:val="22"/>
          <w:szCs w:val="22"/>
        </w:rPr>
        <w:t xml:space="preserve">Open-source AL contributors: </w:t>
      </w:r>
      <w:r>
        <w:rPr>
          <w:rFonts w:eastAsia="Calibri" w:cs="Calibri" w:ascii="Calibri" w:hAnsi="Calibri"/>
          <w:sz w:val="22"/>
          <w:szCs w:val="22"/>
        </w:rPr>
        <w:t>who want a foundation to build higher-level tools on — an eval framework, an agent framework, domain-specific AI codeunits — without each one reinventing the provider layer.</w:t>
      </w:r>
    </w:p>
    <w:p>
      <w:pPr>
        <w:pStyle w:val="Normal"/>
        <w:spacing w:lineRule="exact" w:line="300" w:before="0" w:after="200"/>
        <w:rPr/>
      </w:pPr>
      <w:r>
        <w:rPr>
          <w:rFonts w:eastAsia="Calibri" w:cs="Calibri" w:ascii="Calibri" w:hAnsi="Calibri"/>
          <w:sz w:val="22"/>
          <w:szCs w:val="22"/>
        </w:rPr>
        <w:t>A secondary, non-target audience worth naming explicitly: Microsoft itself is not a customer of this project, and the project should not be designed as a pitch to be acquired or absorbed into System.AI. That's a trap worth naming early — see ADR-001.</w:t>
      </w:r>
    </w:p>
    <w:p>
      <w:pPr>
        <w:pStyle w:val="Heading2"/>
        <w:spacing w:before="360" w:after="160"/>
        <w:rPr/>
      </w:pPr>
      <w:r>
        <w:rPr>
          <w:rFonts w:eastAsia="Calibri" w:cs="Calibri" w:ascii="Calibri" w:hAnsi="Calibri"/>
          <w:b/>
          <w:bCs/>
          <w:color w:val="2E5395"/>
          <w:sz w:val="26"/>
          <w:szCs w:val="26"/>
        </w:rPr>
        <w:t>5. Success Metrics</w:t>
      </w:r>
    </w:p>
    <w:p>
      <w:pPr>
        <w:pStyle w:val="Normal"/>
        <w:spacing w:lineRule="exact" w:line="300" w:before="0" w:after="200"/>
        <w:rPr/>
      </w:pPr>
      <w:r>
        <w:rPr>
          <w:rFonts w:eastAsia="Calibri" w:cs="Calibri" w:ascii="Calibri" w:hAnsi="Calibri"/>
          <w:sz w:val="22"/>
          <w:szCs w:val="22"/>
        </w:rPr>
        <w:t>Given this is open-source infrastructure, not a monetized product, standard growth metrics need adaptation:</w:t>
      </w:r>
    </w:p>
    <w:tbl>
      <w:tblPr>
        <w:tblW w:w="9350" w:type="dxa"/>
        <w:jc w:val="left"/>
        <w:tblInd w:w="0" w:type="dxa"/>
        <w:tblLayout w:type="fixed"/>
        <w:tblCellMar>
          <w:top w:w="100" w:type="dxa"/>
          <w:left w:w="120" w:type="dxa"/>
          <w:bottom w:w="100" w:type="dxa"/>
          <w:right w:w="120" w:type="dxa"/>
        </w:tblCellMar>
      </w:tblPr>
      <w:tblGrid>
        <w:gridCol w:w="4600"/>
        <w:gridCol w:w="4749"/>
      </w:tblGrid>
      <w:tr>
        <w:trPr>
          <w:tblHeader w:val="true"/>
        </w:trPr>
        <w:tc>
          <w:tcPr>
            <w:tcW w:w="46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Metric</w:t>
            </w:r>
          </w:p>
        </w:tc>
        <w:tc>
          <w:tcPr>
            <w:tcW w:w="474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What it actually tells you</w:t>
            </w:r>
          </w:p>
        </w:tc>
      </w:tr>
      <w:tr>
        <w:trPr/>
        <w:tc>
          <w:tcPr>
            <w:tcW w:w="46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GitHub stars</w:t>
            </w:r>
          </w:p>
        </w:tc>
        <w:tc>
          <w:tcPr>
            <w:tcW w:w="474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Weak signal — vanity metric, easily gamed, lagging indicator at best</w:t>
            </w:r>
          </w:p>
        </w:tc>
      </w:tr>
      <w:tr>
        <w:trPr/>
        <w:tc>
          <w:tcPr>
            <w:tcW w:w="46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Extensions declaring a dependency on the toolkit</w:t>
            </w:r>
          </w:p>
        </w:tc>
        <w:tc>
          <w:tcPr>
            <w:tcW w:w="474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Strong signal — real usage, hard to fake</w:t>
            </w:r>
          </w:p>
        </w:tc>
      </w:tr>
      <w:tr>
        <w:trPr/>
        <w:tc>
          <w:tcPr>
            <w:tcW w:w="46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Issues opened by non-maintainers</w:t>
            </w:r>
          </w:p>
        </w:tc>
        <w:tc>
          <w:tcPr>
            <w:tcW w:w="474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Signal of real adoption and real pain; healthy in moderate volume</w:t>
            </w:r>
          </w:p>
        </w:tc>
      </w:tr>
      <w:tr>
        <w:trPr/>
        <w:tc>
          <w:tcPr>
            <w:tcW w:w="46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External PRs merged</w:t>
            </w:r>
          </w:p>
        </w:tc>
        <w:tc>
          <w:tcPr>
            <w:tcW w:w="474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Signal of community ownership, not just consumption</w:t>
            </w:r>
          </w:p>
        </w:tc>
      </w:tr>
      <w:tr>
        <w:trPr/>
        <w:tc>
          <w:tcPr>
            <w:tcW w:w="46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Time from new BC AI platform feature → toolkit support</w:t>
            </w:r>
          </w:p>
        </w:tc>
        <w:tc>
          <w:tcPr>
            <w:tcW w:w="474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Signal of whether the project stays relevant or calcifies</w:t>
            </w:r>
          </w:p>
        </w:tc>
      </w:tr>
      <w:tr>
        <w:trPr/>
        <w:tc>
          <w:tcPr>
            <w:tcW w:w="46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Adoption by a BC partner with 5+ developers</w:t>
            </w:r>
          </w:p>
        </w:tc>
        <w:tc>
          <w:tcPr>
            <w:tcW w:w="474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Signal it survives real organizational use, not just hobby projects</w:t>
            </w:r>
          </w:p>
        </w:tc>
      </w:tr>
    </w:tbl>
    <w:p>
      <w:pPr>
        <w:pStyle w:val="Normal"/>
        <w:spacing w:before="0" w:after="160"/>
        <w:rPr/>
      </w:pPr>
      <w:r>
        <w:rPr/>
      </w:r>
    </w:p>
    <w:p>
      <w:pPr>
        <w:pStyle w:val="Normal"/>
        <w:spacing w:lineRule="exact" w:line="300" w:before="0" w:after="200"/>
        <w:rPr/>
      </w:pPr>
      <w:r>
        <w:rPr>
          <w:rFonts w:eastAsia="Calibri" w:cs="Calibri" w:ascii="Calibri" w:hAnsi="Calibri"/>
          <w:sz w:val="22"/>
          <w:szCs w:val="22"/>
        </w:rPr>
        <w:t>Star count is listed first because it will be the most visible number and the most tempting to optimize for; it should be weighted last in any actual go/no-go decision about project health.</w:t>
      </w:r>
    </w:p>
    <w:p>
      <w:pPr>
        <w:pStyle w:val="Heading2"/>
        <w:spacing w:before="360" w:after="160"/>
        <w:rPr/>
      </w:pPr>
      <w:r>
        <w:rPr>
          <w:rFonts w:eastAsia="Calibri" w:cs="Calibri" w:ascii="Calibri" w:hAnsi="Calibri"/>
          <w:b/>
          <w:bCs/>
          <w:color w:val="2E5395"/>
          <w:sz w:val="26"/>
          <w:szCs w:val="26"/>
        </w:rPr>
        <w:t>6. Constraints</w:t>
      </w:r>
    </w:p>
    <w:p>
      <w:pPr>
        <w:pStyle w:val="ListParagraph"/>
        <w:numPr>
          <w:ilvl w:val="0"/>
          <w:numId w:val="1"/>
        </w:numPr>
        <w:spacing w:lineRule="exact" w:line="290" w:before="0" w:after="120"/>
        <w:rPr/>
      </w:pPr>
      <w:r>
        <w:rPr>
          <w:rFonts w:eastAsia="Calibri" w:cs="Calibri" w:ascii="Calibri" w:hAnsi="Calibri"/>
          <w:b/>
          <w:bCs/>
          <w:sz w:val="22"/>
          <w:szCs w:val="22"/>
        </w:rPr>
        <w:t xml:space="preserve">AL language limitations: </w:t>
      </w:r>
      <w:r>
        <w:rPr>
          <w:rFonts w:eastAsia="Calibri" w:cs="Calibri" w:ascii="Calibri" w:hAnsi="Calibri"/>
          <w:sz w:val="22"/>
          <w:szCs w:val="22"/>
        </w:rPr>
        <w:t>no generics, no first-class function references (interfaces are the closest analog), limited reflection, no async/await. Every API decision has to be checked against what AL can actually express cleanly, not what would be idiomatic in TypeScript or C#.</w:t>
      </w:r>
    </w:p>
    <w:p>
      <w:pPr>
        <w:pStyle w:val="ListParagraph"/>
        <w:numPr>
          <w:ilvl w:val="0"/>
          <w:numId w:val="1"/>
        </w:numPr>
        <w:spacing w:lineRule="exact" w:line="290" w:before="0" w:after="120"/>
        <w:rPr/>
      </w:pPr>
      <w:r>
        <w:rPr>
          <w:rFonts w:eastAsia="Calibri" w:cs="Calibri" w:ascii="Calibri" w:hAnsi="Calibri"/>
          <w:b/>
          <w:bCs/>
          <w:sz w:val="22"/>
          <w:szCs w:val="22"/>
        </w:rPr>
        <w:t xml:space="preserve">AppSource constraints: </w:t>
      </w:r>
      <w:r>
        <w:rPr>
          <w:rFonts w:eastAsia="Calibri" w:cs="Calibri" w:ascii="Calibri" w:hAnsi="Calibri"/>
          <w:sz w:val="22"/>
          <w:szCs w:val="22"/>
        </w:rPr>
        <w:t>if usable by ISVs shipping to AppSource, it must pass Microsoft's technical validation — no unsupported APIs, careful handling of per-tenant configuration.</w:t>
      </w:r>
    </w:p>
    <w:p>
      <w:pPr>
        <w:pStyle w:val="ListParagraph"/>
        <w:numPr>
          <w:ilvl w:val="0"/>
          <w:numId w:val="1"/>
        </w:numPr>
        <w:spacing w:lineRule="exact" w:line="290" w:before="0" w:after="120"/>
        <w:rPr/>
      </w:pPr>
      <w:r>
        <w:rPr>
          <w:rFonts w:eastAsia="Calibri" w:cs="Calibri" w:ascii="Calibri" w:hAnsi="Calibri"/>
          <w:b/>
          <w:bCs/>
          <w:sz w:val="22"/>
          <w:szCs w:val="22"/>
        </w:rPr>
        <w:t xml:space="preserve">On-premises deployments still exist: </w:t>
      </w:r>
      <w:r>
        <w:rPr>
          <w:rFonts w:eastAsia="Calibri" w:cs="Calibri" w:ascii="Calibri" w:hAnsi="Calibri"/>
          <w:sz w:val="22"/>
          <w:szCs w:val="22"/>
        </w:rPr>
        <w:t>BC on-prem is a shrinking but real segment. HTTP outbound calls, secret storage, and configuration patterns need to work without assuming SaaS-only capabilities.</w:t>
      </w:r>
    </w:p>
    <w:p>
      <w:pPr>
        <w:pStyle w:val="ListParagraph"/>
        <w:numPr>
          <w:ilvl w:val="0"/>
          <w:numId w:val="1"/>
        </w:numPr>
        <w:spacing w:lineRule="exact" w:line="290" w:before="0" w:after="120"/>
        <w:rPr/>
      </w:pPr>
      <w:r>
        <w:rPr>
          <w:rFonts w:eastAsia="Calibri" w:cs="Calibri" w:ascii="Calibri" w:hAnsi="Calibri"/>
          <w:b/>
          <w:bCs/>
          <w:sz w:val="22"/>
          <w:szCs w:val="22"/>
        </w:rPr>
        <w:t xml:space="preserve">No control over provider API stability: </w:t>
      </w:r>
      <w:r>
        <w:rPr>
          <w:rFonts w:eastAsia="Calibri" w:cs="Calibri" w:ascii="Calibri" w:hAnsi="Calibri"/>
          <w:sz w:val="22"/>
          <w:szCs w:val="22"/>
        </w:rPr>
        <w:t>OpenAI, Anthropic, and Google all ship breaking and non-breaking changes on their own schedules. Maintenance burden scales with provider count — a real, recurring cost, not a one-time integration cost (Section 9, ADR-004).</w:t>
      </w:r>
    </w:p>
    <w:p>
      <w:pPr>
        <w:pStyle w:val="Heading2"/>
        <w:spacing w:before="360" w:after="160"/>
        <w:rPr/>
      </w:pPr>
      <w:r>
        <w:rPr>
          <w:rFonts w:eastAsia="Calibri" w:cs="Calibri" w:ascii="Calibri" w:hAnsi="Calibri"/>
          <w:b/>
          <w:bCs/>
          <w:color w:val="2E5395"/>
          <w:sz w:val="26"/>
          <w:szCs w:val="26"/>
        </w:rPr>
        <w:t>7. Comparison with Existing Solutions</w:t>
      </w:r>
    </w:p>
    <w:p>
      <w:pPr>
        <w:pStyle w:val="Normal"/>
        <w:spacing w:lineRule="exact" w:line="300" w:before="0" w:after="200"/>
        <w:rPr/>
      </w:pPr>
      <w:r>
        <w:rPr>
          <w:rFonts w:eastAsia="Calibri" w:cs="Calibri" w:ascii="Calibri" w:hAnsi="Calibri"/>
          <w:sz w:val="22"/>
          <w:szCs w:val="22"/>
        </w:rPr>
        <w:t>This section sharpens the comparison from the original project brief with more explicit framing on why each alternative doesn't close the gap, and where the honest overlap is.</w:t>
      </w:r>
    </w:p>
    <w:p>
      <w:pPr>
        <w:pStyle w:val="Heading3"/>
        <w:spacing w:before="260" w:after="120"/>
        <w:rPr/>
      </w:pPr>
      <w:r>
        <w:rPr>
          <w:rFonts w:eastAsia="Calibri" w:cs="Calibri" w:ascii="Calibri" w:hAnsi="Calibri"/>
          <w:b/>
          <w:bCs/>
          <w:color w:val="333333"/>
          <w:sz w:val="23"/>
          <w:szCs w:val="23"/>
        </w:rPr>
        <w:t>Microsoft System.AI</w:t>
      </w:r>
    </w:p>
    <w:p>
      <w:pPr>
        <w:pStyle w:val="Normal"/>
        <w:spacing w:lineRule="exact" w:line="300" w:before="0" w:after="200"/>
        <w:rPr/>
      </w:pPr>
      <w:r>
        <w:rPr>
          <w:rFonts w:eastAsia="Calibri" w:cs="Calibri" w:ascii="Calibri" w:hAnsi="Calibri"/>
          <w:sz w:val="22"/>
          <w:szCs w:val="22"/>
        </w:rPr>
        <w:t>The closest thing to a competitor, and the one most worth being honest about. System.AI already provides Azure OpenAI codeunits, chat completion, embeddings, and content moderation, wired into Microsoft's responsible-AI tooling and Microsoft-managed capacity. For a developer building a first-party Copilot-branded feature, using System.AI over this toolkit is very likely the correct choice — better support, tighter integration, no extra dependency.</w:t>
      </w:r>
    </w:p>
    <w:p>
      <w:pPr>
        <w:pStyle w:val="Normal"/>
        <w:spacing w:lineRule="exact" w:line="300" w:before="0" w:after="200"/>
        <w:rPr/>
      </w:pPr>
      <w:r>
        <w:rPr>
          <w:rFonts w:eastAsia="Calibri" w:cs="Calibri" w:ascii="Calibri" w:hAnsi="Calibri"/>
          <w:sz w:val="22"/>
          <w:szCs w:val="22"/>
        </w:rPr>
        <w:t>Where it doesn't reach: it's structurally tied to Azure OpenAI as the backing provider, it doesn't offer a mock provider abstraction suited for arbitrary third-party endpoints, and it isn't designed as a general SDK for developers who need Anthropic, Gemini, or a self-hosted model for reasons of cost, data residency, or client mandate. The honest positioning: this toolkit is the layer developers reach for when System.AI's provider story doesn't fit their constraint, not a universal replacement.</w:t>
      </w:r>
    </w:p>
    <w:p>
      <w:pPr>
        <w:pStyle w:val="Heading3"/>
        <w:spacing w:before="260" w:after="120"/>
        <w:rPr/>
      </w:pPr>
      <w:r>
        <w:rPr>
          <w:rFonts w:eastAsia="Calibri" w:cs="Calibri" w:ascii="Calibri" w:hAnsi="Calibri"/>
          <w:b/>
          <w:bCs/>
          <w:color w:val="333333"/>
          <w:sz w:val="23"/>
          <w:szCs w:val="23"/>
        </w:rPr>
        <w:t>LangChain / Vercel AI SDK</w:t>
      </w:r>
    </w:p>
    <w:p>
      <w:pPr>
        <w:pStyle w:val="Normal"/>
        <w:spacing w:lineRule="exact" w:line="300" w:before="0" w:after="200"/>
        <w:rPr/>
      </w:pPr>
      <w:r>
        <w:rPr>
          <w:rFonts w:eastAsia="Calibri" w:cs="Calibri" w:ascii="Calibri" w:hAnsi="Calibri"/>
          <w:sz w:val="22"/>
          <w:szCs w:val="22"/>
        </w:rPr>
        <w:t>Worth being clear these are inspirations, not targets for feature parity. LangChain has drawn substantial criticism in its own ecosystem for over-abstracting simple HTTP calls into a heavy chain-and-agent object model that many teams eventually strip back out in favor of calling provider SDKs directly. That's a cautionary tale, not just a success story. AL AI Toolkit should learn from LangChain's reach, not copy its complexity. The Vercel AI SDK is the better model to emulate: thin, composable primitives rather than a framework you build your whole app inside of.</w:t>
      </w:r>
    </w:p>
    <w:p>
      <w:pPr>
        <w:pStyle w:val="Heading3"/>
        <w:spacing w:before="260" w:after="120"/>
        <w:rPr/>
      </w:pPr>
      <w:r>
        <w:rPr>
          <w:rFonts w:eastAsia="Calibri" w:cs="Calibri" w:ascii="Calibri" w:hAnsi="Calibri"/>
          <w:b/>
          <w:bCs/>
          <w:color w:val="333333"/>
          <w:sz w:val="23"/>
          <w:szCs w:val="23"/>
        </w:rPr>
        <w:t>Semantic Kernel</w:t>
      </w:r>
    </w:p>
    <w:p>
      <w:pPr>
        <w:pStyle w:val="Normal"/>
        <w:spacing w:lineRule="exact" w:line="300" w:before="0" w:after="200"/>
        <w:rPr/>
      </w:pPr>
      <w:r>
        <w:rPr>
          <w:rFonts w:eastAsia="Calibri" w:cs="Calibri" w:ascii="Calibri" w:hAnsi="Calibri"/>
          <w:sz w:val="22"/>
          <w:szCs w:val="22"/>
        </w:rPr>
        <w:t>.NET-native, and BC's AL runtime is not standard .NET — it compiles to a sandboxed intermediate representation with a restricted API surface. There is no realistic path to depending on Semantic Kernel directly from AL. It remains a useful reference for API shape but not a dependency candidate.</w:t>
      </w:r>
    </w:p>
    <w:p>
      <w:pPr>
        <w:pStyle w:val="Heading3"/>
        <w:spacing w:before="260" w:after="120"/>
        <w:rPr/>
      </w:pPr>
      <w:r>
        <w:rPr>
          <w:rFonts w:eastAsia="Calibri" w:cs="Calibri" w:ascii="Calibri" w:hAnsi="Calibri"/>
          <w:b/>
          <w:bCs/>
          <w:color w:val="333333"/>
          <w:sz w:val="23"/>
          <w:szCs w:val="23"/>
        </w:rPr>
        <w:t>Rolling your own (the actual status quo)</w:t>
      </w:r>
    </w:p>
    <w:p>
      <w:pPr>
        <w:pStyle w:val="Normal"/>
        <w:spacing w:lineRule="exact" w:line="300" w:before="0" w:after="200"/>
        <w:rPr/>
      </w:pPr>
      <w:r>
        <w:rPr>
          <w:rFonts w:eastAsia="Calibri" w:cs="Calibri" w:ascii="Calibri" w:hAnsi="Calibri"/>
          <w:sz w:val="22"/>
          <w:szCs w:val="22"/>
        </w:rPr>
        <w:t>The real competitor isn't another library — it's every partner's internal, undocumented, single-project HTTP wrapper around whichever provider they used first. This matters strategically: the toolkit isn't displacing a well-built alternative, it's displacing an absence of one. That's a favorable position for adoption, but it also means the bar to clear is “meaningfully better than a 200-line internal codeunit,” not “meaningfully better than a mature competing framework.” Overbuilding for competitive parity with LangChain would be solving the wrong problem.</w:t>
      </w:r>
    </w:p>
    <w:p>
      <w:pPr>
        <w:pStyle w:val="Heading2"/>
        <w:spacing w:before="360" w:after="160"/>
        <w:rPr/>
      </w:pPr>
      <w:r>
        <w:rPr>
          <w:rFonts w:eastAsia="Calibri" w:cs="Calibri" w:ascii="Calibri" w:hAnsi="Calibri"/>
          <w:b/>
          <w:bCs/>
          <w:color w:val="2E5395"/>
          <w:sz w:val="26"/>
          <w:szCs w:val="26"/>
        </w:rPr>
        <w:t>8. Enterprise Considerations</w:t>
      </w:r>
    </w:p>
    <w:p>
      <w:pPr>
        <w:pStyle w:val="Normal"/>
        <w:spacing w:lineRule="exact" w:line="300" w:before="0" w:after="200"/>
        <w:rPr/>
      </w:pPr>
      <w:r>
        <w:rPr>
          <w:rFonts w:eastAsia="Calibri" w:cs="Calibri" w:ascii="Calibri" w:hAnsi="Calibri"/>
          <w:sz w:val="22"/>
          <w:szCs w:val="22"/>
        </w:rPr>
        <w:t>These are frequently treated as v2 concerns in early-stage OSS projects and then become painful retrofits. Worth taking seriously from v1:</w:t>
      </w:r>
    </w:p>
    <w:p>
      <w:pPr>
        <w:pStyle w:val="ListParagraph"/>
        <w:numPr>
          <w:ilvl w:val="0"/>
          <w:numId w:val="1"/>
        </w:numPr>
        <w:spacing w:lineRule="exact" w:line="290" w:before="0" w:after="120"/>
        <w:rPr/>
      </w:pPr>
      <w:r>
        <w:rPr>
          <w:rFonts w:eastAsia="Calibri" w:cs="Calibri" w:ascii="Calibri" w:hAnsi="Calibri"/>
          <w:b/>
          <w:bCs/>
          <w:sz w:val="22"/>
          <w:szCs w:val="22"/>
        </w:rPr>
        <w:t xml:space="preserve">Secret management: </w:t>
      </w:r>
      <w:r>
        <w:rPr>
          <w:rFonts w:eastAsia="Calibri" w:cs="Calibri" w:ascii="Calibri" w:hAnsi="Calibri"/>
          <w:sz w:val="22"/>
          <w:szCs w:val="22"/>
        </w:rPr>
        <w:t>Isolated Storage per-company/environment, plus a clear story for Azure Key Vault integration for ISVs needing centralized secret rotation. API keys must never be logged — enforced structurally (e.g. a SecretText-typed wrapper), not left to developer discipline.</w:t>
      </w:r>
    </w:p>
    <w:p>
      <w:pPr>
        <w:pStyle w:val="ListParagraph"/>
        <w:numPr>
          <w:ilvl w:val="0"/>
          <w:numId w:val="1"/>
        </w:numPr>
        <w:spacing w:lineRule="exact" w:line="290" w:before="0" w:after="120"/>
        <w:rPr/>
      </w:pPr>
      <w:r>
        <w:rPr>
          <w:rFonts w:eastAsia="Calibri" w:cs="Calibri" w:ascii="Calibri" w:hAnsi="Calibri"/>
          <w:b/>
          <w:bCs/>
          <w:sz w:val="22"/>
          <w:szCs w:val="22"/>
        </w:rPr>
        <w:t xml:space="preserve">Multi-tenant cost attribution: </w:t>
      </w:r>
      <w:r>
        <w:rPr>
          <w:rFonts w:eastAsia="Calibri" w:cs="Calibri" w:ascii="Calibri" w:hAnsi="Calibri"/>
          <w:sz w:val="22"/>
          <w:szCs w:val="22"/>
        </w:rPr>
        <w:t>a partner running the same extension across 50 client tenants needs to know which tenant's usage drove which cost. This is a telemetry design requirement (ADR-005), not an afterthought.</w:t>
      </w:r>
    </w:p>
    <w:p>
      <w:pPr>
        <w:pStyle w:val="ListParagraph"/>
        <w:numPr>
          <w:ilvl w:val="0"/>
          <w:numId w:val="1"/>
        </w:numPr>
        <w:spacing w:lineRule="exact" w:line="290" w:before="0" w:after="120"/>
        <w:rPr/>
      </w:pPr>
      <w:r>
        <w:rPr>
          <w:rFonts w:eastAsia="Calibri" w:cs="Calibri" w:ascii="Calibri" w:hAnsi="Calibri"/>
          <w:b/>
          <w:bCs/>
          <w:sz w:val="22"/>
          <w:szCs w:val="22"/>
        </w:rPr>
        <w:t xml:space="preserve">Data residency and compliance: </w:t>
      </w:r>
      <w:r>
        <w:rPr>
          <w:rFonts w:eastAsia="Calibri" w:cs="Calibri" w:ascii="Calibri" w:hAnsi="Calibri"/>
          <w:sz w:val="22"/>
          <w:szCs w:val="22"/>
        </w:rPr>
        <w:t>which provider a call goes to has real legal weight (GDPR, data processing agreements). Provider selection should be an explicit, auditable configuration decision — a compliance reviewer should answer “which providers can this tenant's data reach” by reading configuration, not AL source.</w:t>
      </w:r>
    </w:p>
    <w:p>
      <w:pPr>
        <w:pStyle w:val="ListParagraph"/>
        <w:numPr>
          <w:ilvl w:val="0"/>
          <w:numId w:val="1"/>
        </w:numPr>
        <w:spacing w:lineRule="exact" w:line="290" w:before="0" w:after="120"/>
        <w:rPr/>
      </w:pPr>
      <w:r>
        <w:rPr>
          <w:rFonts w:eastAsia="Calibri" w:cs="Calibri" w:ascii="Calibri" w:hAnsi="Calibri"/>
          <w:b/>
          <w:bCs/>
          <w:sz w:val="22"/>
          <w:szCs w:val="22"/>
        </w:rPr>
        <w:t xml:space="preserve">Rate limiting and quota governance: </w:t>
      </w:r>
      <w:r>
        <w:rPr>
          <w:rFonts w:eastAsia="Calibri" w:cs="Calibri" w:ascii="Calibri" w:hAnsi="Calibri"/>
          <w:sz w:val="22"/>
          <w:szCs w:val="22"/>
        </w:rPr>
        <w:t>a runaway loop calling an LLM can generate unbounded cost in a way a bug calling an internal API typically can't. Circuit-breaker and hard-cap primitives (ADR-006) are a cost-safety feature, not a nice-to-have.</w:t>
      </w:r>
    </w:p>
    <w:p>
      <w:pPr>
        <w:pStyle w:val="ListParagraph"/>
        <w:numPr>
          <w:ilvl w:val="0"/>
          <w:numId w:val="1"/>
        </w:numPr>
        <w:spacing w:lineRule="exact" w:line="290" w:before="0" w:after="120"/>
        <w:rPr/>
      </w:pPr>
      <w:r>
        <w:rPr>
          <w:rFonts w:eastAsia="Calibri" w:cs="Calibri" w:ascii="Calibri" w:hAnsi="Calibri"/>
          <w:b/>
          <w:bCs/>
          <w:sz w:val="22"/>
          <w:szCs w:val="22"/>
        </w:rPr>
        <w:t xml:space="preserve">Auditability: </w:t>
      </w:r>
      <w:r>
        <w:rPr>
          <w:rFonts w:eastAsia="Calibri" w:cs="Calibri" w:ascii="Calibri" w:hAnsi="Calibri"/>
          <w:sz w:val="22"/>
          <w:szCs w:val="22"/>
        </w:rPr>
        <w:t>for regulated industries, reconstructing “what prompt was sent, what came back, when, to which provider” for a given transaction may be a compliance requirement, not just a debugging convenience.</w:t>
      </w:r>
    </w:p>
    <w:p>
      <w:pPr>
        <w:pStyle w:val="Heading2"/>
        <w:spacing w:before="360" w:after="160"/>
        <w:rPr/>
      </w:pPr>
      <w:r>
        <w:rPr>
          <w:rFonts w:eastAsia="Calibri" w:cs="Calibri" w:ascii="Calibri" w:hAnsi="Calibri"/>
          <w:b/>
          <w:bCs/>
          <w:color w:val="2E5395"/>
          <w:sz w:val="26"/>
          <w:szCs w:val="26"/>
        </w:rPr>
        <w:t>9. Roadmap</w:t>
      </w:r>
    </w:p>
    <w:p>
      <w:pPr>
        <w:pStyle w:val="Normal"/>
        <w:spacing w:lineRule="exact" w:line="300" w:before="0" w:after="200"/>
        <w:rPr/>
      </w:pPr>
      <w:r>
        <w:rPr>
          <w:rFonts w:eastAsia="Calibri" w:cs="Calibri" w:ascii="Calibri" w:hAnsi="Calibri"/>
          <w:sz w:val="22"/>
          <w:szCs w:val="22"/>
        </w:rPr>
        <w:t>Phased to keep each release genuinely shippable and independently useful, rather than one large “vision complete” release that never lands.</w:t>
      </w:r>
    </w:p>
    <w:p>
      <w:pPr>
        <w:pStyle w:val="Heading3"/>
        <w:spacing w:before="260" w:after="120"/>
        <w:rPr/>
      </w:pPr>
      <w:r>
        <w:rPr>
          <w:rFonts w:eastAsia="Calibri" w:cs="Calibri" w:ascii="Calibri" w:hAnsi="Calibri"/>
          <w:b/>
          <w:bCs/>
          <w:color w:val="333333"/>
          <w:sz w:val="23"/>
          <w:szCs w:val="23"/>
        </w:rPr>
        <w:t>v0.1 — Foundation (single provider, prove the shape)</w:t>
      </w:r>
    </w:p>
    <w:p>
      <w:pPr>
        <w:pStyle w:val="Normal"/>
        <w:spacing w:lineRule="exact" w:line="300" w:before="0" w:after="200"/>
        <w:rPr/>
      </w:pPr>
      <w:r>
        <w:rPr>
          <w:rFonts w:eastAsia="Calibri" w:cs="Calibri" w:ascii="Calibri" w:hAnsi="Calibri"/>
          <w:sz w:val="22"/>
          <w:szCs w:val="22"/>
        </w:rPr>
        <w:t>Provider abstraction interface, one working implementation (Azure OpenAI, most likely already provisioned in a BC tenant), request/response models, secret handling, basic structured output for simple JSON schemas, mock provider, minimal telemetry emission.</w:t>
      </w:r>
    </w:p>
    <w:p>
      <w:pPr>
        <w:pStyle w:val="Heading3"/>
        <w:spacing w:before="260" w:after="120"/>
        <w:rPr/>
      </w:pPr>
      <w:r>
        <w:rPr>
          <w:rFonts w:eastAsia="Calibri" w:cs="Calibri" w:ascii="Calibri" w:hAnsi="Calibri"/>
          <w:b/>
          <w:bCs/>
          <w:color w:val="333333"/>
          <w:sz w:val="23"/>
          <w:szCs w:val="23"/>
        </w:rPr>
        <w:t>v0.2 — Second provider, prove the abstraction</w:t>
      </w:r>
    </w:p>
    <w:p>
      <w:pPr>
        <w:pStyle w:val="Normal"/>
        <w:spacing w:lineRule="exact" w:line="300" w:before="0" w:after="200"/>
        <w:rPr/>
      </w:pPr>
      <w:r>
        <w:rPr>
          <w:rFonts w:eastAsia="Calibri" w:cs="Calibri" w:ascii="Calibri" w:hAnsi="Calibri"/>
          <w:sz w:val="22"/>
          <w:szCs w:val="22"/>
        </w:rPr>
        <w:t>Add OpenAI direct and Anthropic. This release actually tests whether the abstraction holds — a single-provider abstraction isn't yet an abstraction, it's an interface with one implementation. Expect the interface to change here; that's the point of doing it this early rather than after v1.</w:t>
      </w:r>
    </w:p>
    <w:p>
      <w:pPr>
        <w:pStyle w:val="Heading3"/>
        <w:spacing w:before="260" w:after="120"/>
        <w:rPr/>
      </w:pPr>
      <w:r>
        <w:rPr>
          <w:rFonts w:eastAsia="Calibri" w:cs="Calibri" w:ascii="Calibri" w:hAnsi="Calibri"/>
          <w:b/>
          <w:bCs/>
          <w:color w:val="333333"/>
          <w:sz w:val="23"/>
          <w:szCs w:val="23"/>
        </w:rPr>
        <w:t>v0.3 — Reliability</w:t>
      </w:r>
    </w:p>
    <w:p>
      <w:pPr>
        <w:pStyle w:val="Normal"/>
        <w:spacing w:lineRule="exact" w:line="300" w:before="0" w:after="200"/>
        <w:rPr/>
      </w:pPr>
      <w:r>
        <w:rPr>
          <w:rFonts w:eastAsia="Calibri" w:cs="Calibri" w:ascii="Calibri" w:hAnsi="Calibri"/>
          <w:sz w:val="22"/>
          <w:szCs w:val="22"/>
        </w:rPr>
        <w:t>Retry policies with configurable backoff, timeout handling, circuit breaker for cost safety, structured error taxonomy (auth failure vs. rate limit vs. provider outage vs. malformed response as distinguishable types, not one generic error).</w:t>
      </w:r>
    </w:p>
    <w:p>
      <w:pPr>
        <w:pStyle w:val="Heading3"/>
        <w:spacing w:before="260" w:after="120"/>
        <w:rPr/>
      </w:pPr>
      <w:r>
        <w:rPr>
          <w:rFonts w:eastAsia="Calibri" w:cs="Calibri" w:ascii="Calibri" w:hAnsi="Calibri"/>
          <w:b/>
          <w:bCs/>
          <w:color w:val="333333"/>
          <w:sz w:val="23"/>
          <w:szCs w:val="23"/>
        </w:rPr>
        <w:t>v0.4 — Structured output hardening</w:t>
      </w:r>
    </w:p>
    <w:p>
      <w:pPr>
        <w:pStyle w:val="Normal"/>
        <w:spacing w:lineRule="exact" w:line="300" w:before="0" w:after="200"/>
        <w:rPr/>
      </w:pPr>
      <w:r>
        <w:rPr>
          <w:rFonts w:eastAsia="Calibri" w:cs="Calibri" w:ascii="Calibri" w:hAnsi="Calibri"/>
          <w:sz w:val="22"/>
          <w:szCs w:val="22"/>
        </w:rPr>
        <w:t>Called out as its own release rather than folded into v0.1 because it's the hardest problem in the project and the most valuable if done well — reliable JSON Schema-constrained output across providers with different native support levels.</w:t>
      </w:r>
    </w:p>
    <w:p>
      <w:pPr>
        <w:pStyle w:val="Heading3"/>
        <w:spacing w:before="260" w:after="120"/>
        <w:rPr/>
      </w:pPr>
      <w:r>
        <w:rPr>
          <w:rFonts w:eastAsia="Calibri" w:cs="Calibri" w:ascii="Calibri" w:hAnsi="Calibri"/>
          <w:b/>
          <w:bCs/>
          <w:color w:val="333333"/>
          <w:sz w:val="23"/>
          <w:szCs w:val="23"/>
        </w:rPr>
        <w:t>v1.0 — Stability commitment</w:t>
      </w:r>
    </w:p>
    <w:p>
      <w:pPr>
        <w:pStyle w:val="Normal"/>
        <w:spacing w:lineRule="exact" w:line="300" w:before="0" w:after="200"/>
        <w:rPr/>
      </w:pPr>
      <w:r>
        <w:rPr>
          <w:rFonts w:eastAsia="Calibri" w:cs="Calibri" w:ascii="Calibri" w:hAnsi="Calibri"/>
          <w:sz w:val="22"/>
          <w:szCs w:val="22"/>
        </w:rPr>
        <w:t>API freeze with semver guarantees. The release where “install this in a production ISV app” becomes a responsible recommendation rather than an early-adopter bet.</w:t>
      </w:r>
    </w:p>
    <w:p>
      <w:pPr>
        <w:pStyle w:val="Heading3"/>
        <w:spacing w:before="260" w:after="120"/>
        <w:rPr/>
      </w:pPr>
      <w:r>
        <w:rPr>
          <w:rFonts w:eastAsia="Calibri" w:cs="Calibri" w:ascii="Calibri" w:hAnsi="Calibri"/>
          <w:b/>
          <w:bCs/>
          <w:color w:val="333333"/>
          <w:sz w:val="23"/>
          <w:szCs w:val="23"/>
        </w:rPr>
        <w:t>Post-v1 — Candidates, not commitments</w:t>
      </w:r>
    </w:p>
    <w:p>
      <w:pPr>
        <w:pStyle w:val="Normal"/>
        <w:spacing w:lineRule="exact" w:line="300" w:before="0" w:after="200"/>
        <w:rPr/>
      </w:pPr>
      <w:r>
        <w:rPr>
          <w:rFonts w:eastAsia="Calibri" w:cs="Calibri" w:ascii="Calibri" w:hAnsi="Calibri"/>
          <w:sz w:val="22"/>
          <w:szCs w:val="22"/>
        </w:rPr>
        <w:t>Streaming, embeddings, multimodal input, remaining providers (Gemini, Ollama, OpenRouter, generic OpenAI-compatible), tool-calling normalization, observability integrations — this is where the project should integrate with, not duplicate, efforts like the AL Agent Observability project: that project instruments the development-time AI agent loop via OpenTelemetry/Phoenix, while AL AI Toolkit instruments runtime AI calls made by shipped extensions. They're complementary but should stay architecturally separate — one runs in a developer's editor, the other in a customer's production tenant.</w:t>
      </w:r>
    </w:p>
    <w:p>
      <w:pPr>
        <w:pStyle w:val="Normal"/>
        <w:spacing w:lineRule="exact" w:line="300" w:before="0" w:after="200"/>
        <w:rPr/>
      </w:pPr>
      <w:r>
        <w:rPr>
          <w:rFonts w:eastAsia="Calibri" w:cs="Calibri" w:ascii="Calibri" w:hAnsi="Calibri"/>
          <w:sz w:val="22"/>
          <w:szCs w:val="22"/>
        </w:rPr>
        <w:t>Deliberately absent from any committed roadmap: agent orchestration, conversation memory as a managed abstraction, and prompt template management beyond simple string substitution. Committing to these now would pull scope away from getting the provider and structured-output layers genuinely solid, which is the actual differentiator.</w:t>
      </w:r>
    </w:p>
    <w:p>
      <w:pPr>
        <w:pStyle w:val="Heading2"/>
        <w:spacing w:before="360" w:after="160"/>
        <w:rPr/>
      </w:pPr>
      <w:r>
        <w:rPr>
          <w:rFonts w:eastAsia="Calibri" w:cs="Calibri" w:ascii="Calibri" w:hAnsi="Calibri"/>
          <w:b/>
          <w:bCs/>
          <w:color w:val="2E5395"/>
          <w:sz w:val="26"/>
          <w:szCs w:val="26"/>
        </w:rPr>
        <w:t>10. Risks</w:t>
      </w:r>
    </w:p>
    <w:p>
      <w:pPr>
        <w:pStyle w:val="ListParagraph"/>
        <w:numPr>
          <w:ilvl w:val="0"/>
          <w:numId w:val="1"/>
        </w:numPr>
        <w:spacing w:lineRule="exact" w:line="290" w:before="0" w:after="120"/>
        <w:rPr/>
      </w:pPr>
      <w:r>
        <w:rPr>
          <w:rFonts w:eastAsia="Calibri" w:cs="Calibri" w:ascii="Calibri" w:hAnsi="Calibri"/>
          <w:b/>
          <w:bCs/>
          <w:sz w:val="22"/>
          <w:szCs w:val="22"/>
        </w:rPr>
        <w:t xml:space="preserve">Maintainer bus factor: </w:t>
      </w:r>
      <w:r>
        <w:rPr>
          <w:rFonts w:eastAsia="Calibri" w:cs="Calibri" w:ascii="Calibri" w:hAnsi="Calibri"/>
          <w:sz w:val="22"/>
          <w:szCs w:val="22"/>
        </w:rPr>
        <w:t>a solo-founder-led OSS infra project has a single point of failure that matters more here than for an app, because other people's shipped code depends on it. Governance (Part III) needs to address this directly.</w:t>
      </w:r>
    </w:p>
    <w:p>
      <w:pPr>
        <w:pStyle w:val="ListParagraph"/>
        <w:numPr>
          <w:ilvl w:val="0"/>
          <w:numId w:val="1"/>
        </w:numPr>
        <w:spacing w:lineRule="exact" w:line="290" w:before="0" w:after="120"/>
        <w:rPr/>
      </w:pPr>
      <w:r>
        <w:rPr>
          <w:rFonts w:eastAsia="Calibri" w:cs="Calibri" w:ascii="Calibri" w:hAnsi="Calibri"/>
          <w:b/>
          <w:bCs/>
          <w:sz w:val="22"/>
          <w:szCs w:val="22"/>
        </w:rPr>
        <w:t xml:space="preserve">Provider API churn outpacing maintenance capacity: </w:t>
      </w:r>
      <w:r>
        <w:rPr>
          <w:rFonts w:eastAsia="Calibri" w:cs="Calibri" w:ascii="Calibri" w:hAnsi="Calibri"/>
          <w:sz w:val="22"/>
          <w:szCs w:val="22"/>
        </w:rPr>
        <w:t>adding an 8th provider is not free — it's ongoing cost. Scope discipline on provider count matters more than provider count itself.</w:t>
      </w:r>
    </w:p>
    <w:p>
      <w:pPr>
        <w:pStyle w:val="ListParagraph"/>
        <w:numPr>
          <w:ilvl w:val="0"/>
          <w:numId w:val="1"/>
        </w:numPr>
        <w:spacing w:lineRule="exact" w:line="290" w:before="0" w:after="120"/>
        <w:rPr/>
      </w:pPr>
      <w:r>
        <w:rPr>
          <w:rFonts w:eastAsia="Calibri" w:cs="Calibri" w:ascii="Calibri" w:hAnsi="Calibri"/>
          <w:b/>
          <w:bCs/>
          <w:sz w:val="22"/>
          <w:szCs w:val="22"/>
        </w:rPr>
        <w:t xml:space="preserve">Scope creep toward “AL LangChain”: </w:t>
      </w:r>
      <w:r>
        <w:rPr>
          <w:rFonts w:eastAsia="Calibri" w:cs="Calibri" w:ascii="Calibri" w:hAnsi="Calibri"/>
          <w:sz w:val="22"/>
          <w:szCs w:val="22"/>
        </w:rPr>
        <w:t>the temptation to add orchestration, agents, and memory will be constant, partly because that's where the interesting engineering problems are. Every roadmap addition should be tested against ADR-002.</w:t>
      </w:r>
    </w:p>
    <w:p>
      <w:pPr>
        <w:pStyle w:val="ListParagraph"/>
        <w:numPr>
          <w:ilvl w:val="0"/>
          <w:numId w:val="1"/>
        </w:numPr>
        <w:spacing w:lineRule="exact" w:line="290" w:before="0" w:after="120"/>
        <w:rPr/>
      </w:pPr>
      <w:r>
        <w:rPr>
          <w:rFonts w:eastAsia="Calibri" w:cs="Calibri" w:ascii="Calibri" w:hAnsi="Calibri"/>
          <w:b/>
          <w:bCs/>
          <w:sz w:val="22"/>
          <w:szCs w:val="22"/>
        </w:rPr>
        <w:t xml:space="preserve">Microsoft shipping equivalent functionality in System.AI: </w:t>
      </w:r>
      <w:r>
        <w:rPr>
          <w:rFonts w:eastAsia="Calibri" w:cs="Calibri" w:ascii="Calibri" w:hAnsi="Calibri"/>
          <w:sz w:val="22"/>
          <w:szCs w:val="22"/>
        </w:rPr>
        <w:t>a real risk, not hypothetical. If System.AI becomes genuinely provider-agnostic, the right response isn't to compete harder — it's to reassess whether the gap still exists, and pivot toward areas System.AI structurally can't reach (self-hosted models, on-prem, non-Microsoft clouds).</w:t>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Part II — Architecture Decision Records</w:t>
      </w:r>
    </w:p>
    <w:p>
      <w:pPr>
        <w:pStyle w:val="Normal"/>
        <w:spacing w:lineRule="exact" w:line="300" w:before="0" w:after="200"/>
        <w:rPr/>
      </w:pPr>
      <w:r>
        <w:rPr>
          <w:rFonts w:eastAsia="Calibri" w:cs="Calibri" w:ascii="Calibri" w:hAnsi="Calibri"/>
          <w:sz w:val="22"/>
          <w:szCs w:val="22"/>
        </w:rPr>
        <w:t>Each ADR states the decision, the alternatives considered, and — deliberately — the cost of the choice made. An ADR that only lists benefits isn't a real decision record.</w:t>
      </w:r>
    </w:p>
    <w:p>
      <w:pPr>
        <w:pStyle w:val="Normal"/>
        <w:spacing w:before="320" w:after="100"/>
        <w:rPr/>
      </w:pPr>
      <w:r>
        <w:rPr>
          <w:rFonts w:eastAsia="Calibri" w:cs="Calibri" w:ascii="Calibri" w:hAnsi="Calibri"/>
          <w:b/>
          <w:bCs/>
          <w:color w:val="1F3864"/>
          <w:sz w:val="23"/>
          <w:szCs w:val="23"/>
        </w:rPr>
        <w:t xml:space="preserve">ADR-001: </w:t>
      </w:r>
      <w:r>
        <w:rPr>
          <w:rFonts w:eastAsia="Calibri" w:cs="Calibri" w:ascii="Calibri" w:hAnsi="Calibri"/>
          <w:b/>
          <w:bCs/>
          <w:color w:val="333333"/>
          <w:sz w:val="23"/>
          <w:szCs w:val="23"/>
        </w:rPr>
        <w:t>Library, not platform</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AL AI Toolkit ships exclusively as AL code consumed via extension dependency. No hosted backend, no SaaS component, no telemetry collection point owned by the project.</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 companion hosted service for cross-tenant analytics, prompt management, or provider routing — the kind of thing that would let the project generate revenue and create a moat.</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The moment this project owns a hosted service handling customer prompts and API keys across tenants, it becomes a vendor with security, compliance, and uptime obligations — a much larger undertaking than a library. It also undermines the trust argument that makes a library adoptable in regulated BC deployments: “your data never leaves your own boundary except to the provider you configured” is a strong, simple guarantee a hosted component would complicate. A platform's incentive is to create dependency; a library's incentive is to stay genuinely useful for free.</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No natural monetization path for the maintainer beyond sponsorship/consulting — a genuine sustainability risk (ADR-008, Part III).</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ADR-002: </w:t>
      </w:r>
      <w:r>
        <w:rPr>
          <w:rFonts w:eastAsia="Calibri" w:cs="Calibri" w:ascii="Calibri" w:hAnsi="Calibri"/>
          <w:b/>
          <w:bCs/>
          <w:color w:val="333333"/>
          <w:sz w:val="23"/>
          <w:szCs w:val="23"/>
        </w:rPr>
        <w:t>Core stays a client library; orchestration is out-of-tree</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Agent loops, multi-step planning, and conversation memory management are explicitly out of scope for the core package. If built at all, they ship as a separate dependent package.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Building orchestration in from the start, matching LangChain's scope.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This is the highest-leverage scope decision in the project, made harder because orchestration features are the more exciting ones to build. Every dependent extension that only needs “call this model, get structured JSON back” would carry the weight (compile time, object ID budget, cognitive surface area) of an agent framework it never uses. AL extensions have real object ID budget and dependency-chain compile costs that don't exist in npm/pip — a bloated core dependency is a heavier tax in AL than in JavaScript.</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Slower path to feature parity with LangChain-style frameworks, and a risk the orchestration layer never gets built by anyone. Accepted, because a fragmented orchestration layer atop a solid client layer beats a bloated, rarely-fully-used core.</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ADR-003: </w:t>
      </w:r>
      <w:r>
        <w:rPr>
          <w:rFonts w:eastAsia="Calibri" w:cs="Calibri" w:ascii="Calibri" w:hAnsi="Calibri"/>
          <w:b/>
          <w:bCs/>
          <w:color w:val="333333"/>
          <w:sz w:val="23"/>
          <w:szCs w:val="23"/>
        </w:rPr>
        <w:t>Provider abstraction: lowest-common-denominator with explicit escape hatches</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The core IAIProvider interface covers only what every provider can do reliably. Provider-specific capabilities (Anthropic's tool_use blocks, OpenAI's function-calling shape, Gemini's grounding) are accessed through typed provider extensions, not flattened into the common interface.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 fully unified interface that normalizes every provider's capabilities into one shape.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Full normalization is the classic multi-provider abstraction trap — clean for the 80% case, then either silently drops capability for the 20% case or grows increasingly leaky special-case parameters. Naming the trade-off explicitly (typed extensions) rather than hiding it behind a false-clean interface is more honest and avoids subtle bugs from assumed cross-provider parity that doesn't exist.</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Provider-swap-with-zero-code-changes is only true for the common subset. Anyone using an escape hatch takes on manual migration work when switching providers — honest, since that work is real and not eliminable by better API design.</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ADR-004: </w:t>
      </w:r>
      <w:r>
        <w:rPr>
          <w:rFonts w:eastAsia="Calibri" w:cs="Calibri" w:ascii="Calibri" w:hAnsi="Calibri"/>
          <w:b/>
          <w:bCs/>
          <w:color w:val="333333"/>
          <w:sz w:val="23"/>
          <w:szCs w:val="23"/>
        </w:rPr>
        <w:t>Provider support is tiered, not flat</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Providers classified as Tier 1 (Azure OpenAI, OpenAI, Anthropic — full support, CI-tested against live APIs, core-team maintained), Tier 2 (Gemini, Ollama — community-maintained, best-effort), Tier 3 (generic OpenAI-compatible endpoint — thin adapter, no vendor guarantees).</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Flat support — every listed provider gets equal maintenance commitment.</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The original brief lists eight providers with no differentiation, understating the real recurring maintenance cost of each. Equal commitment across all eight from a small maintainer base quietly erodes — either quality drops uniformly, or (more commonly) 2-3 providers get real attention while the rest bit-rot while still listed as “supported,” which is worse than honest tiering upfront.</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Less impressive-looking provider list in marketing terms; some users unhappy their preferred provider is Tier 2/3. Accepted — an honest, sustainable tier list beats an equally-promised list that erodes silently.</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ADR-005: </w:t>
      </w:r>
      <w:r>
        <w:rPr>
          <w:rFonts w:eastAsia="Calibri" w:cs="Calibri" w:ascii="Calibri" w:hAnsi="Calibri"/>
          <w:b/>
          <w:bCs/>
          <w:color w:val="333333"/>
          <w:sz w:val="23"/>
          <w:szCs w:val="23"/>
        </w:rPr>
        <w:t>Telemetry uses OpenTelemetry GenAI conventions, emitted locally, no default egress</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Every AI call emits an OTel span following GenAI/LLM semantic conventions (gen_ai.system, gen_ai.request.model, gen_ai.usage.input_tokens) with custom bc.* attributes for tenant/company/environment. Nothing is sent anywhere unless the developer configures an exporter destination themselves.</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 bespoke telemetry schema for AL/BC concepts, or bundling a default telemetry destination for easy onboarding.</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custom schema</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Reusing an existing, actively-maintained standard means the toolkit benefits from tooling that already understands GenAI conventions (Phoenix, Langfuse, OTel-native backends) without building any of that tooling itself — consistent with ADR-001. This mirrors the reasoning already applied in the AL Agent Observability project, which adopted OpenInference conventions for the same reason; using GenAI/OTel conventions here keeps both projects speaking a compatible telemetry language.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default destination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Any default destination, even well-intentioned, reintroduces the platform-vs-library tension from ADR-001 — it implies a place data goes by default, exactly the guarantee the library model is designed not to promise.</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Zero-config telemetry isn't available — a developer gets spans emitted locally but sees nothing until wiring up a collector. Real onboarding friction, accepted in favor of not shipping an implicit data destination.</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ADR-006: </w:t>
      </w:r>
      <w:r>
        <w:rPr>
          <w:rFonts w:eastAsia="Calibri" w:cs="Calibri" w:ascii="Calibri" w:hAnsi="Calibri"/>
          <w:b/>
          <w:bCs/>
          <w:color w:val="333333"/>
          <w:sz w:val="23"/>
          <w:szCs w:val="23"/>
        </w:rPr>
        <w:t>Cost-safety primitives are opt-in but strongly recommended, not mandatory</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Circuit breakers, hard spend caps, and per-call token limits are composable, optional wrappers around the base client, not baked into every call path by default.</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Mandatory cost caps on every provider call, enforced unless explicitly disabled.</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mandatory</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 hard default cap that's wrong for a given workload (e.g. legitimate long-document summarization) becomes a silent failure mode worse than no cap at all if developers don't understand why calls are rejected. Defaults that fail loudly and configurably are safer than defaults that fail silently and correctly-in-most-cases.</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A developer who doesn't opt in gets no protection against runaway cost from a bug. Real risk, accepted in favor of not overriding developer intent silently — documentation must make this loud (Section 8), not just technically available.</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ADR-007: </w:t>
      </w:r>
      <w:r>
        <w:rPr>
          <w:rFonts w:eastAsia="Calibri" w:cs="Calibri" w:ascii="Calibri" w:hAnsi="Calibri"/>
          <w:b/>
          <w:bCs/>
          <w:color w:val="333333"/>
          <w:sz w:val="23"/>
          <w:szCs w:val="23"/>
        </w:rPr>
        <w:t>Structured output: provider-native JSON mode first, schema-validated retry as fallback</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Where a provider supports native structured/JSON-constrained output, the toolkit uses it directly. Where it doesn't, the toolkit falls back to prompt-injected schema instructions plus response validation and automatic retry-with-correction on parse failure.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A single strategy applied uniformly (always prompt-based, or refuse to support providers without native structured output).</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prompt-only</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Ignoring native structured output where it exists means worse reliability on providers that already solved this well, purely for implementation simplicity — optimizing for the toolkit's internals over the developer's actual outcome.</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provider refusal</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Would eliminate Tier 2/3 providers (Ollama, self-hosted OpenAI-compatible endpoints) from ever supporting structured output, disproportionately valuable for exactly the self-hosted/cost-sensitive use cases those providers serve.</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More internal complexity — two code paths per provider instead of one — and reliability that genuinely varies by provider/tier, documented per-provider rather than promised uniformly (Section 9, v0.4, scoped as its own release for this reason).</w:t>
            </w:r>
          </w:p>
        </w:tc>
      </w:tr>
    </w:tbl>
    <w:p>
      <w:pPr>
        <w:pStyle w:val="Normal"/>
        <w:spacing w:before="0" w:after="120"/>
        <w:rPr/>
      </w:pPr>
      <w:r>
        <w:rPr/>
      </w:r>
    </w:p>
    <w:p>
      <w:pPr>
        <w:pStyle w:val="Normal"/>
        <w:spacing w:before="320" w:after="100"/>
        <w:rPr/>
      </w:pPr>
      <w:r>
        <w:rPr>
          <w:rFonts w:eastAsia="Calibri" w:cs="Calibri" w:ascii="Calibri" w:hAnsi="Calibri"/>
          <w:b/>
          <w:bCs/>
          <w:color w:val="1F3864"/>
          <w:sz w:val="23"/>
          <w:szCs w:val="23"/>
        </w:rPr>
        <w:t xml:space="preserve">ADR-008: </w:t>
      </w:r>
      <w:r>
        <w:rPr>
          <w:rFonts w:eastAsia="Calibri" w:cs="Calibri" w:ascii="Calibri" w:hAnsi="Calibri"/>
          <w:b/>
          <w:bCs/>
          <w:color w:val="333333"/>
          <w:sz w:val="23"/>
          <w:szCs w:val="23"/>
        </w:rPr>
        <w:t>Governance uses BDFL-with-succession-plan from day one</w:t>
      </w:r>
    </w:p>
    <w:tbl>
      <w:tblPr>
        <w:tblW w:w="5000" w:type="pct"/>
        <w:jc w:val="left"/>
        <w:tblInd w:w="0" w:type="dxa"/>
        <w:tblLayout w:type="fixed"/>
        <w:tblCellMar>
          <w:top w:w="120" w:type="dxa"/>
          <w:left w:w="160" w:type="dxa"/>
          <w:bottom w:w="120" w:type="dxa"/>
          <w:right w:w="120" w:type="dxa"/>
        </w:tblCellMar>
      </w:tblPr>
      <w:tblGrid>
        <w:gridCol w:w="2244"/>
        <w:gridCol w:w="7295"/>
      </w:tblGrid>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Decision</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Succession and maintainer-scaling planning is a v0.1 concern, documented in the repository from the first public release (Part III), not addressed retroactively after a bus-factor crisis.</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Alternatives considered</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Informal solo maintainership with governance formalized later “if the project takes off.”</w:t>
            </w:r>
          </w:p>
        </w:tc>
      </w:tr>
      <w:tr>
        <w:trPr/>
        <w:tc>
          <w:tcPr>
            <w:tcW w:w="2244" w:type="dxa"/>
            <w:tcBorders>
              <w:top w:val="single" w:sz="4" w:space="0" w:color="000000"/>
              <w:left w:val="single" w:sz="4" w:space="0" w:color="000000"/>
              <w:bottom w:val="single" w:sz="4" w:space="0" w:color="000000"/>
              <w:right w:val="single" w:sz="4" w:space="0" w:color="000000"/>
            </w:tcBorders>
            <w:shd w:fill="EDF2FA" w:val="clear"/>
          </w:tcPr>
          <w:p>
            <w:pPr>
              <w:pStyle w:val="Normal"/>
              <w:rPr/>
            </w:pPr>
            <w:r>
              <w:rPr>
                <w:rFonts w:eastAsia="Calibri" w:cs="Calibri" w:ascii="Calibri" w:hAnsi="Calibri"/>
                <w:b/>
                <w:bCs/>
                <w:color w:val="1F3864"/>
                <w:sz w:val="20"/>
                <w:szCs w:val="20"/>
              </w:rPr>
              <w:t>Why rejected deferring</w:t>
            </w:r>
          </w:p>
        </w:tc>
        <w:tc>
          <w:tcPr>
            <w:tcW w:w="7295" w:type="dxa"/>
            <w:tcBorders>
              <w:top w:val="single" w:sz="4" w:space="0" w:color="000000"/>
              <w:left w:val="single" w:sz="4" w:space="0" w:color="000000"/>
              <w:bottom w:val="single" w:sz="4" w:space="0" w:color="000000"/>
              <w:right w:val="single" w:sz="4" w:space="0" w:color="000000"/>
            </w:tcBorders>
            <w:shd w:fill="FFFFFF" w:val="clear"/>
            <w:tcMar>
              <w:right w:w="160" w:type="dxa"/>
            </w:tcMar>
          </w:tcPr>
          <w:p>
            <w:pPr>
              <w:pStyle w:val="Normal"/>
              <w:spacing w:lineRule="exact" w:line="280"/>
              <w:rPr/>
            </w:pPr>
            <w:r>
              <w:rPr>
                <w:rFonts w:eastAsia="Calibri" w:cs="Calibri" w:ascii="Calibri" w:hAnsi="Calibri"/>
                <w:sz w:val="21"/>
                <w:szCs w:val="21"/>
              </w:rPr>
              <w:t>For an application, deferring governance is low-risk — worst case, a maintainer walks away and users fork or move on. For infrastructure other people's shipped extensions depend on, an unplanned maintainer departure is a supply-chain risk to every downstream consumer. The cost of writing this down early is small; the cost of not having it written down when it's actually needed is high and hits at the worst possible time.</w:t>
            </w:r>
          </w:p>
        </w:tc>
      </w:tr>
      <w:tr>
        <w:trPr/>
        <w:tc>
          <w:tcPr>
            <w:tcW w:w="2244" w:type="dxa"/>
            <w:tcBorders>
              <w:top w:val="single" w:sz="4" w:space="0" w:color="000000"/>
              <w:left w:val="single" w:sz="4" w:space="0" w:color="000000"/>
              <w:bottom w:val="single" w:sz="4" w:space="0" w:color="000000"/>
              <w:right w:val="single" w:sz="4" w:space="0" w:color="000000"/>
            </w:tcBorders>
            <w:shd w:fill="FDF2E9" w:val="clear"/>
          </w:tcPr>
          <w:p>
            <w:pPr>
              <w:pStyle w:val="Normal"/>
              <w:rPr/>
            </w:pPr>
            <w:r>
              <w:rPr>
                <w:rFonts w:eastAsia="Calibri" w:cs="Calibri" w:ascii="Calibri" w:hAnsi="Calibri"/>
                <w:b/>
                <w:bCs/>
                <w:color w:val="1F3864"/>
                <w:sz w:val="20"/>
                <w:szCs w:val="20"/>
              </w:rPr>
              <w:t>Cost of this decision</w:t>
            </w:r>
          </w:p>
        </w:tc>
        <w:tc>
          <w:tcPr>
            <w:tcW w:w="7295" w:type="dxa"/>
            <w:tcBorders>
              <w:top w:val="single" w:sz="4" w:space="0" w:color="000000"/>
              <w:left w:val="single" w:sz="4" w:space="0" w:color="000000"/>
              <w:bottom w:val="single" w:sz="4" w:space="0" w:color="000000"/>
              <w:right w:val="single" w:sz="4" w:space="0" w:color="000000"/>
            </w:tcBorders>
            <w:shd w:fill="FEFAF5" w:val="clear"/>
            <w:tcMar>
              <w:right w:w="160" w:type="dxa"/>
            </w:tcMar>
          </w:tcPr>
          <w:p>
            <w:pPr>
              <w:pStyle w:val="Normal"/>
              <w:spacing w:lineRule="exact" w:line="280"/>
              <w:rPr/>
            </w:pPr>
            <w:r>
              <w:rPr>
                <w:rFonts w:eastAsia="Calibri" w:cs="Calibri" w:ascii="Calibri" w:hAnsi="Calibri"/>
                <w:sz w:val="21"/>
                <w:szCs w:val="21"/>
              </w:rPr>
              <w:t>Upfront overhead writing governance documentation before there's a community to govern, which can feel premature for a currently-solo effort. Accepted because the alternative failure mode is worse and harder to recover from.</w:t>
            </w:r>
          </w:p>
        </w:tc>
      </w:tr>
    </w:tbl>
    <w:p>
      <w:pPr>
        <w:pStyle w:val="Normal"/>
        <w:spacing w:before="0" w:after="120"/>
        <w:rPr/>
      </w:pPr>
      <w:r>
        <w:rPr/>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Part III — Open Source Governance</w:t>
      </w:r>
    </w:p>
    <w:p>
      <w:pPr>
        <w:pStyle w:val="Heading2"/>
        <w:spacing w:before="360" w:after="160"/>
        <w:rPr/>
      </w:pPr>
      <w:r>
        <w:rPr>
          <w:rFonts w:eastAsia="Calibri" w:cs="Calibri" w:ascii="Calibri" w:hAnsi="Calibri"/>
          <w:b/>
          <w:bCs/>
          <w:color w:val="2E5395"/>
          <w:sz w:val="26"/>
          <w:szCs w:val="26"/>
        </w:rPr>
        <w:t>11. Governance Model</w:t>
      </w:r>
    </w:p>
    <w:p>
      <w:pPr>
        <w:pStyle w:val="ListParagraph"/>
        <w:numPr>
          <w:ilvl w:val="0"/>
          <w:numId w:val="1"/>
        </w:numPr>
        <w:spacing w:lineRule="exact" w:line="290" w:before="0" w:after="120"/>
        <w:rPr/>
      </w:pPr>
      <w:r>
        <w:rPr>
          <w:rFonts w:eastAsia="Calibri" w:cs="Calibri" w:ascii="Calibri" w:hAnsi="Calibri"/>
          <w:b/>
          <w:bCs/>
          <w:sz w:val="22"/>
          <w:szCs w:val="22"/>
        </w:rPr>
        <w:t xml:space="preserve">Phase 1 — current, solo maintainer: </w:t>
      </w:r>
      <w:r>
        <w:rPr>
          <w:rFonts w:eastAsia="Calibri" w:cs="Calibri" w:ascii="Calibri" w:hAnsi="Calibri"/>
          <w:sz w:val="22"/>
          <w:szCs w:val="22"/>
        </w:rPr>
        <w:t>Guillem holds final decision authority (BDFL model) on architecture and roadmap. Honest about current reality rather than pretending a foundation-style structure exists before there's a community to staff it.</w:t>
      </w:r>
    </w:p>
    <w:p>
      <w:pPr>
        <w:pStyle w:val="ListParagraph"/>
        <w:numPr>
          <w:ilvl w:val="0"/>
          <w:numId w:val="1"/>
        </w:numPr>
        <w:spacing w:lineRule="exact" w:line="290" w:before="0" w:after="120"/>
        <w:rPr/>
      </w:pPr>
      <w:r>
        <w:rPr>
          <w:rFonts w:eastAsia="Calibri" w:cs="Calibri" w:ascii="Calibri" w:hAnsi="Calibri"/>
          <w:b/>
          <w:bCs/>
          <w:sz w:val="22"/>
          <w:szCs w:val="22"/>
        </w:rPr>
        <w:t xml:space="preserve">Phase 2 — first external maintainers: </w:t>
      </w:r>
      <w:r>
        <w:rPr>
          <w:rFonts w:eastAsia="Calibri" w:cs="Calibri" w:ascii="Calibri" w:hAnsi="Calibri"/>
          <w:sz w:val="22"/>
          <w:szCs w:val="22"/>
        </w:rPr>
        <w:t>Triggered by sustained external contribution (suggested threshold: 3+ contributors with merged PRs across at least 2 different providers/modules, sustained over 2+ releases). Introduces a small maintainers group with commit access, using lazy consensus for non-architectural changes and BDFL-arbitrated decisions for anything touching the core interfaces defined in ADR-003.</w:t>
      </w:r>
    </w:p>
    <w:p>
      <w:pPr>
        <w:pStyle w:val="ListParagraph"/>
        <w:numPr>
          <w:ilvl w:val="0"/>
          <w:numId w:val="1"/>
        </w:numPr>
        <w:spacing w:lineRule="exact" w:line="290" w:before="0" w:after="120"/>
        <w:rPr/>
      </w:pPr>
      <w:r>
        <w:rPr>
          <w:rFonts w:eastAsia="Calibri" w:cs="Calibri" w:ascii="Calibri" w:hAnsi="Calibri"/>
          <w:b/>
          <w:bCs/>
          <w:sz w:val="22"/>
          <w:szCs w:val="22"/>
        </w:rPr>
        <w:t xml:space="preserve">Phase 3 — maturity: </w:t>
      </w:r>
      <w:r>
        <w:rPr>
          <w:rFonts w:eastAsia="Calibri" w:cs="Calibri" w:ascii="Calibri" w:hAnsi="Calibri"/>
          <w:sz w:val="22"/>
          <w:szCs w:val="22"/>
        </w:rPr>
        <w:t>If adoption and contributor base justify it, transition toward a more formal steering structure — not necessarily a full foundation, since foundation overhead has its own well-documented costs in slowing decision-making. Revisit this phase's shape when actually approaching it rather than over-specifying it now.</w:t>
      </w:r>
    </w:p>
    <w:p>
      <w:pPr>
        <w:pStyle w:val="Normal"/>
        <w:spacing w:lineRule="exact" w:line="300" w:before="0" w:after="200"/>
        <w:rPr/>
      </w:pPr>
      <w:r>
        <w:rPr>
          <w:rFonts w:eastAsia="Calibri" w:cs="Calibri" w:ascii="Calibri" w:hAnsi="Calibri"/>
          <w:sz w:val="22"/>
          <w:szCs w:val="22"/>
        </w:rPr>
        <w:t>Explicitly avoid the common OSS governance failure mode of writing an elaborate Phase 3 structure in the v0.1 governance doc that never gets used because the project never reaches the scale that structure assumes. Phase 2's trigger conditions should be revisited, not treated as permanent, if real usage patterns look different than expected.</w:t>
      </w:r>
    </w:p>
    <w:p>
      <w:pPr>
        <w:pStyle w:val="Heading2"/>
        <w:spacing w:before="360" w:after="160"/>
        <w:rPr/>
      </w:pPr>
      <w:r>
        <w:rPr>
          <w:rFonts w:eastAsia="Calibri" w:cs="Calibri" w:ascii="Calibri" w:hAnsi="Calibri"/>
          <w:b/>
          <w:bCs/>
          <w:color w:val="2E5395"/>
          <w:sz w:val="26"/>
          <w:szCs w:val="26"/>
        </w:rPr>
        <w:t>12. Contribution Model</w:t>
      </w:r>
    </w:p>
    <w:p>
      <w:pPr>
        <w:pStyle w:val="ListParagraph"/>
        <w:numPr>
          <w:ilvl w:val="0"/>
          <w:numId w:val="1"/>
        </w:numPr>
        <w:spacing w:lineRule="exact" w:line="290" w:before="0" w:after="120"/>
        <w:rPr/>
      </w:pPr>
      <w:r>
        <w:rPr>
          <w:rFonts w:eastAsia="Calibri" w:cs="Calibri" w:ascii="Calibri" w:hAnsi="Calibri"/>
          <w:b/>
          <w:bCs/>
          <w:sz w:val="22"/>
          <w:szCs w:val="22"/>
        </w:rPr>
        <w:t xml:space="preserve">RFC process for core interfaces: </w:t>
      </w:r>
      <w:r>
        <w:rPr>
          <w:rFonts w:eastAsia="Calibri" w:cs="Calibri" w:ascii="Calibri" w:hAnsi="Calibri"/>
          <w:sz w:val="22"/>
          <w:szCs w:val="22"/>
        </w:rPr>
        <w:t>the provider abstraction, structured-output contract, and telemetry schema are load-bearing walls; changing them after adoption is expensive for downstream consumers, so changes need more scrutiny than a typical PR.</w:t>
      </w:r>
    </w:p>
    <w:p>
      <w:pPr>
        <w:pStyle w:val="ListParagraph"/>
        <w:numPr>
          <w:ilvl w:val="0"/>
          <w:numId w:val="1"/>
        </w:numPr>
        <w:spacing w:lineRule="exact" w:line="290" w:before="0" w:after="120"/>
        <w:rPr/>
      </w:pPr>
      <w:r>
        <w:rPr>
          <w:rFonts w:eastAsia="Calibri" w:cs="Calibri" w:ascii="Calibri" w:hAnsi="Calibri"/>
          <w:b/>
          <w:bCs/>
          <w:sz w:val="22"/>
          <w:szCs w:val="22"/>
        </w:rPr>
        <w:t xml:space="preserve">Lower bar for new provider adapters: </w:t>
      </w:r>
      <w:r>
        <w:rPr>
          <w:rFonts w:eastAsia="Calibri" w:cs="Calibri" w:ascii="Calibri" w:hAnsi="Calibri"/>
          <w:sz w:val="22"/>
          <w:szCs w:val="22"/>
        </w:rPr>
        <w:t>Tier 2/3 (ADR-004), since they're additive and don't touch core contracts — this asymmetry is intentional, keeping the contribution funnel open at the edges while protecting the center.</w:t>
      </w:r>
    </w:p>
    <w:p>
      <w:pPr>
        <w:pStyle w:val="ListParagraph"/>
        <w:numPr>
          <w:ilvl w:val="0"/>
          <w:numId w:val="1"/>
        </w:numPr>
        <w:spacing w:lineRule="exact" w:line="290" w:before="0" w:after="120"/>
        <w:rPr/>
      </w:pPr>
      <w:r>
        <w:rPr>
          <w:rFonts w:eastAsia="Calibri" w:cs="Calibri" w:ascii="Calibri" w:hAnsi="Calibri"/>
          <w:b/>
          <w:bCs/>
          <w:sz w:val="22"/>
          <w:szCs w:val="22"/>
        </w:rPr>
        <w:t xml:space="preserve">Mandatory mock-provider test coverage: </w:t>
      </w:r>
      <w:r>
        <w:rPr>
          <w:rFonts w:eastAsia="Calibri" w:cs="Calibri" w:ascii="Calibri" w:hAnsi="Calibri"/>
          <w:sz w:val="22"/>
          <w:szCs w:val="22"/>
        </w:rPr>
        <w:t>for any PR touching provider logic — a real API key should never be required to run the test suite locally or in CI for core functionality. Both a contributor-experience decision and a security one.</w:t>
      </w:r>
    </w:p>
    <w:p>
      <w:pPr>
        <w:pStyle w:val="ListParagraph"/>
        <w:numPr>
          <w:ilvl w:val="0"/>
          <w:numId w:val="1"/>
        </w:numPr>
        <w:spacing w:lineRule="exact" w:line="290" w:before="0" w:after="120"/>
        <w:rPr/>
      </w:pPr>
      <w:r>
        <w:rPr>
          <w:rFonts w:eastAsia="Calibri" w:cs="Calibri" w:ascii="Calibri" w:hAnsi="Calibri"/>
          <w:b/>
          <w:bCs/>
          <w:sz w:val="22"/>
          <w:szCs w:val="22"/>
        </w:rPr>
        <w:t xml:space="preserve">Documented deprecation policy: </w:t>
      </w:r>
      <w:r>
        <w:rPr>
          <w:rFonts w:eastAsia="Calibri" w:cs="Calibri" w:ascii="Calibri" w:hAnsi="Calibri"/>
          <w:sz w:val="22"/>
          <w:szCs w:val="22"/>
        </w:rPr>
        <w:t>given semver commitments start at v1.0, any breaking change post-v1.0 requires a major version bump, a migration guide, and a minimum deprecation window (suggested: one full BC major release cycle) before removal.</w:t>
      </w:r>
    </w:p>
    <w:p>
      <w:pPr>
        <w:pStyle w:val="Heading2"/>
        <w:spacing w:before="360" w:after="160"/>
        <w:rPr/>
      </w:pPr>
      <w:r>
        <w:rPr>
          <w:rFonts w:eastAsia="Calibri" w:cs="Calibri" w:ascii="Calibri" w:hAnsi="Calibri"/>
          <w:b/>
          <w:bCs/>
          <w:color w:val="2E5395"/>
          <w:sz w:val="26"/>
          <w:szCs w:val="26"/>
        </w:rPr>
        <w:t>13. Licensing</w:t>
      </w:r>
    </w:p>
    <w:p>
      <w:pPr>
        <w:pStyle w:val="Normal"/>
        <w:spacing w:lineRule="exact" w:line="300" w:before="0" w:after="200"/>
        <w:rPr/>
      </w:pPr>
      <w:r>
        <w:rPr>
          <w:rFonts w:eastAsia="Calibri" w:cs="Calibri" w:ascii="Calibri" w:hAnsi="Calibri"/>
          <w:sz w:val="22"/>
          <w:szCs w:val="22"/>
        </w:rPr>
        <w:t>MIT, per the original project brief. Worth stating explicitly why this matters beyond “it's common”: MIT (versus a copyleft license) is the choice that maximizes the odds of the stated success metric — “developers instinctively install this” — because it imposes zero licensing friction on ISVs shipping proprietary AppSource apps that would depend on it. A copyleft license would be actively hostile to the project's own stated goal.</w:t>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Part IV — Public API Philosophy</w:t>
      </w:r>
    </w:p>
    <w:p>
      <w:pPr>
        <w:pStyle w:val="Heading2"/>
        <w:spacing w:before="360" w:after="160"/>
        <w:rPr/>
      </w:pPr>
      <w:r>
        <w:rPr>
          <w:rFonts w:eastAsia="Calibri" w:cs="Calibri" w:ascii="Calibri" w:hAnsi="Calibri"/>
          <w:b/>
          <w:bCs/>
          <w:color w:val="2E5395"/>
          <w:sz w:val="26"/>
          <w:szCs w:val="26"/>
        </w:rPr>
        <w:t>14. Design Principles</w:t>
      </w:r>
    </w:p>
    <w:p>
      <w:pPr>
        <w:pStyle w:val="ListParagraph"/>
        <w:numPr>
          <w:ilvl w:val="0"/>
          <w:numId w:val="1"/>
        </w:numPr>
        <w:spacing w:lineRule="exact" w:line="290" w:before="0" w:after="120"/>
        <w:rPr/>
      </w:pPr>
      <w:r>
        <w:rPr>
          <w:rFonts w:eastAsia="Calibri" w:cs="Calibri" w:ascii="Calibri" w:hAnsi="Calibri"/>
          <w:b/>
          <w:bCs/>
          <w:sz w:val="22"/>
          <w:szCs w:val="22"/>
        </w:rPr>
        <w:t xml:space="preserve">A simple call should look simple: </w:t>
      </w:r>
      <w:r>
        <w:rPr>
          <w:rFonts w:eastAsia="Calibri" w:cs="Calibri" w:ascii="Calibri" w:hAnsi="Calibri"/>
          <w:sz w:val="22"/>
          <w:szCs w:val="22"/>
        </w:rPr>
        <w:t>the single most common use case — “send this text, get a completion back” — should be achievable in a handful of lines, not require constructing five objects first. Complexity should be available, not required.</w:t>
      </w:r>
    </w:p>
    <w:p>
      <w:pPr>
        <w:pStyle w:val="ListParagraph"/>
        <w:numPr>
          <w:ilvl w:val="0"/>
          <w:numId w:val="1"/>
        </w:numPr>
        <w:spacing w:lineRule="exact" w:line="290" w:before="0" w:after="120"/>
        <w:rPr/>
      </w:pPr>
      <w:r>
        <w:rPr>
          <w:rFonts w:eastAsia="Calibri" w:cs="Calibri" w:ascii="Calibri" w:hAnsi="Calibri"/>
          <w:b/>
          <w:bCs/>
          <w:sz w:val="22"/>
          <w:szCs w:val="22"/>
        </w:rPr>
        <w:t xml:space="preserve">Fail loudly, fail typed: </w:t>
      </w:r>
      <w:r>
        <w:rPr>
          <w:rFonts w:eastAsia="Calibri" w:cs="Calibri" w:ascii="Calibri" w:hAnsi="Calibri"/>
          <w:sz w:val="22"/>
          <w:szCs w:val="22"/>
        </w:rPr>
        <w:t>errors should be distinguishable AL error types, never a single generic “AI call failed” with the real cause buried in a text message. A developer catching an error should branch on why it failed without string-parsing an error message.</w:t>
      </w:r>
    </w:p>
    <w:p>
      <w:pPr>
        <w:pStyle w:val="ListParagraph"/>
        <w:numPr>
          <w:ilvl w:val="0"/>
          <w:numId w:val="1"/>
        </w:numPr>
        <w:spacing w:lineRule="exact" w:line="290" w:before="0" w:after="120"/>
        <w:rPr/>
      </w:pPr>
      <w:r>
        <w:rPr>
          <w:rFonts w:eastAsia="Calibri" w:cs="Calibri" w:ascii="Calibri" w:hAnsi="Calibri"/>
          <w:b/>
          <w:bCs/>
          <w:sz w:val="22"/>
          <w:szCs w:val="22"/>
        </w:rPr>
        <w:t xml:space="preserve">No hidden network calls: </w:t>
      </w:r>
      <w:r>
        <w:rPr>
          <w:rFonts w:eastAsia="Calibri" w:cs="Calibri" w:ascii="Calibri" w:hAnsi="Calibri"/>
          <w:sz w:val="22"/>
          <w:szCs w:val="22"/>
        </w:rPr>
        <w:t>nothing in the toolkit calls out to any endpoint the developer didn't explicitly configure — a direct consequence of ADR-001 and ADR-005. A developer reading a codeunit that uses this toolkit should know every network destination just from configuration.</w:t>
      </w:r>
    </w:p>
    <w:p>
      <w:pPr>
        <w:pStyle w:val="ListParagraph"/>
        <w:numPr>
          <w:ilvl w:val="0"/>
          <w:numId w:val="1"/>
        </w:numPr>
        <w:spacing w:lineRule="exact" w:line="290" w:before="0" w:after="120"/>
        <w:rPr/>
      </w:pPr>
      <w:r>
        <w:rPr>
          <w:rFonts w:eastAsia="Calibri" w:cs="Calibri" w:ascii="Calibri" w:hAnsi="Calibri"/>
          <w:b/>
          <w:bCs/>
          <w:sz w:val="22"/>
          <w:szCs w:val="22"/>
        </w:rPr>
        <w:t xml:space="preserve">Provider swap is a config change for the common path: </w:t>
      </w:r>
      <w:r>
        <w:rPr>
          <w:rFonts w:eastAsia="Calibri" w:cs="Calibri" w:ascii="Calibri" w:hAnsi="Calibri"/>
          <w:sz w:val="22"/>
          <w:szCs w:val="22"/>
        </w:rPr>
        <w:t>and an honest escape hatch for everything else — the direct API consequence of ADR-003.</w:t>
      </w:r>
    </w:p>
    <w:p>
      <w:pPr>
        <w:pStyle w:val="ListParagraph"/>
        <w:numPr>
          <w:ilvl w:val="0"/>
          <w:numId w:val="1"/>
        </w:numPr>
        <w:spacing w:lineRule="exact" w:line="290" w:before="0" w:after="120"/>
        <w:rPr/>
      </w:pPr>
      <w:r>
        <w:rPr>
          <w:rFonts w:eastAsia="Calibri" w:cs="Calibri" w:ascii="Calibri" w:hAnsi="Calibri"/>
          <w:b/>
          <w:bCs/>
          <w:sz w:val="22"/>
          <w:szCs w:val="22"/>
        </w:rPr>
        <w:t xml:space="preserve">Testable by construction, not by convention: </w:t>
      </w:r>
      <w:r>
        <w:rPr>
          <w:rFonts w:eastAsia="Calibri" w:cs="Calibri" w:ascii="Calibri" w:hAnsi="Calibri"/>
          <w:sz w:val="22"/>
          <w:szCs w:val="22"/>
        </w:rPr>
        <w:t>the mock provider isn't a bolted-on testing feature; provider injection is how the client is always constructed, so tests use the same code path as production, just with a different provider implementation.</w:t>
      </w:r>
    </w:p>
    <w:p>
      <w:pPr>
        <w:pStyle w:val="Heading2"/>
        <w:spacing w:before="360" w:after="160"/>
        <w:rPr/>
      </w:pPr>
      <w:r>
        <w:rPr>
          <w:rFonts w:eastAsia="Calibri" w:cs="Calibri" w:ascii="Calibri" w:hAnsi="Calibri"/>
          <w:b/>
          <w:bCs/>
          <w:color w:val="2E5395"/>
          <w:sz w:val="26"/>
          <w:szCs w:val="26"/>
        </w:rPr>
        <w:t>15. Illustrative API Shape</w:t>
      </w:r>
    </w:p>
    <w:p>
      <w:pPr>
        <w:pStyle w:val="Normal"/>
        <w:spacing w:lineRule="exact" w:line="300" w:before="0" w:after="200"/>
        <w:rPr/>
      </w:pPr>
      <w:r>
        <w:rPr>
          <w:rFonts w:eastAsia="Calibri" w:cs="Calibri" w:ascii="Calibri" w:hAnsi="Calibri"/>
          <w:sz w:val="22"/>
          <w:szCs w:val="22"/>
        </w:rPr>
        <w:t>Not a committed API — illustrative of the philosophy above, to be refined in the RFC process once real usage against v0.1 exists.</w:t>
      </w:r>
    </w:p>
    <w:p>
      <w:pPr>
        <w:pStyle w:val="Normal"/>
        <w:spacing w:before="0" w:after="80"/>
        <w:rPr/>
      </w:pPr>
      <w:r>
        <w:rPr/>
      </w:r>
    </w:p>
    <w:tbl>
      <w:tblPr>
        <w:tblW w:w="5000" w:type="pct"/>
        <w:jc w:val="left"/>
        <w:tblInd w:w="0" w:type="dxa"/>
        <w:tblLayout w:type="fixed"/>
        <w:tblCellMar>
          <w:top w:w="160" w:type="dxa"/>
          <w:left w:w="200" w:type="dxa"/>
          <w:bottom w:w="160" w:type="dxa"/>
          <w:right w:w="200" w:type="dxa"/>
        </w:tblCellMar>
      </w:tblPr>
      <w:tblGrid>
        <w:gridCol w:w="9540"/>
      </w:tblGrid>
      <w:tr>
        <w:trPr/>
        <w:tc>
          <w:tcPr>
            <w:tcW w:w="9540"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exact" w:line="260" w:before="0" w:after="0"/>
              <w:rPr/>
            </w:pPr>
            <w:r>
              <w:rPr>
                <w:rFonts w:eastAsia="Consolas" w:cs="Consolas" w:ascii="Consolas" w:hAnsi="Consolas"/>
                <w:color w:val="1F1F1F"/>
                <w:sz w:val="19"/>
                <w:szCs w:val="19"/>
              </w:rPr>
              <w:t>// Configuration — provider selection lives in setup data, not code</w:t>
            </w:r>
          </w:p>
          <w:p>
            <w:pPr>
              <w:pStyle w:val="Normal"/>
              <w:spacing w:lineRule="exact" w:line="260" w:before="0" w:after="0"/>
              <w:rPr/>
            </w:pPr>
            <w:r>
              <w:rPr>
                <w:rFonts w:eastAsia="Consolas" w:cs="Consolas" w:ascii="Consolas" w:hAnsi="Consolas"/>
                <w:color w:val="1F1F1F"/>
                <w:sz w:val="19"/>
                <w:szCs w:val="19"/>
              </w:rPr>
              <w:t>var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AIClient: Codeunit "AI Client";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 Record "AI Chat Request";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Response: Record "AI Chat Response";</w:t>
            </w:r>
          </w:p>
          <w:p>
            <w:pPr>
              <w:pStyle w:val="Normal"/>
              <w:spacing w:lineRule="exact" w:line="260" w:before="0" w:after="0"/>
              <w:rPr/>
            </w:pPr>
            <w:r>
              <w:rPr>
                <w:rFonts w:eastAsia="Consolas" w:cs="Consolas" w:ascii="Consolas" w:hAnsi="Consolas"/>
                <w:color w:val="1F1F1F"/>
                <w:sz w:val="19"/>
                <w:szCs w:val="19"/>
              </w:rPr>
              <w:t>begin</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Request.SetPrompt('Summarize this sales order in one sentence.');</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Request.SetContext(SalesHeader);</w:t>
            </w:r>
          </w:p>
          <w:p>
            <w:pPr>
              <w:pStyle w:val="Normal"/>
              <w:spacing w:lineRule="exact" w:line="260" w:before="0" w:after="0"/>
              <w:rPr/>
            </w:pPr>
            <w:r>
              <w:rPr>
                <w:rFonts w:eastAsia="Consolas" w:cs="Consolas" w:ascii="Consolas" w:hAnsi="Consolas"/>
                <w:color w:val="1F1F1F"/>
                <w:sz w:val="19"/>
                <w:szCs w:val="19"/>
              </w:rPr>
              <w:t xml:space="preserve"> </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if AIClient.Send(Request, Response) then</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Message(Response.GetText())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else</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Structured, typed failure — not a generic error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case Response.GetErrorType() of</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Response.GetErrorType()::RateLimited:</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backoff/queue for later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Response.GetErrorType()::AuthenticationFailed:</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surface a config problem, not a transient one</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Response.GetErrorType()::ProviderUnavailable:</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circuit-breaker candidate</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end;</w:t>
            </w:r>
          </w:p>
          <w:p>
            <w:pPr>
              <w:pStyle w:val="Normal"/>
              <w:spacing w:lineRule="exact" w:line="260" w:before="0" w:after="0"/>
              <w:rPr/>
            </w:pPr>
            <w:r>
              <w:rPr>
                <w:rFonts w:eastAsia="Consolas" w:cs="Consolas" w:ascii="Consolas" w:hAnsi="Consolas"/>
                <w:color w:val="1F1F1F"/>
                <w:sz w:val="19"/>
                <w:szCs w:val="19"/>
              </w:rPr>
              <w:t>end;</w:t>
            </w:r>
          </w:p>
        </w:tc>
      </w:tr>
    </w:tbl>
    <w:p>
      <w:pPr>
        <w:pStyle w:val="Normal"/>
        <w:spacing w:before="0" w:after="200"/>
        <w:rPr/>
      </w:pPr>
      <w:r>
        <w:rPr/>
      </w:r>
    </w:p>
    <w:tbl>
      <w:tblPr>
        <w:tblW w:w="5000" w:type="pct"/>
        <w:jc w:val="left"/>
        <w:tblInd w:w="0" w:type="dxa"/>
        <w:tblLayout w:type="fixed"/>
        <w:tblCellMar>
          <w:top w:w="160" w:type="dxa"/>
          <w:left w:w="200" w:type="dxa"/>
          <w:bottom w:w="160" w:type="dxa"/>
          <w:right w:w="200" w:type="dxa"/>
        </w:tblCellMar>
      </w:tblPr>
      <w:tblGrid>
        <w:gridCol w:w="9540"/>
      </w:tblGrid>
      <w:tr>
        <w:trPr/>
        <w:tc>
          <w:tcPr>
            <w:tcW w:w="9540"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exact" w:line="260" w:before="0" w:after="0"/>
              <w:rPr/>
            </w:pPr>
            <w:r>
              <w:rPr>
                <w:rFonts w:eastAsia="Consolas" w:cs="Consolas" w:ascii="Consolas" w:hAnsi="Consolas"/>
                <w:color w:val="1F1F1F"/>
                <w:sz w:val="19"/>
                <w:szCs w:val="19"/>
              </w:rPr>
              <w:t>// Structured output — the differentiating feature</w:t>
            </w:r>
          </w:p>
          <w:p>
            <w:pPr>
              <w:pStyle w:val="Normal"/>
              <w:spacing w:lineRule="exact" w:line="260" w:before="0" w:after="0"/>
              <w:rPr/>
            </w:pPr>
            <w:r>
              <w:rPr>
                <w:rFonts w:eastAsia="Consolas" w:cs="Consolas" w:ascii="Consolas" w:hAnsi="Consolas"/>
                <w:color w:val="1F1F1F"/>
                <w:sz w:val="19"/>
                <w:szCs w:val="19"/>
              </w:rPr>
              <w:t>var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AIClient: Codeunit "AI Client";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 Record "AI Chat Request";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CustomerInsight: Record "Customer Insight Buffer" temporary;</w:t>
            </w:r>
          </w:p>
          <w:p>
            <w:pPr>
              <w:pStyle w:val="Normal"/>
              <w:spacing w:lineRule="exact" w:line="260" w:before="0" w:after="0"/>
              <w:rPr/>
            </w:pPr>
            <w:r>
              <w:rPr>
                <w:rFonts w:eastAsia="Consolas" w:cs="Consolas" w:ascii="Consolas" w:hAnsi="Consolas"/>
                <w:color w:val="1F1F1F"/>
                <w:sz w:val="19"/>
                <w:szCs w:val="19"/>
              </w:rPr>
              <w:t>begin</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Request.SetPrompt('Extract sentiment and key topics from this feedback: ' + FeedbackText);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Request.SetResponseSchema(Database::"Customer Insight Buffer");</w:t>
            </w:r>
          </w:p>
          <w:p>
            <w:pPr>
              <w:pStyle w:val="Normal"/>
              <w:spacing w:lineRule="exact" w:line="260" w:before="0" w:after="0"/>
              <w:rPr/>
            </w:pPr>
            <w:r>
              <w:rPr>
                <w:rFonts w:eastAsia="Consolas" w:cs="Consolas" w:ascii="Consolas" w:hAnsi="Consolas"/>
                <w:color w:val="1F1F1F"/>
                <w:sz w:val="19"/>
                <w:szCs w:val="19"/>
              </w:rPr>
              <w:t xml:space="preserve"> </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if AIClient.SendStructured(Request, CustomerInsight) then</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CustomerInsight fields are populated directly — no manual JSON traversal</w:t>
            </w:r>
          </w:p>
          <w:p>
            <w:pPr>
              <w:pStyle w:val="Normal"/>
              <w:spacing w:lineRule="exact" w:line="260" w:before="0" w:after="0"/>
              <w:rPr/>
            </w:pPr>
            <w:r>
              <w:rPr>
                <w:rFonts w:eastAsia="Consolas" w:cs="Consolas" w:ascii="Consolas" w:hAnsi="Consolas"/>
                <w:color w:val="1F1F1F"/>
                <w:sz w:val="19"/>
                <w:szCs w:val="19"/>
              </w:rPr>
              <w:t>end;</w:t>
            </w:r>
          </w:p>
        </w:tc>
      </w:tr>
    </w:tbl>
    <w:p>
      <w:pPr>
        <w:pStyle w:val="Normal"/>
        <w:spacing w:before="0" w:after="200"/>
        <w:rPr/>
      </w:pPr>
      <w:r>
        <w:rPr/>
      </w:r>
    </w:p>
    <w:tbl>
      <w:tblPr>
        <w:tblW w:w="5000" w:type="pct"/>
        <w:jc w:val="left"/>
        <w:tblInd w:w="0" w:type="dxa"/>
        <w:tblLayout w:type="fixed"/>
        <w:tblCellMar>
          <w:top w:w="160" w:type="dxa"/>
          <w:left w:w="200" w:type="dxa"/>
          <w:bottom w:w="160" w:type="dxa"/>
          <w:right w:w="200" w:type="dxa"/>
        </w:tblCellMar>
      </w:tblPr>
      <w:tblGrid>
        <w:gridCol w:w="9540"/>
      </w:tblGrid>
      <w:tr>
        <w:trPr/>
        <w:tc>
          <w:tcPr>
            <w:tcW w:w="9540"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exact" w:line="260" w:before="0" w:after="0"/>
              <w:rPr/>
            </w:pPr>
            <w:r>
              <w:rPr>
                <w:rFonts w:eastAsia="Consolas" w:cs="Consolas" w:ascii="Consolas" w:hAnsi="Consolas"/>
                <w:color w:val="1F1F1F"/>
                <w:sz w:val="19"/>
                <w:szCs w:val="19"/>
              </w:rPr>
              <w:t>// Testing — mock provider is the same interface, not a special case</w:t>
            </w:r>
          </w:p>
          <w:p>
            <w:pPr>
              <w:pStyle w:val="Normal"/>
              <w:spacing w:lineRule="exact" w:line="260" w:before="0" w:after="0"/>
              <w:rPr/>
            </w:pPr>
            <w:r>
              <w:rPr>
                <w:rFonts w:eastAsia="Consolas" w:cs="Consolas" w:ascii="Consolas" w:hAnsi="Consolas"/>
                <w:color w:val="1F1F1F"/>
                <w:sz w:val="19"/>
                <w:szCs w:val="19"/>
              </w:rPr>
              <w:t>var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AIClient: Codeunit "AI Client";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MockProvider: Codeunit "AI Mock Provider";</w:t>
            </w:r>
          </w:p>
          <w:p>
            <w:pPr>
              <w:pStyle w:val="Normal"/>
              <w:spacing w:lineRule="exact" w:line="260" w:before="0" w:after="0"/>
              <w:rPr/>
            </w:pPr>
            <w:r>
              <w:rPr>
                <w:rFonts w:eastAsia="Consolas" w:cs="Consolas" w:ascii="Consolas" w:hAnsi="Consolas"/>
                <w:color w:val="1F1F1F"/>
                <w:sz w:val="19"/>
                <w:szCs w:val="19"/>
              </w:rPr>
              <w:t>begin</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MockProvider.SetNextResponse('{"sentiment": "positive", "topics": ["pricing", "support"]}');</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AIClient.SetProvider(MockProvider);</w:t>
            </w:r>
          </w:p>
          <w:p>
            <w:pPr>
              <w:pStyle w:val="Normal"/>
              <w:spacing w:lineRule="exact" w:line="260" w:before="0" w:after="0"/>
              <w:rPr/>
            </w:pPr>
            <w:r>
              <w:rPr>
                <w:rFonts w:eastAsia="Consolas" w:cs="Consolas" w:ascii="Consolas" w:hAnsi="Consolas"/>
                <w:color w:val="1F1F1F"/>
                <w:sz w:val="19"/>
                <w:szCs w:val="19"/>
              </w:rPr>
              <w:t xml:space="preserve">    </w:t>
            </w:r>
            <w:r>
              <w:rPr>
                <w:rFonts w:eastAsia="Consolas" w:cs="Consolas" w:ascii="Consolas" w:hAnsi="Consolas"/>
                <w:color w:val="1F1F1F"/>
                <w:sz w:val="19"/>
                <w:szCs w:val="19"/>
              </w:rPr>
              <w:t>// ...exercise the code under test; no network call occurs, no live API key needed</w:t>
            </w:r>
          </w:p>
          <w:p>
            <w:pPr>
              <w:pStyle w:val="Normal"/>
              <w:spacing w:lineRule="exact" w:line="260" w:before="0" w:after="0"/>
              <w:rPr/>
            </w:pPr>
            <w:r>
              <w:rPr>
                <w:rFonts w:eastAsia="Consolas" w:cs="Consolas" w:ascii="Consolas" w:hAnsi="Consolas"/>
                <w:color w:val="1F1F1F"/>
                <w:sz w:val="19"/>
                <w:szCs w:val="19"/>
              </w:rPr>
              <w:t>end;</w:t>
            </w:r>
          </w:p>
        </w:tc>
      </w:tr>
    </w:tbl>
    <w:p>
      <w:pPr>
        <w:pStyle w:val="Normal"/>
        <w:spacing w:before="0" w:after="240"/>
        <w:rPr/>
      </w:pPr>
      <w:r>
        <w:rPr/>
      </w:r>
    </w:p>
    <w:p>
      <w:pPr>
        <w:pStyle w:val="Heading2"/>
        <w:spacing w:before="360" w:after="160"/>
        <w:rPr/>
      </w:pPr>
      <w:r>
        <w:rPr>
          <w:rFonts w:eastAsia="Calibri" w:cs="Calibri" w:ascii="Calibri" w:hAnsi="Calibri"/>
          <w:b/>
          <w:bCs/>
          <w:color w:val="2E5395"/>
          <w:sz w:val="26"/>
          <w:szCs w:val="26"/>
        </w:rPr>
        <w:t>16. Module Breakdown</w:t>
      </w:r>
    </w:p>
    <w:tbl>
      <w:tblPr>
        <w:tblW w:w="9350" w:type="dxa"/>
        <w:jc w:val="left"/>
        <w:tblInd w:w="0" w:type="dxa"/>
        <w:tblLayout w:type="fixed"/>
        <w:tblCellMar>
          <w:top w:w="100" w:type="dxa"/>
          <w:left w:w="120" w:type="dxa"/>
          <w:bottom w:w="100" w:type="dxa"/>
          <w:right w:w="120" w:type="dxa"/>
        </w:tblCellMar>
      </w:tblPr>
      <w:tblGrid>
        <w:gridCol w:w="2400"/>
        <w:gridCol w:w="5299"/>
        <w:gridCol w:w="1651"/>
      </w:tblGrid>
      <w:tr>
        <w:trPr>
          <w:tblHeader w:val="true"/>
        </w:trPr>
        <w:tc>
          <w:tcPr>
            <w:tcW w:w="24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Module</w:t>
            </w:r>
          </w:p>
        </w:tc>
        <w:tc>
          <w:tcPr>
            <w:tcW w:w="52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Responsibility</w:t>
            </w:r>
          </w:p>
        </w:tc>
        <w:tc>
          <w:tcPr>
            <w:tcW w:w="165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r>
      <w:tr>
        <w:trPr/>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AI Client</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Public entry point; orchestrates provider calls, retries, telemetry emission</w:t>
            </w:r>
          </w:p>
        </w:tc>
        <w:tc>
          <w:tcPr>
            <w:tcW w:w="165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Provider Abstraction</w:t>
            </w:r>
          </w:p>
        </w:tc>
        <w:tc>
          <w:tcPr>
            <w:tcW w:w="529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IAIProvider interface and the common request/response contract (ADR-003)</w:t>
            </w:r>
          </w:p>
        </w:tc>
        <w:tc>
          <w:tcPr>
            <w:tcW w:w="1651"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Provider Adapters</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Per-provider implementations (Azure OpenAI, OpenAI, Anthropic, etc.)</w:t>
            </w:r>
          </w:p>
        </w:tc>
        <w:tc>
          <w:tcPr>
            <w:tcW w:w="165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Core / Community</w:t>
            </w:r>
          </w:p>
        </w:tc>
      </w:tr>
      <w:tr>
        <w:trPr/>
        <w:tc>
          <w:tcPr>
            <w:tcW w:w="24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Configuration</w:t>
            </w:r>
          </w:p>
        </w:tc>
        <w:tc>
          <w:tcPr>
            <w:tcW w:w="529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Setup tables, per-company/environment provider selection, Isolated Storage</w:t>
            </w:r>
          </w:p>
        </w:tc>
        <w:tc>
          <w:tcPr>
            <w:tcW w:w="1651"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Secret Handling</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SecretText-wrapped key storage, Key Vault integration hooks</w:t>
            </w:r>
          </w:p>
        </w:tc>
        <w:tc>
          <w:tcPr>
            <w:tcW w:w="165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Structured Output</w:t>
            </w:r>
          </w:p>
        </w:tc>
        <w:tc>
          <w:tcPr>
            <w:tcW w:w="529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Schema-to-prompt translation, native JSON routing, validation/retry (ADR-007)</w:t>
            </w:r>
          </w:p>
        </w:tc>
        <w:tc>
          <w:tcPr>
            <w:tcW w:w="1651"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Retry Policies</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Configurable backoff strategies, circuit breaker (ADR-006)</w:t>
            </w:r>
          </w:p>
        </w:tc>
        <w:tc>
          <w:tcPr>
            <w:tcW w:w="165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Mock Provider</w:t>
            </w:r>
          </w:p>
        </w:tc>
        <w:tc>
          <w:tcPr>
            <w:tcW w:w="529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In-memory fake implementing IAIProvider for testing</w:t>
            </w:r>
          </w:p>
        </w:tc>
        <w:tc>
          <w:tcPr>
            <w:tcW w:w="1651"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Telemetry</w:t>
            </w:r>
          </w:p>
        </w:tc>
        <w:tc>
          <w:tcPr>
            <w:tcW w:w="5299"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OTel GenAI span emission, bc.* custom attributes (ADR-005)</w:t>
            </w:r>
          </w:p>
        </w:tc>
        <w:tc>
          <w:tcPr>
            <w:tcW w:w="1651"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exact" w:line="260"/>
              <w:rPr/>
            </w:pPr>
            <w:r>
              <w:rPr>
                <w:rFonts w:eastAsia="Calibri" w:cs="Calibri" w:ascii="Calibri" w:hAnsi="Calibri"/>
                <w:sz w:val="20"/>
                <w:szCs w:val="20"/>
              </w:rPr>
              <w:t>Core</w:t>
            </w:r>
          </w:p>
        </w:tc>
      </w:tr>
      <w:tr>
        <w:trPr/>
        <w:tc>
          <w:tcPr>
            <w:tcW w:w="2400"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Examples</w:t>
            </w:r>
          </w:p>
        </w:tc>
        <w:tc>
          <w:tcPr>
            <w:tcW w:w="5299"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Reference codeunits demonstrating each module against a sample scenario</w:t>
            </w:r>
          </w:p>
        </w:tc>
        <w:tc>
          <w:tcPr>
            <w:tcW w:w="1651" w:type="dxa"/>
            <w:tcBorders>
              <w:top w:val="single" w:sz="4" w:space="0" w:color="000000"/>
              <w:left w:val="single" w:sz="4" w:space="0" w:color="000000"/>
              <w:bottom w:val="single" w:sz="4" w:space="0" w:color="000000"/>
              <w:right w:val="single" w:sz="4" w:space="0" w:color="000000"/>
            </w:tcBorders>
            <w:shd w:fill="F2F6FC" w:val="clear"/>
          </w:tcPr>
          <w:p>
            <w:pPr>
              <w:pStyle w:val="Normal"/>
              <w:spacing w:lineRule="exact" w:line="260"/>
              <w:rPr/>
            </w:pPr>
            <w:r>
              <w:rPr>
                <w:rFonts w:eastAsia="Calibri" w:cs="Calibri" w:ascii="Calibri" w:hAnsi="Calibri"/>
                <w:sz w:val="20"/>
                <w:szCs w:val="20"/>
              </w:rPr>
              <w:t>Docs/Community</w:t>
            </w:r>
          </w:p>
        </w:tc>
      </w:tr>
    </w:tbl>
    <w:p>
      <w:pPr>
        <w:pStyle w:val="Heading2"/>
        <w:spacing w:before="360" w:after="160"/>
        <w:rPr/>
      </w:pPr>
      <w:r>
        <w:rPr>
          <w:rFonts w:eastAsia="Calibri" w:cs="Calibri" w:ascii="Calibri" w:hAnsi="Calibri"/>
          <w:b/>
          <w:bCs/>
          <w:color w:val="2E5395"/>
          <w:sz w:val="26"/>
          <w:szCs w:val="26"/>
        </w:rPr>
        <w:t>17. Extension Model</w:t>
      </w:r>
    </w:p>
    <w:p>
      <w:pPr>
        <w:pStyle w:val="Normal"/>
        <w:spacing w:lineRule="exact" w:line="300" w:before="0" w:after="200"/>
        <w:rPr/>
      </w:pPr>
      <w:r>
        <w:rPr>
          <w:rFonts w:eastAsia="Calibri" w:cs="Calibri" w:ascii="Calibri" w:hAnsi="Calibri"/>
          <w:sz w:val="22"/>
          <w:szCs w:val="22"/>
        </w:rPr>
        <w:t>Three deliberately distinct extension points, kept separate so that extending one doesn't require understanding the others:</w:t>
      </w:r>
    </w:p>
    <w:p>
      <w:pPr>
        <w:pStyle w:val="ListParagraph"/>
        <w:numPr>
          <w:ilvl w:val="0"/>
          <w:numId w:val="1"/>
        </w:numPr>
        <w:spacing w:lineRule="exact" w:line="290" w:before="0" w:after="120"/>
        <w:rPr/>
      </w:pPr>
      <w:r>
        <w:rPr>
          <w:rFonts w:eastAsia="Calibri" w:cs="Calibri" w:ascii="Calibri" w:hAnsi="Calibri"/>
          <w:b/>
          <w:bCs/>
          <w:sz w:val="22"/>
          <w:szCs w:val="22"/>
        </w:rPr>
        <w:t xml:space="preserve">New provider adapters: </w:t>
      </w:r>
      <w:r>
        <w:rPr>
          <w:rFonts w:eastAsia="Calibri" w:cs="Calibri" w:ascii="Calibri" w:hAnsi="Calibri"/>
          <w:sz w:val="22"/>
          <w:szCs w:val="22"/>
        </w:rPr>
        <w:t>implement IAIProvider. This is the primary community extension point and should have the lowest contribution barrier (Section 12).</w:t>
      </w:r>
    </w:p>
    <w:p>
      <w:pPr>
        <w:pStyle w:val="ListParagraph"/>
        <w:numPr>
          <w:ilvl w:val="0"/>
          <w:numId w:val="1"/>
        </w:numPr>
        <w:spacing w:lineRule="exact" w:line="290" w:before="0" w:after="120"/>
        <w:rPr/>
      </w:pPr>
      <w:r>
        <w:rPr>
          <w:rFonts w:eastAsia="Calibri" w:cs="Calibri" w:ascii="Calibri" w:hAnsi="Calibri"/>
          <w:b/>
          <w:bCs/>
          <w:sz w:val="22"/>
          <w:szCs w:val="22"/>
        </w:rPr>
        <w:t xml:space="preserve">Custom retry/circuit-breaker strategies: </w:t>
      </w:r>
      <w:r>
        <w:rPr>
          <w:rFonts w:eastAsia="Calibri" w:cs="Calibri" w:ascii="Calibri" w:hAnsi="Calibri"/>
          <w:sz w:val="22"/>
          <w:szCs w:val="22"/>
        </w:rPr>
        <w:t>implement an IRetryPolicy interface, for teams with specific SLA or cost requirements the built-in policies don't cover.</w:t>
      </w:r>
    </w:p>
    <w:p>
      <w:pPr>
        <w:pStyle w:val="ListParagraph"/>
        <w:numPr>
          <w:ilvl w:val="0"/>
          <w:numId w:val="1"/>
        </w:numPr>
        <w:spacing w:lineRule="exact" w:line="290" w:before="0" w:after="120"/>
        <w:rPr/>
      </w:pPr>
      <w:r>
        <w:rPr>
          <w:rFonts w:eastAsia="Calibri" w:cs="Calibri" w:ascii="Calibri" w:hAnsi="Calibri"/>
          <w:b/>
          <w:bCs/>
          <w:sz w:val="22"/>
          <w:szCs w:val="22"/>
        </w:rPr>
        <w:t xml:space="preserve">Structured output schema sources: </w:t>
      </w:r>
      <w:r>
        <w:rPr>
          <w:rFonts w:eastAsia="Calibri" w:cs="Calibri" w:ascii="Calibri" w:hAnsi="Calibri"/>
          <w:sz w:val="22"/>
          <w:szCs w:val="22"/>
        </w:rPr>
        <w:t>beyond AL record/table-based schemas, allow JSON Schema passed directly for output shapes that don't map cleanly to a BC table.</w:t>
      </w:r>
    </w:p>
    <w:p>
      <w:pPr>
        <w:pStyle w:val="Normal"/>
        <w:spacing w:lineRule="exact" w:line="300" w:before="0" w:after="200"/>
        <w:rPr/>
      </w:pPr>
      <w:r>
        <w:rPr>
          <w:rFonts w:eastAsia="Calibri" w:cs="Calibri" w:ascii="Calibri" w:hAnsi="Calibri"/>
          <w:sz w:val="22"/>
          <w:szCs w:val="22"/>
        </w:rPr>
        <w:t>Explicitly not an extension point in v1: the telemetry schema itself. Allowing arbitrary customization of the emitted span shape would undermine the point of standardizing on OTel GenAI conventions in ADR-005 — custom attributes are supported (the bc.* namespace is designed for this), but the core span structure is not user-overridable, the same way OpenInference's core conventions aren't meant to be replaced project-by-project in the AL Agent Observability project either.</w:t>
      </w:r>
    </w:p>
    <w:p>
      <w:pPr>
        <w:pStyle w:val="Normal"/>
        <w:rPr/>
      </w:pPr>
      <w:r>
        <w:rPr/>
      </w:r>
      <w:r>
        <w:br w:type="page"/>
      </w:r>
    </w:p>
    <w:p>
      <w:pPr>
        <w:pStyle w:val="Heading1"/>
        <w:pBdr>
          <w:bottom w:val="single" w:sz="6" w:space="4" w:color="BFBFBF"/>
        </w:pBdr>
        <w:spacing w:before="0" w:after="240"/>
        <w:rPr/>
      </w:pPr>
      <w:r>
        <w:rPr>
          <w:rFonts w:eastAsia="Calibri" w:cs="Calibri" w:ascii="Calibri" w:hAnsi="Calibri"/>
          <w:b/>
          <w:bCs/>
          <w:color w:val="1F3864"/>
          <w:sz w:val="32"/>
          <w:szCs w:val="32"/>
        </w:rPr>
        <w:t>Part V — Implementation Milestones</w:t>
      </w:r>
    </w:p>
    <w:p>
      <w:pPr>
        <w:pStyle w:val="Normal"/>
        <w:spacing w:lineRule="exact" w:line="300" w:before="0" w:after="200"/>
        <w:rPr/>
      </w:pPr>
      <w:r>
        <w:rPr>
          <w:rFonts w:eastAsia="Calibri" w:cs="Calibri" w:ascii="Calibri" w:hAnsi="Calibri"/>
          <w:sz w:val="22"/>
          <w:szCs w:val="22"/>
        </w:rPr>
        <w:t>Concrete, checkable deliverables mapped to the roadmap phases in Section 9. Each milestone is scoped to be independently mergeable and demoable — no milestone should require a later one to be useful.</w:t>
      </w:r>
    </w:p>
    <w:p>
      <w:pPr>
        <w:pStyle w:val="Heading3"/>
        <w:spacing w:before="260" w:after="120"/>
        <w:rPr/>
      </w:pPr>
      <w:r>
        <w:rPr>
          <w:rFonts w:eastAsia="Calibri" w:cs="Calibri" w:ascii="Calibri" w:hAnsi="Calibri"/>
          <w:b/>
          <w:bCs/>
          <w:color w:val="333333"/>
          <w:sz w:val="23"/>
          <w:szCs w:val="23"/>
        </w:rPr>
        <w:t>M1 — Repo scaffolding &amp; governance docs (pre-code)</w:t>
      </w:r>
    </w:p>
    <w:p>
      <w:pPr>
        <w:pStyle w:val="Normal"/>
        <w:spacing w:lineRule="exact" w:line="300" w:before="0" w:after="200"/>
        <w:rPr/>
      </w:pPr>
      <w:r>
        <w:rPr>
          <w:rFonts w:eastAsia="Calibri" w:cs="Calibri" w:ascii="Calibri" w:hAnsi="Calibri"/>
          <w:sz w:val="22"/>
          <w:szCs w:val="22"/>
        </w:rPr>
        <w:t>License, CONTRIBUTING.md, CODE_OF_CONDUCT.md, initial governance doc (Part III), RFC template, issue templates distinguishing “provider request” from “core change” from “bug.”</w:t>
      </w:r>
    </w:p>
    <w:p>
      <w:pPr>
        <w:pStyle w:val="Heading3"/>
        <w:spacing w:before="260" w:after="120"/>
        <w:rPr/>
      </w:pPr>
      <w:r>
        <w:rPr>
          <w:rFonts w:eastAsia="Calibri" w:cs="Calibri" w:ascii="Calibri" w:hAnsi="Calibri"/>
          <w:b/>
          <w:bCs/>
          <w:color w:val="333333"/>
          <w:sz w:val="23"/>
          <w:szCs w:val="23"/>
        </w:rPr>
        <w:t>M2 — Core interfaces (no working provider yet)</w:t>
      </w:r>
    </w:p>
    <w:p>
      <w:pPr>
        <w:pStyle w:val="Normal"/>
        <w:spacing w:lineRule="exact" w:line="300" w:before="0" w:after="200"/>
        <w:rPr/>
      </w:pPr>
      <w:r>
        <w:rPr>
          <w:rFonts w:eastAsia="Calibri" w:cs="Calibri" w:ascii="Calibri" w:hAnsi="Calibri"/>
          <w:sz w:val="22"/>
          <w:szCs w:val="22"/>
        </w:rPr>
        <w:t>IAIProvider interface, request/response record shapes, error type taxonomy. Reviewed and stabilized before the first real provider adapter is built against it, specifically to avoid designing the interface around one provider's quirks (a known failure mode per ADR-003).</w:t>
      </w:r>
    </w:p>
    <w:p>
      <w:pPr>
        <w:pStyle w:val="Heading3"/>
        <w:spacing w:before="260" w:after="120"/>
        <w:rPr/>
      </w:pPr>
      <w:r>
        <w:rPr>
          <w:rFonts w:eastAsia="Calibri" w:cs="Calibri" w:ascii="Calibri" w:hAnsi="Calibri"/>
          <w:b/>
          <w:bCs/>
          <w:color w:val="333333"/>
          <w:sz w:val="23"/>
          <w:szCs w:val="23"/>
        </w:rPr>
        <w:t>M3 — Mock provider + test harness</w:t>
      </w:r>
    </w:p>
    <w:p>
      <w:pPr>
        <w:pStyle w:val="Normal"/>
        <w:spacing w:lineRule="exact" w:line="300" w:before="0" w:after="200"/>
        <w:rPr/>
      </w:pPr>
      <w:r>
        <w:rPr>
          <w:rFonts w:eastAsia="Calibri" w:cs="Calibri" w:ascii="Calibri" w:hAnsi="Calibri"/>
          <w:sz w:val="22"/>
          <w:szCs w:val="22"/>
        </w:rPr>
        <w:t>Built before the first live provider, not after — this forces the core client API to be provider-agnostic from the first real usage, and gives contributors a way to write tests for M4+ without needing API keys.</w:t>
      </w:r>
    </w:p>
    <w:p>
      <w:pPr>
        <w:pStyle w:val="Heading3"/>
        <w:spacing w:before="260" w:after="120"/>
        <w:rPr/>
      </w:pPr>
      <w:r>
        <w:rPr>
          <w:rFonts w:eastAsia="Calibri" w:cs="Calibri" w:ascii="Calibri" w:hAnsi="Calibri"/>
          <w:b/>
          <w:bCs/>
          <w:color w:val="333333"/>
          <w:sz w:val="23"/>
          <w:szCs w:val="23"/>
        </w:rPr>
        <w:t>M4 — Azure OpenAI adapter (first live provider)</w:t>
      </w:r>
    </w:p>
    <w:p>
      <w:pPr>
        <w:pStyle w:val="Normal"/>
        <w:spacing w:lineRule="exact" w:line="300" w:before="0" w:after="200"/>
        <w:rPr/>
      </w:pPr>
      <w:r>
        <w:rPr>
          <w:rFonts w:eastAsia="Calibri" w:cs="Calibri" w:ascii="Calibri" w:hAnsi="Calibri"/>
          <w:sz w:val="22"/>
          <w:szCs w:val="22"/>
        </w:rPr>
        <w:t>End-to-end working call: config → client → provider → response, with basic telemetry emission. The “does the whole shape actually work” milestone.</w:t>
      </w:r>
    </w:p>
    <w:p>
      <w:pPr>
        <w:pStyle w:val="Heading3"/>
        <w:spacing w:before="260" w:after="120"/>
        <w:rPr/>
      </w:pPr>
      <w:r>
        <w:rPr>
          <w:rFonts w:eastAsia="Calibri" w:cs="Calibri" w:ascii="Calibri" w:hAnsi="Calibri"/>
          <w:b/>
          <w:bCs/>
          <w:color w:val="333333"/>
          <w:sz w:val="23"/>
          <w:szCs w:val="23"/>
        </w:rPr>
        <w:t>M5 — Structured output v1 (single provider, native JSON mode only)</w:t>
      </w:r>
    </w:p>
    <w:p>
      <w:pPr>
        <w:pStyle w:val="Normal"/>
        <w:spacing w:lineRule="exact" w:line="300" w:before="0" w:after="200"/>
        <w:rPr/>
      </w:pPr>
      <w:r>
        <w:rPr>
          <w:rFonts w:eastAsia="Calibri" w:cs="Calibri" w:ascii="Calibri" w:hAnsi="Calibri"/>
          <w:sz w:val="22"/>
          <w:szCs w:val="22"/>
        </w:rPr>
        <w:t>Deliberately deferring the fallback/retry path (full ADR-007 scope) to M9, to ship the easy 80% early and validate the AL record-schema mapping approach against real usage first.</w:t>
      </w:r>
    </w:p>
    <w:p>
      <w:pPr>
        <w:pStyle w:val="Heading3"/>
        <w:spacing w:before="260" w:after="120"/>
        <w:rPr/>
      </w:pPr>
      <w:r>
        <w:rPr>
          <w:rFonts w:eastAsia="Calibri" w:cs="Calibri" w:ascii="Calibri" w:hAnsi="Calibri"/>
          <w:b/>
          <w:bCs/>
          <w:color w:val="333333"/>
          <w:sz w:val="23"/>
          <w:szCs w:val="23"/>
        </w:rPr>
        <w:t>M6 — OpenAI + Anthropic adapters (abstraction stress test)</w:t>
      </w:r>
    </w:p>
    <w:p>
      <w:pPr>
        <w:pStyle w:val="Normal"/>
        <w:spacing w:lineRule="exact" w:line="300" w:before="0" w:after="200"/>
        <w:rPr/>
      </w:pPr>
      <w:r>
        <w:rPr>
          <w:rFonts w:eastAsia="Calibri" w:cs="Calibri" w:ascii="Calibri" w:hAnsi="Calibri"/>
          <w:sz w:val="22"/>
          <w:szCs w:val="22"/>
        </w:rPr>
        <w:t>This is the milestone that validates or invalidates the M2 interface design, per the reasoning in Section 9's v0.2 phase. Budget time for interface revision here, not just adapter-writing.</w:t>
      </w:r>
    </w:p>
    <w:p>
      <w:pPr>
        <w:pStyle w:val="Heading3"/>
        <w:spacing w:before="260" w:after="120"/>
        <w:rPr/>
      </w:pPr>
      <w:r>
        <w:rPr>
          <w:rFonts w:eastAsia="Calibri" w:cs="Calibri" w:ascii="Calibri" w:hAnsi="Calibri"/>
          <w:b/>
          <w:bCs/>
          <w:color w:val="333333"/>
          <w:sz w:val="23"/>
          <w:szCs w:val="23"/>
        </w:rPr>
        <w:t>M7 — Retry policies + circuit breaker</w:t>
      </w:r>
    </w:p>
    <w:p>
      <w:pPr>
        <w:pStyle w:val="Normal"/>
        <w:spacing w:lineRule="exact" w:line="300" w:before="0" w:after="200"/>
        <w:rPr/>
      </w:pPr>
      <w:r>
        <w:rPr>
          <w:rFonts w:eastAsia="Calibri" w:cs="Calibri" w:ascii="Calibri" w:hAnsi="Calibri"/>
          <w:sz w:val="22"/>
          <w:szCs w:val="22"/>
        </w:rPr>
        <w:t>Configurable backoff, structured error-driven retry decisions, opt-in cost caps (ADR-006).</w:t>
      </w:r>
    </w:p>
    <w:p>
      <w:pPr>
        <w:pStyle w:val="Heading3"/>
        <w:spacing w:before="260" w:after="120"/>
        <w:rPr/>
      </w:pPr>
      <w:r>
        <w:rPr>
          <w:rFonts w:eastAsia="Calibri" w:cs="Calibri" w:ascii="Calibri" w:hAnsi="Calibri"/>
          <w:b/>
          <w:bCs/>
          <w:color w:val="333333"/>
          <w:sz w:val="23"/>
          <w:szCs w:val="23"/>
        </w:rPr>
        <w:t>M8 — Telemetry v1</w:t>
      </w:r>
    </w:p>
    <w:p>
      <w:pPr>
        <w:pStyle w:val="Normal"/>
        <w:spacing w:lineRule="exact" w:line="300" w:before="0" w:after="200"/>
        <w:rPr/>
      </w:pPr>
      <w:r>
        <w:rPr>
          <w:rFonts w:eastAsia="Calibri" w:cs="Calibri" w:ascii="Calibri" w:hAnsi="Calibri"/>
          <w:sz w:val="22"/>
          <w:szCs w:val="22"/>
        </w:rPr>
        <w:t>Full OTel GenAI span emission across all Tier 1 providers, bc.* attribute namespace finalized.</w:t>
      </w:r>
    </w:p>
    <w:p>
      <w:pPr>
        <w:pStyle w:val="Heading3"/>
        <w:spacing w:before="260" w:after="120"/>
        <w:rPr/>
      </w:pPr>
      <w:r>
        <w:rPr>
          <w:rFonts w:eastAsia="Calibri" w:cs="Calibri" w:ascii="Calibri" w:hAnsi="Calibri"/>
          <w:b/>
          <w:bCs/>
          <w:color w:val="333333"/>
          <w:sz w:val="23"/>
          <w:szCs w:val="23"/>
        </w:rPr>
        <w:t>M9 — Structured output v2 (fallback + validation-retry path)</w:t>
      </w:r>
    </w:p>
    <w:p>
      <w:pPr>
        <w:pStyle w:val="Normal"/>
        <w:spacing w:lineRule="exact" w:line="300" w:before="0" w:after="200"/>
        <w:rPr/>
      </w:pPr>
      <w:r>
        <w:rPr>
          <w:rFonts w:eastAsia="Calibri" w:cs="Calibri" w:ascii="Calibri" w:hAnsi="Calibri"/>
          <w:sz w:val="22"/>
          <w:szCs w:val="22"/>
        </w:rPr>
        <w:t>Extends M5 to Tier 2/3 providers lacking native JSON mode, per ADR-007's full scope.</w:t>
      </w:r>
    </w:p>
    <w:p>
      <w:pPr>
        <w:pStyle w:val="Heading3"/>
        <w:spacing w:before="260" w:after="120"/>
        <w:rPr/>
      </w:pPr>
      <w:r>
        <w:rPr>
          <w:rFonts w:eastAsia="Calibri" w:cs="Calibri" w:ascii="Calibri" w:hAnsi="Calibri"/>
          <w:b/>
          <w:bCs/>
          <w:color w:val="333333"/>
          <w:sz w:val="23"/>
          <w:szCs w:val="23"/>
        </w:rPr>
        <w:t>M10 — v1.0 release candidate</w:t>
      </w:r>
    </w:p>
    <w:p>
      <w:pPr>
        <w:pStyle w:val="Normal"/>
        <w:spacing w:lineRule="exact" w:line="300" w:before="0" w:after="200"/>
        <w:rPr/>
      </w:pPr>
      <w:r>
        <w:rPr>
          <w:rFonts w:eastAsia="Calibri" w:cs="Calibri" w:ascii="Calibri" w:hAnsi="Calibri"/>
          <w:sz w:val="22"/>
          <w:szCs w:val="22"/>
        </w:rPr>
        <w:t>API freeze, semver commitment begins, migration/deprecation policy (Section 12) takes effect from this point forward. Public documentation site, complete example gallery covering each module.</w:t>
      </w:r>
    </w:p>
    <w:p>
      <w:pPr>
        <w:pStyle w:val="Heading3"/>
        <w:spacing w:before="260" w:after="120"/>
        <w:rPr/>
      </w:pPr>
      <w:r>
        <w:rPr>
          <w:rFonts w:eastAsia="Calibri" w:cs="Calibri" w:ascii="Calibri" w:hAnsi="Calibri"/>
          <w:b/>
          <w:bCs/>
          <w:color w:val="333333"/>
          <w:sz w:val="23"/>
          <w:szCs w:val="23"/>
        </w:rPr>
        <w:t>Post-M10</w:t>
      </w:r>
    </w:p>
    <w:p>
      <w:pPr>
        <w:pStyle w:val="Normal"/>
        <w:spacing w:lineRule="exact" w:line="300" w:before="0" w:after="200"/>
        <w:rPr/>
      </w:pPr>
      <w:r>
        <w:rPr>
          <w:rFonts w:eastAsia="Calibri" w:cs="Calibri" w:ascii="Calibri" w:hAnsi="Calibri"/>
          <w:sz w:val="22"/>
          <w:szCs w:val="22"/>
        </w:rPr>
        <w:t>Governance Phase 2 evaluation (Section 11), remaining Tier 2/3 providers, streaming, embeddings — sequenced by actual community demand observed after v1.0 rather than pre-committed here, consistent with Section 9's treatment of post-v1 scope as candidates rather than commitments.</w:t>
      </w:r>
    </w:p>
    <w:p>
      <w:pPr>
        <w:pStyle w:val="Normal"/>
        <w:spacing w:before="0" w:after="400"/>
        <w:rPr/>
      </w:pPr>
      <w:r>
        <w:rPr/>
      </w:r>
    </w:p>
    <w:p>
      <w:pPr>
        <w:pStyle w:val="Normal"/>
        <w:pBdr>
          <w:bottom w:val="single" w:sz="6" w:space="1" w:color="BFBFBF"/>
        </w:pBdr>
        <w:spacing w:before="120" w:after="240"/>
        <w:rPr/>
      </w:pPr>
      <w:r>
        <w:rPr/>
      </w:r>
    </w:p>
    <w:p>
      <w:pPr>
        <w:pStyle w:val="Normal"/>
        <w:spacing w:before="200" w:after="0"/>
        <w:jc w:val="center"/>
        <w:rPr/>
      </w:pPr>
      <w:r>
        <w:rPr>
          <w:rFonts w:eastAsia="Calibri" w:cs="Calibri" w:ascii="Calibri" w:hAnsi="Calibri"/>
          <w:i/>
          <w:iCs/>
          <w:color w:val="595959"/>
          <w:sz w:val="18"/>
          <w:szCs w:val="18"/>
        </w:rPr>
        <w:t>End of document — AL AI Toolkit PRD &amp; ADR v0.1</w:t>
      </w:r>
    </w:p>
    <w:sectPr>
      <w:type w:val="nextPage"/>
      <w:pgSz w:w="12240" w:h="15840"/>
      <w:pgMar w:left="1350" w:right="135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20</Pages>
  <Words>5002</Words>
  <Characters>29985</Characters>
  <CharactersWithSpaces>34926</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2026-08-01T00:05:09Z</dcterms:created>
  <dc:creator>Un-named</dc:creator>
  <dc:description/>
  <dc:language>en-US</dc:language>
  <cp:lastModifiedBy/>
  <dcterms:modified xsi:type="dcterms:W3CDTF">2026-08-01T00:05:26Z</dcterms:modified>
  <cp:revision>2</cp:revision>
  <dc:subject/>
  <dc:title/>
</cp:coreProperties>
</file>