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475569"/>
          <w:sz w:val="22"/>
        </w:rPr>
        <w:t>UNIVERSIDAD COMPLUTENSE DE MADRID — MÁSTER EN BIG DATA &amp; DATA SCIENCE</w:t>
        <w:br/>
      </w:r>
      <w:r>
        <w:rPr>
          <w:rFonts w:ascii="Arial" w:hAnsi="Arial"/>
          <w:i/>
          <w:color w:val="64748B"/>
          <w:sz w:val="21"/>
        </w:rPr>
        <w:t>Integración de IoT y Big Data en la Logística 4.0 para el apoyo a decisiones inteligentes en la cadena de suministro</w:t>
        <w:br/>
        <w:br/>
      </w:r>
      <w:r>
        <w:rPr>
          <w:rFonts w:ascii="Arial" w:hAnsi="Arial"/>
          <w:b/>
          <w:color w:val="0F172A"/>
          <w:sz w:val="30"/>
        </w:rPr>
        <w:t>CAPÍTULO 3. METODOLOGÍA, ARQUITECTURA Y SELECCIÓN TECNOLÓGICA</w:t>
        <w:br/>
      </w:r>
      <w:r>
        <w:rPr>
          <w:rFonts w:ascii="Arial" w:hAnsi="Arial"/>
          <w:color w:val="0E7490"/>
          <w:sz w:val="20"/>
        </w:rPr>
        <w:t>Autor: Guillén Concepción | Senior Data Scientist &amp; MLOps Engineer</w:t>
        <w:br/>
      </w:r>
    </w:p>
    <w:p/>
    <w:p>
      <w:pPr>
        <w:pStyle w:val="Heading1"/>
        <w:spacing w:before="280" w:after="100"/>
      </w:pPr>
      <w:r>
        <w:rPr>
          <w:rFonts w:ascii="Arial" w:hAnsi="Arial"/>
          <w:b/>
          <w:color w:val="0F172A"/>
          <w:sz w:val="25"/>
        </w:rPr>
        <w:t>3.1. Enfoque Metodológico de la Investigación</w:t>
      </w:r>
    </w:p>
    <w:p>
      <w:pPr>
        <w:spacing w:after="100" w:line="276" w:lineRule="auto"/>
      </w:pPr>
      <w:r>
        <w:rPr>
          <w:rFonts w:ascii="Arial" w:hAnsi="Arial"/>
          <w:color w:val="1E293B"/>
          <w:sz w:val="20"/>
        </w:rPr>
        <w:t>La presente investigación adopta un enfoque metodológico mixto cuantitativo-aplicado fundamentado en la metodología estándar CRISP-DM (*Cross-Industry Standard Process for Data Mining*), adaptada al ciclo de vida continuo de MLOps y procesamiento de eventos en tiempo real (*Continuous Machine Learning for Event Streams*) (Sinha et al., 2020; Ravindran &amp; Warsing, 2021; Aponte Parejo, 2023).</w:t>
      </w:r>
    </w:p>
    <w:p>
      <w:pPr>
        <w:spacing w:after="100" w:line="276" w:lineRule="auto"/>
      </w:pPr>
      <w:r>
        <w:rPr>
          <w:rFonts w:ascii="Arial" w:hAnsi="Arial"/>
          <w:color w:val="1E293B"/>
          <w:sz w:val="20"/>
        </w:rPr>
        <w:t>Asimismo, se incorpora el marco de diseño por capas y evaluación experimental recomendado en las revisiones sistemáticas de Logística 4.0 (UPV, 2021; BID, 2020), asegurando una estricta correspondencia entre la captación física, la ingeniería de características y el soporte a la decisión operativa.</w:t>
      </w:r>
    </w:p>
    <w:p>
      <w:pPr>
        <w:spacing w:after="100" w:line="276" w:lineRule="auto"/>
      </w:pPr>
      <w:r>
        <w:rPr>
          <w:rFonts w:ascii="Arial" w:hAnsi="Arial"/>
          <w:color w:val="1E293B"/>
          <w:sz w:val="20"/>
        </w:rPr>
        <w:t>El pipeline metodológico se estructura en seis fases interconectadas:</w:t>
      </w:r>
    </w:p>
    <w:p>
      <w:pPr>
        <w:ind w:left="576"/>
        <w:shd w:fill="F1F5F9"/>
      </w:pPr>
      <w:r>
        <w:rPr>
          <w:rFonts w:ascii="Consolas" w:hAnsi="Consolas"/>
          <w:color w:val="1E293B"/>
          <w:sz w:val="17"/>
        </w:rPr>
        <w:t>flowchart LR</w:t>
        <w:br/>
        <w:t xml:space="preserve">    F1["1. Entendimiento del Negocio&lt;br/&gt;(SLAs Asistenciales &amp; FSIS)"] --&gt; F2["2. Entendimiento de Datos&lt;br/&gt;(Telemetría IoT &amp; Tráfico)"]</w:t>
        <w:br/>
        <w:t xml:space="preserve">    F2 --&gt; F3["3. Preparación de Datos&lt;br/&gt;(Pydantic &amp; Capa Gold)"]</w:t>
        <w:br/>
        <w:t xml:space="preserve">    F3 --&gt; F4["4. Modelado &amp; XAI&lt;br/&gt;(XGBoost + TreeSHAP)"]</w:t>
        <w:br/>
        <w:t xml:space="preserve">    F4 --&gt; F5["5. Prescripción &amp; VRP&lt;br/&gt;(2-Opt TSP &amp; Guarded GenAI)"]</w:t>
        <w:br/>
        <w:t xml:space="preserve">    F5 --&gt; F6["6. Despliegue &amp; Validación&lt;br/&gt;(Torre de Control &amp; MLflow)"]</w:t>
      </w:r>
    </w:p>
    <w:p>
      <w:pPr>
        <w:pStyle w:val="Heading1"/>
        <w:spacing w:before="280" w:after="100"/>
      </w:pPr>
      <w:r>
        <w:rPr>
          <w:rFonts w:ascii="Arial" w:hAnsi="Arial"/>
          <w:b/>
          <w:color w:val="0F172A"/>
          <w:sz w:val="25"/>
        </w:rPr>
        <w:t>3.2. Principios de Diseño Arquitectónico (Digital Supply Network)</w:t>
      </w:r>
    </w:p>
    <w:p>
      <w:pPr>
        <w:spacing w:after="100" w:line="276" w:lineRule="auto"/>
      </w:pPr>
      <w:r>
        <w:rPr>
          <w:rFonts w:ascii="Arial" w:hAnsi="Arial"/>
          <w:color w:val="1E293B"/>
          <w:sz w:val="20"/>
        </w:rPr>
        <w:t>Siguiendo los principios de diseño de Redes Digitales de Suministro (Sinha et al., 2020), las directrices del BID (2020) y los marcos de gestión logística cuantitativa (Longshore &amp; Cheatham, 2022; Dasgupta et al., 2023; Aponte Parejo, 2023), la arquitectura del sistema se rige por cuatro principios fundamentales:</w:t>
      </w:r>
    </w:p>
    <w:p>
      <w:pPr>
        <w:pStyle w:val="ListNumber"/>
        <w:spacing w:after="40" w:line="276" w:lineRule="auto"/>
      </w:pPr>
      <w:r>
        <w:rPr>
          <w:rFonts w:ascii="Arial" w:hAnsi="Arial"/>
          <w:color w:val="1E293B"/>
          <w:sz w:val="20"/>
        </w:rPr>
        <w:t>Desacoplamiento y Tolerancia a Fallos: El productor telemático IoT y el motor analítico operan de forma asíncrona mediante el patrón *Drop Folder / Landing Zone*, evitando bloqueos ante caídas de red o picos de tráfico telemático (Aponte Parejo, 2023).</w:t>
      </w:r>
    </w:p>
    <w:p>
      <w:pPr>
        <w:pStyle w:val="ListNumber"/>
        <w:spacing w:after="40" w:line="276" w:lineRule="auto"/>
      </w:pPr>
      <w:r>
        <w:rPr>
          <w:rFonts w:ascii="Arial" w:hAnsi="Arial"/>
          <w:color w:val="1E293B"/>
          <w:sz w:val="20"/>
        </w:rPr>
        <w:t>Compuerta de Calidad de Datos en Ingesta (*Data Quality Gate*): Validación estricta de tipos, rangos físicos y consistencia geográfica mediante esquemas Pydantic antes de que los datos ingresen al almacén analítico (UANL, 2022).</w:t>
      </w:r>
    </w:p>
    <w:p>
      <w:pPr>
        <w:pStyle w:val="ListNumber"/>
        <w:spacing w:after="40" w:line="276" w:lineRule="auto"/>
      </w:pPr>
      <w:r>
        <w:rPr>
          <w:rFonts w:ascii="Arial" w:hAnsi="Arial"/>
          <w:color w:val="1E293B"/>
          <w:sz w:val="20"/>
        </w:rPr>
        <w:t>Optimización de Coste Asimétrico: En la logística asistencial de alimentos calientes para personas dependientes, el coste de un Falso Negativo (no anticipar que la comida llegará fría) es infinitamente superior al coste de un Falso Positivo (alerta preventiva de revisión). Por ello, el pipeline prioriza maximizar la sensibilidad ($\text{Recall} \ge 0.90$) sobre la exactitud global (*Accuracy*) (Longshore &amp; Cheatham, 2022).</w:t>
      </w:r>
    </w:p>
    <w:p>
      <w:pPr>
        <w:pStyle w:val="ListNumber"/>
        <w:spacing w:after="40" w:line="276" w:lineRule="auto"/>
      </w:pPr>
      <w:r>
        <w:rPr>
          <w:rFonts w:ascii="Arial" w:hAnsi="Arial"/>
          <w:color w:val="1E293B"/>
          <w:sz w:val="20"/>
        </w:rPr>
        <w:t>Prescripción Gobernada y Explicable (*Guarded GenAI*): Cero tolerancia a la opacidad de "caja negra" o a las alucinaciones de modelos generativos (Sharma &amp; Vajjhala, 2023). Cada prescripción se fundamenta en un vector de causas raíz matemáticas (SHAP) y una matriz determinista de reglas operativas.</w:t>
      </w:r>
    </w:p>
    <w:p>
      <w:pPr>
        <w:pStyle w:val="Heading1"/>
        <w:spacing w:before="280" w:after="100"/>
      </w:pPr>
      <w:r>
        <w:rPr>
          <w:rFonts w:ascii="Arial" w:hAnsi="Arial"/>
          <w:b/>
          <w:color w:val="0F172A"/>
          <w:sz w:val="25"/>
        </w:rPr>
        <w:t>3.3. Arquitectura del Sistema por Capas</w:t>
      </w:r>
    </w:p>
    <w:p>
      <w:pPr>
        <w:ind w:left="576"/>
        <w:shd w:fill="F1F5F9"/>
      </w:pPr>
      <w:r>
        <w:rPr>
          <w:rFonts w:ascii="Consolas" w:hAnsi="Consolas"/>
          <w:color w:val="1E293B"/>
          <w:sz w:val="17"/>
        </w:rPr>
        <w:t>flowchart TD</w:t>
        <w:br/>
        <w:t xml:space="preserve">    subgraph CAPA_IOT["1. Capa de Captación e Ingesta Telemática"]</w:t>
        <w:br/>
        <w:t xml:space="preserve">        SIM["Simulador IoT de Alta Frecuencia&lt;br/&gt;(GPS Boise/Nampa, Velocidad, Clima, Tráfico)"]</w:t>
        <w:br/>
        <w:t xml:space="preserve">        VAL["DataValidator (Pydantic Quality Gate)&lt;br/&gt;(Filtro de anomalías físicas y espaciales)"]</w:t>
        <w:br/>
        <w:t xml:space="preserve">        STREAM["FileStreamConsumer (Landing Zone)&lt;br/&gt;(Ingesta asíncrona micro-batch)"]</w:t>
        <w:br/>
        <w:t xml:space="preserve">        SIM --&gt; VAL --&gt; STREAM</w:t>
        <w:br/>
        <w:t xml:space="preserve">    end</w:t>
        <w:br/>
        <w:br/>
        <w:t xml:space="preserve">    subgraph CAPA_STORAGE["2. Almacenamiento &amp; Feature Store (Capa Gold)"]</w:t>
        <w:br/>
        <w:t xml:space="preserve">        SQL["Base de Datos SQLite (live_fleet_state.db)&lt;br/&gt;(Gemelo Digital Telemático)"]</w:t>
        <w:br/>
        <w:t xml:space="preserve">        ENG["Feature Engineering Engine&lt;br/&gt;(η_urgencia, Δt_esperado, IR_amb)"]</w:t>
        <w:br/>
        <w:t xml:space="preserve">        STREAM --&gt; SQL &lt;--&gt; ENG</w:t>
        <w:br/>
        <w:t xml:space="preserve">    end</w:t>
        <w:br/>
        <w:br/>
        <w:t xml:space="preserve">    subgraph CAPA_AI["3. Inteligencia Artificial Predictiva &amp; XAI"]</w:t>
        <w:br/>
        <w:t xml:space="preserve">        MODEL["Clasificador de Retrasos (XGBoost / LightGBM)&lt;br/&gt;(P(Retraso), MLflow Tracking)"]</w:t>
        <w:br/>
        <w:t xml:space="preserve">        SHAP_M["TreeSHAP Explainer (Valores de Shapley)&lt;br/&gt;(Descomposición causal local en streaming)"]</w:t>
        <w:br/>
        <w:t xml:space="preserve">        SQL --&gt; MODEL --&gt; SHAP_M</w:t>
        <w:br/>
        <w:t xml:space="preserve">    end</w:t>
        <w:br/>
        <w:br/>
        <w:t xml:space="preserve">    subgraph CAPA_PRESCRIP["4. Motor Prescriptivo &amp; Optimización de Rutas"]</w:t>
        <w:br/>
        <w:t xml:space="preserve">        RULES["Matriz de Decisión por Niveles de Riesgo&lt;br/&gt;(Nivel 1 Crítico, Nivel 2 Moderado, Nivel 3 Normal)"]</w:t>
        <w:br/>
        <w:t xml:space="preserve">        LLM["Guarded GenAI Agent (LLM Prescriptivo)&lt;br/&gt;(Síntesis contextualizada sin alucinaciones)"]</w:t>
        <w:br/>
        <w:t xml:space="preserve">        VRP_M["Motor VRP (K-Means + 2-Opt TSP)&lt;br/&gt;(Rutas One-Way y Round-Trip con SLA &lt; 90 min)"]</w:t>
        <w:br/>
        <w:t xml:space="preserve">        SHAP_M --&gt; RULES --&gt; LLM</w:t>
        <w:br/>
        <w:t xml:space="preserve">        RULES --&gt; VRP_M</w:t>
        <w:br/>
        <w:t xml:space="preserve">    end</w:t>
        <w:br/>
        <w:br/>
        <w:t xml:space="preserve">    subgraph CAPA_UI["5. Torre de Control &amp; MLOps"]</w:t>
        <w:br/>
        <w:t xml:space="preserve">        DASH["Dashboard Streamlit (Control Tower)&lt;br/&gt;(Glassmorphism, Mapas GPS, Inferencia de Rutas)"]</w:t>
        <w:br/>
        <w:t xml:space="preserve">        EDA_M["Módulo EDA Estadístico e Inferencial&lt;br/&gt;(Welch t, ANOVA, Kruskal-Wallis, Chi-cuadrado)"]</w:t>
        <w:br/>
        <w:t xml:space="preserve">        OPS_M["Entorno MLOps Cloud-Native&lt;br/&gt;(Docker / Podman Compose, PyTest Suite)"]</w:t>
        <w:br/>
        <w:t xml:space="preserve">        VRP_M --&gt; DASH</w:t>
        <w:br/>
        <w:t xml:space="preserve">        EDA_M --&gt; DASH</w:t>
        <w:br/>
        <w:t xml:space="preserve">        OPS_M --&gt; DASH</w:t>
        <w:br/>
        <w:t xml:space="preserve">    end</w:t>
      </w:r>
    </w:p>
    <w:p>
      <w:pPr>
        <w:pStyle w:val="Heading1"/>
        <w:spacing w:before="280" w:after="100"/>
      </w:pPr>
      <w:r>
        <w:rPr>
          <w:rFonts w:ascii="Arial" w:hAnsi="Arial"/>
          <w:b/>
          <w:color w:val="0F172A"/>
          <w:sz w:val="25"/>
        </w:rPr>
        <w:t>3.4. Selección Tecnológica y Justificación Técnica</w:t>
      </w:r>
    </w:p>
    <w:tbl>
      <w:tblPr>
        <w:tblW w:type="auto" w:w="0"/>
        <w:jc w:val="center"/>
        <w:tblLook w:firstColumn="1" w:firstRow="1" w:lastColumn="0" w:lastRow="0" w:noHBand="0" w:noVBand="1" w:val="04A0"/>
      </w:tblPr>
      <w:tblGrid>
        <w:gridCol w:w="3120"/>
        <w:gridCol w:w="3120"/>
        <w:gridCol w:w="3120"/>
      </w:tblGrid>
      <w:tr>
        <w:tc>
          <w:tcPr>
            <w:tcW w:type="dxa" w:w="3120"/>
            <w:shd w:fill="1E293B"/>
          </w:tcPr>
          <w:p>
            <w:pPr>
              <w:jc w:val="left"/>
            </w:pPr>
            <w:r>
              <w:rPr>
                <w:rFonts w:ascii="Arial" w:hAnsi="Arial"/>
                <w:b/>
                <w:color w:val="FFFFFF"/>
                <w:sz w:val="18"/>
              </w:rPr>
              <w:t>Capa del Sistema</w:t>
            </w:r>
          </w:p>
        </w:tc>
        <w:tc>
          <w:tcPr>
            <w:tcW w:type="dxa" w:w="3120"/>
            <w:shd w:fill="1E293B"/>
          </w:tcPr>
          <w:p>
            <w:pPr>
              <w:jc w:val="left"/>
            </w:pPr>
            <w:r>
              <w:rPr>
                <w:rFonts w:ascii="Arial" w:hAnsi="Arial"/>
                <w:b/>
                <w:color w:val="FFFFFF"/>
                <w:sz w:val="18"/>
              </w:rPr>
              <w:t>Tecnología Seleccionada</w:t>
            </w:r>
          </w:p>
        </w:tc>
        <w:tc>
          <w:tcPr>
            <w:tcW w:type="dxa" w:w="3120"/>
            <w:shd w:fill="1E293B"/>
          </w:tcPr>
          <w:p>
            <w:pPr>
              <w:jc w:val="left"/>
            </w:pPr>
            <w:r>
              <w:rPr>
                <w:rFonts w:ascii="Arial" w:hAnsi="Arial"/>
                <w:b/>
                <w:color w:val="FFFFFF"/>
                <w:sz w:val="18"/>
              </w:rPr>
              <w:t>Justificación Técnica y Criterio de Selección</w:t>
            </w:r>
          </w:p>
        </w:tc>
      </w:tr>
      <w:tr>
        <w:tc>
          <w:tcPr>
            <w:tcW w:type="dxa" w:w="3120"/>
            <w:shd w:fill="F8FAFC"/>
          </w:tcPr>
          <w:p>
            <w:pPr>
              <w:jc w:val="left"/>
            </w:pPr>
            <w:r>
              <w:rPr>
                <w:rFonts w:ascii="Arial" w:hAnsi="Arial"/>
                <w:sz w:val="18"/>
              </w:rPr>
              <w:t>Lenguaje de Programación</w:t>
            </w:r>
          </w:p>
        </w:tc>
        <w:tc>
          <w:tcPr>
            <w:tcW w:type="dxa" w:w="3120"/>
            <w:shd w:fill="F8FAFC"/>
          </w:tcPr>
          <w:p>
            <w:pPr>
              <w:jc w:val="left"/>
            </w:pPr>
            <w:r>
              <w:rPr>
                <w:rFonts w:ascii="Arial" w:hAnsi="Arial"/>
                <w:sz w:val="18"/>
              </w:rPr>
              <w:t>Python 3.10+</w:t>
            </w:r>
          </w:p>
        </w:tc>
        <w:tc>
          <w:tcPr>
            <w:tcW w:type="dxa" w:w="3120"/>
            <w:shd w:fill="F8FAFC"/>
          </w:tcPr>
          <w:p>
            <w:pPr>
              <w:jc w:val="left"/>
            </w:pPr>
            <w:r>
              <w:rPr>
                <w:rFonts w:ascii="Arial" w:hAnsi="Arial"/>
                <w:sz w:val="18"/>
              </w:rPr>
              <w:t>Estándar *de facto* en Data Science y MLOps. Soporte nativo para librerías científicas (numpy, pandas, scipy, statsmodels).</w:t>
            </w:r>
          </w:p>
        </w:tc>
      </w:tr>
      <w:tr>
        <w:tc>
          <w:tcPr>
            <w:tcW w:type="dxa" w:w="3120"/>
          </w:tcPr>
          <w:p>
            <w:pPr>
              <w:jc w:val="left"/>
            </w:pPr>
            <w:r>
              <w:rPr>
                <w:rFonts w:ascii="Arial" w:hAnsi="Arial"/>
                <w:sz w:val="18"/>
              </w:rPr>
              <w:t>Validación de Datos</w:t>
            </w:r>
          </w:p>
        </w:tc>
        <w:tc>
          <w:tcPr>
            <w:tcW w:type="dxa" w:w="3120"/>
          </w:tcPr>
          <w:p>
            <w:pPr>
              <w:jc w:val="left"/>
            </w:pPr>
            <w:r>
              <w:rPr>
                <w:rFonts w:ascii="Arial" w:hAnsi="Arial"/>
                <w:sz w:val="18"/>
              </w:rPr>
              <w:t>Pydantic v2</w:t>
            </w:r>
          </w:p>
        </w:tc>
        <w:tc>
          <w:tcPr>
            <w:tcW w:type="dxa" w:w="3120"/>
          </w:tcPr>
          <w:p>
            <w:pPr>
              <w:jc w:val="left"/>
            </w:pPr>
            <w:r>
              <w:rPr>
                <w:rFonts w:ascii="Arial" w:hAnsi="Arial"/>
                <w:sz w:val="18"/>
              </w:rPr>
              <w:t>Validación de tipos y restricciones en tiempo de ejecución de alto rendimiento escrita en Rust. Garantiza calidad de datos pre-ingesta.</w:t>
            </w:r>
          </w:p>
        </w:tc>
      </w:tr>
      <w:tr>
        <w:tc>
          <w:tcPr>
            <w:tcW w:type="dxa" w:w="3120"/>
            <w:shd w:fill="F8FAFC"/>
          </w:tcPr>
          <w:p>
            <w:pPr>
              <w:jc w:val="left"/>
            </w:pPr>
            <w:r>
              <w:rPr>
                <w:rFonts w:ascii="Arial" w:hAnsi="Arial"/>
                <w:sz w:val="18"/>
              </w:rPr>
              <w:t>Almacenamiento &amp; Feature Store</w:t>
            </w:r>
          </w:p>
        </w:tc>
        <w:tc>
          <w:tcPr>
            <w:tcW w:type="dxa" w:w="3120"/>
            <w:shd w:fill="F8FAFC"/>
          </w:tcPr>
          <w:p>
            <w:pPr>
              <w:jc w:val="left"/>
            </w:pPr>
            <w:r>
              <w:rPr>
                <w:rFonts w:ascii="Arial" w:hAnsi="Arial"/>
                <w:sz w:val="18"/>
              </w:rPr>
              <w:t>SQLite 3 (Capa Gold)</w:t>
            </w:r>
          </w:p>
        </w:tc>
        <w:tc>
          <w:tcPr>
            <w:tcW w:type="dxa" w:w="3120"/>
            <w:shd w:fill="F8FAFC"/>
          </w:tcPr>
          <w:p>
            <w:pPr>
              <w:jc w:val="left"/>
            </w:pPr>
            <w:r>
              <w:rPr>
                <w:rFonts w:ascii="Arial" w:hAnsi="Arial"/>
                <w:sz w:val="18"/>
              </w:rPr>
              <w:t>Base de datos embebida, ACID complaciente, de latencia sub-milisegundo, sin sobrecarga de infraestructura distribuida para micro-batches.</w:t>
            </w:r>
          </w:p>
        </w:tc>
      </w:tr>
      <w:tr>
        <w:tc>
          <w:tcPr>
            <w:tcW w:type="dxa" w:w="3120"/>
          </w:tcPr>
          <w:p>
            <w:pPr>
              <w:jc w:val="left"/>
            </w:pPr>
            <w:r>
              <w:rPr>
                <w:rFonts w:ascii="Arial" w:hAnsi="Arial"/>
                <w:sz w:val="18"/>
              </w:rPr>
              <w:t>Modelado Predictivo</w:t>
            </w:r>
          </w:p>
        </w:tc>
        <w:tc>
          <w:tcPr>
            <w:tcW w:type="dxa" w:w="3120"/>
          </w:tcPr>
          <w:p>
            <w:pPr>
              <w:jc w:val="left"/>
            </w:pPr>
            <w:r>
              <w:rPr>
                <w:rFonts w:ascii="Arial" w:hAnsi="Arial"/>
                <w:sz w:val="18"/>
              </w:rPr>
              <w:t>XGBoost &amp; LightGBM</w:t>
            </w:r>
          </w:p>
        </w:tc>
        <w:tc>
          <w:tcPr>
            <w:tcW w:type="dxa" w:w="3120"/>
          </w:tcPr>
          <w:p>
            <w:pPr>
              <w:jc w:val="left"/>
            </w:pPr>
            <w:r>
              <w:rPr>
                <w:rFonts w:ascii="Arial" w:hAnsi="Arial"/>
                <w:sz w:val="18"/>
              </w:rPr>
              <w:t>Algoritmos de *Gradient Boosting* de última generación con soporte para hiperparámetros de coste asimétrico (scale_pos_weight).</w:t>
            </w:r>
          </w:p>
        </w:tc>
      </w:tr>
      <w:tr>
        <w:tc>
          <w:tcPr>
            <w:tcW w:type="dxa" w:w="3120"/>
            <w:shd w:fill="F8FAFC"/>
          </w:tcPr>
          <w:p>
            <w:pPr>
              <w:jc w:val="left"/>
            </w:pPr>
            <w:r>
              <w:rPr>
                <w:rFonts w:ascii="Arial" w:hAnsi="Arial"/>
                <w:sz w:val="18"/>
              </w:rPr>
              <w:t>Explicabilidad Matemática (XAI)</w:t>
            </w:r>
          </w:p>
        </w:tc>
        <w:tc>
          <w:tcPr>
            <w:tcW w:type="dxa" w:w="3120"/>
            <w:shd w:fill="F8FAFC"/>
          </w:tcPr>
          <w:p>
            <w:pPr>
              <w:jc w:val="left"/>
            </w:pPr>
            <w:r>
              <w:rPr>
                <w:rFonts w:ascii="Arial" w:hAnsi="Arial"/>
                <w:sz w:val="18"/>
              </w:rPr>
              <w:t>SHAP (TreeExplainer)</w:t>
            </w:r>
          </w:p>
        </w:tc>
        <w:tc>
          <w:tcPr>
            <w:tcW w:type="dxa" w:w="3120"/>
            <w:shd w:fill="F8FAFC"/>
          </w:tcPr>
          <w:p>
            <w:pPr>
              <w:jc w:val="left"/>
            </w:pPr>
            <w:r>
              <w:rPr>
                <w:rFonts w:ascii="Arial" w:hAnsi="Arial"/>
                <w:sz w:val="18"/>
              </w:rPr>
              <w:t>Proporciona explicaciones locales exactas basadas en la teoría axiomática de Shapley en tiempo polinómico $O(TLD^2)$ (Sharma &amp; Vajjhala, 2023).</w:t>
            </w:r>
          </w:p>
        </w:tc>
      </w:tr>
      <w:tr>
        <w:tc>
          <w:tcPr>
            <w:tcW w:type="dxa" w:w="3120"/>
          </w:tcPr>
          <w:p>
            <w:pPr>
              <w:jc w:val="left"/>
            </w:pPr>
            <w:r>
              <w:rPr>
                <w:rFonts w:ascii="Arial" w:hAnsi="Arial"/>
                <w:sz w:val="18"/>
              </w:rPr>
              <w:t>Experiment Tracking</w:t>
            </w:r>
          </w:p>
        </w:tc>
        <w:tc>
          <w:tcPr>
            <w:tcW w:type="dxa" w:w="3120"/>
          </w:tcPr>
          <w:p>
            <w:pPr>
              <w:jc w:val="left"/>
            </w:pPr>
            <w:r>
              <w:rPr>
                <w:rFonts w:ascii="Arial" w:hAnsi="Arial"/>
                <w:sz w:val="18"/>
              </w:rPr>
              <w:t>MLflow</w:t>
            </w:r>
          </w:p>
        </w:tc>
        <w:tc>
          <w:tcPr>
            <w:tcW w:type="dxa" w:w="3120"/>
          </w:tcPr>
          <w:p>
            <w:pPr>
              <w:jc w:val="left"/>
            </w:pPr>
            <w:r>
              <w:rPr>
                <w:rFonts w:ascii="Arial" w:hAnsi="Arial"/>
                <w:sz w:val="18"/>
              </w:rPr>
              <w:t>Registro de hiperparámetros, métricas multimodelo (ROC-AUC, Recall, F1), firmas de modelos y reproducibilidad de artefactos (Criterio Odysseus).</w:t>
            </w:r>
          </w:p>
        </w:tc>
      </w:tr>
      <w:tr>
        <w:tc>
          <w:tcPr>
            <w:tcW w:type="dxa" w:w="3120"/>
            <w:shd w:fill="F8FAFC"/>
          </w:tcPr>
          <w:p>
            <w:pPr>
              <w:jc w:val="left"/>
            </w:pPr>
            <w:r>
              <w:rPr>
                <w:rFonts w:ascii="Arial" w:hAnsi="Arial"/>
                <w:sz w:val="18"/>
              </w:rPr>
              <w:t>Optimización de Rutas</w:t>
            </w:r>
          </w:p>
        </w:tc>
        <w:tc>
          <w:tcPr>
            <w:tcW w:type="dxa" w:w="3120"/>
            <w:shd w:fill="F8FAFC"/>
          </w:tcPr>
          <w:p>
            <w:pPr>
              <w:jc w:val="left"/>
            </w:pPr>
            <w:r>
              <w:rPr>
                <w:rFonts w:ascii="Arial" w:hAnsi="Arial"/>
                <w:sz w:val="18"/>
              </w:rPr>
              <w:t>Scikit-Learn (K-Means) + Heurística 2-Opt TSP</w:t>
            </w:r>
          </w:p>
        </w:tc>
        <w:tc>
          <w:tcPr>
            <w:tcW w:type="dxa" w:w="3120"/>
            <w:shd w:fill="F8FAFC"/>
          </w:tcPr>
          <w:p>
            <w:pPr>
              <w:jc w:val="left"/>
            </w:pPr>
            <w:r>
              <w:rPr>
                <w:rFonts w:ascii="Arial" w:hAnsi="Arial"/>
                <w:sz w:val="18"/>
              </w:rPr>
              <w:t>Descomposición *Cluster-First Route-Second* que resuelve el VRP con SLA térmico en $&lt;0.1\text{ segundos}$ (Ravindran &amp; Warsing, 2021).</w:t>
            </w:r>
          </w:p>
        </w:tc>
      </w:tr>
      <w:tr>
        <w:tc>
          <w:tcPr>
            <w:tcW w:type="dxa" w:w="3120"/>
          </w:tcPr>
          <w:p>
            <w:pPr>
              <w:jc w:val="left"/>
            </w:pPr>
            <w:r>
              <w:rPr>
                <w:rFonts w:ascii="Arial" w:hAnsi="Arial"/>
                <w:sz w:val="18"/>
              </w:rPr>
              <w:t>Torre de Control Visual</w:t>
            </w:r>
          </w:p>
        </w:tc>
        <w:tc>
          <w:tcPr>
            <w:tcW w:type="dxa" w:w="3120"/>
          </w:tcPr>
          <w:p>
            <w:pPr>
              <w:jc w:val="left"/>
            </w:pPr>
            <w:r>
              <w:rPr>
                <w:rFonts w:ascii="Arial" w:hAnsi="Arial"/>
                <w:sz w:val="18"/>
              </w:rPr>
              <w:t>Streamlit + Plotly / Mapbox</w:t>
            </w:r>
          </w:p>
        </w:tc>
        <w:tc>
          <w:tcPr>
            <w:tcW w:type="dxa" w:w="3120"/>
          </w:tcPr>
          <w:p>
            <w:pPr>
              <w:jc w:val="left"/>
            </w:pPr>
            <w:r>
              <w:rPr>
                <w:rFonts w:ascii="Arial" w:hAnsi="Arial"/>
                <w:sz w:val="18"/>
              </w:rPr>
              <w:t>Desarrollo rápido de interfaces analíticas reactivas de alta gama con CSS personalizado (*Glassmorphism Dark Theme*) y mapas geoespaciales interactivos.</w:t>
            </w:r>
          </w:p>
        </w:tc>
      </w:tr>
      <w:tr>
        <w:tc>
          <w:tcPr>
            <w:tcW w:type="dxa" w:w="3120"/>
            <w:shd w:fill="F8FAFC"/>
          </w:tcPr>
          <w:p>
            <w:pPr>
              <w:jc w:val="left"/>
            </w:pPr>
            <w:r>
              <w:rPr>
                <w:rFonts w:ascii="Arial" w:hAnsi="Arial"/>
                <w:sz w:val="18"/>
              </w:rPr>
              <w:t>Contenedorización</w:t>
            </w:r>
          </w:p>
        </w:tc>
        <w:tc>
          <w:tcPr>
            <w:tcW w:type="dxa" w:w="3120"/>
            <w:shd w:fill="F8FAFC"/>
          </w:tcPr>
          <w:p>
            <w:pPr>
              <w:jc w:val="left"/>
            </w:pPr>
            <w:r>
              <w:rPr>
                <w:rFonts w:ascii="Arial" w:hAnsi="Arial"/>
                <w:sz w:val="18"/>
              </w:rPr>
              <w:t>Docker / Podman Compose</w:t>
            </w:r>
          </w:p>
        </w:tc>
        <w:tc>
          <w:tcPr>
            <w:tcW w:type="dxa" w:w="3120"/>
            <w:shd w:fill="F8FAFC"/>
          </w:tcPr>
          <w:p>
            <w:pPr>
              <w:jc w:val="left"/>
            </w:pPr>
            <w:r>
              <w:rPr>
                <w:rFonts w:ascii="Arial" w:hAnsi="Arial"/>
                <w:sz w:val="18"/>
              </w:rPr>
              <w:t>Despliegue modular en microservicios independientes (control-tower, stream-consumer, iot-simulator, mlflow-server).</w:t>
            </w:r>
          </w:p>
        </w:tc>
      </w:tr>
      <w:tr>
        <w:tc>
          <w:tcPr>
            <w:tcW w:type="dxa" w:w="3120"/>
          </w:tcPr>
          <w:p>
            <w:pPr>
              <w:jc w:val="left"/>
            </w:pPr>
            <w:r>
              <w:rPr>
                <w:rFonts w:ascii="Arial" w:hAnsi="Arial"/>
                <w:sz w:val="18"/>
              </w:rPr>
              <w:t>Calidad y Pruebas</w:t>
            </w:r>
          </w:p>
        </w:tc>
        <w:tc>
          <w:tcPr>
            <w:tcW w:type="dxa" w:w="3120"/>
          </w:tcPr>
          <w:p>
            <w:pPr>
              <w:jc w:val="left"/>
            </w:pPr>
            <w:r>
              <w:rPr>
                <w:rFonts w:ascii="Arial" w:hAnsi="Arial"/>
                <w:sz w:val="18"/>
              </w:rPr>
              <w:t>PyTest</w:t>
            </w:r>
          </w:p>
        </w:tc>
        <w:tc>
          <w:tcPr>
            <w:tcW w:type="dxa" w:w="3120"/>
          </w:tcPr>
          <w:p>
            <w:pPr>
              <w:jc w:val="left"/>
            </w:pPr>
            <w:r>
              <w:rPr>
                <w:rFonts w:ascii="Arial" w:hAnsi="Arial"/>
                <w:sz w:val="18"/>
              </w:rPr>
              <w:t>Suite de pruebas unitarias y de integración que verifica la robustez de los validadores, el feature store, el modelo y el optimizador.</w:t>
            </w:r>
          </w:p>
        </w:tc>
      </w:tr>
    </w:tbl>
    <w:p/>
    <w:p>
      <w:pPr>
        <w:pStyle w:val="Heading1"/>
        <w:spacing w:before="280" w:after="100"/>
      </w:pPr>
      <w:r>
        <w:rPr>
          <w:rFonts w:ascii="Arial" w:hAnsi="Arial"/>
          <w:b/>
          <w:color w:val="0F172A"/>
          <w:sz w:val="25"/>
        </w:rPr>
        <w:t>3.5. Framework Integral de Calidad de Datos (Data Quality Framework)</w:t>
      </w:r>
    </w:p>
    <w:p>
      <w:pPr>
        <w:spacing w:after="100" w:line="276" w:lineRule="auto"/>
      </w:pPr>
      <w:r>
        <w:rPr>
          <w:rFonts w:ascii="Arial" w:hAnsi="Arial"/>
          <w:color w:val="1E293B"/>
          <w:sz w:val="20"/>
        </w:rPr>
        <w:t>La integridad de los modelos predictivos y prescriptivos se sustenta en un Framework de Calidad de Datos de Doble Nivel diseñado bajo las normas ISO/IEC 25012 y las directrices de MLOps:</w:t>
      </w:r>
    </w:p>
    <w:p>
      <w:pPr>
        <w:ind w:left="576"/>
        <w:shd w:fill="F1F5F9"/>
      </w:pPr>
      <w:r>
        <w:rPr>
          <w:rFonts w:ascii="Consolas" w:hAnsi="Consolas"/>
          <w:color w:val="1E293B"/>
          <w:sz w:val="17"/>
        </w:rPr>
        <w:t>flowchart LR</w:t>
        <w:br/>
        <w:t xml:space="preserve">    subgraph DQF["Data Quality Framework en Dos Fases"]</w:t>
        <w:br/>
        <w:t xml:space="preserve">        S1["Fase 1: Quality Gate en Streaming&lt;br/&gt;(Pydantic v2 en Ingesta Telemática)&lt;br/&gt;Latencia &lt; 1 ms | 0% Outliers Aceptados"]</w:t>
        <w:br/>
        <w:t xml:space="preserve">        S2["Fase 2: Auditoría Batch Capa Gold&lt;br/&gt;(Validación de 5 Dimensiones)&lt;br/&gt;Data Quality Score = 99.95%"]</w:t>
        <w:br/>
        <w:t xml:space="preserve">    end</w:t>
        <w:br/>
        <w:t xml:space="preserve">    S1 --&gt; S2</w:t>
      </w:r>
    </w:p>
    <w:p>
      <w:pPr>
        <w:pStyle w:val="Heading2"/>
        <w:spacing w:before="200" w:after="80"/>
      </w:pPr>
      <w:r>
        <w:rPr>
          <w:rFonts w:ascii="Arial" w:hAnsi="Arial"/>
          <w:b/>
          <w:color w:val="1E293B"/>
          <w:sz w:val="22"/>
        </w:rPr>
        <w:t>3.5.1. Reglas y Restricciones del Quality Gate en Streaming</w:t>
      </w:r>
    </w:p>
    <w:p>
      <w:pPr>
        <w:spacing w:after="100" w:line="276" w:lineRule="auto"/>
      </w:pPr>
      <w:r>
        <w:rPr>
          <w:rFonts w:ascii="Arial" w:hAnsi="Arial"/>
          <w:color w:val="1E293B"/>
          <w:sz w:val="20"/>
        </w:rPr>
        <w:t>Cada evento telemático recibido es contrastado contra el validador Pydantic antes de su inserción en la base de datos viva:</w:t>
      </w:r>
    </w:p>
    <w:p>
      <w:pPr>
        <w:pStyle w:val="ListNumber"/>
        <w:spacing w:after="40" w:line="276" w:lineRule="auto"/>
      </w:pPr>
      <w:r>
        <w:rPr>
          <w:rFonts w:ascii="Arial" w:hAnsi="Arial"/>
          <w:color w:val="1E293B"/>
          <w:sz w:val="20"/>
        </w:rPr>
        <w:t>Rango de Velocidad Cinemática: $v \in [0.0, 160.0]\text{ km/h}$. Lecturas fuera de rango se descartan como anomalía de sensor GPS/odómetro.</w:t>
      </w:r>
    </w:p>
    <w:p>
      <w:pPr>
        <w:pStyle w:val="ListNumber"/>
        <w:spacing w:after="40" w:line="276" w:lineRule="auto"/>
      </w:pPr>
      <w:r>
        <w:rPr>
          <w:rFonts w:ascii="Arial" w:hAnsi="Arial"/>
          <w:color w:val="1E293B"/>
          <w:sz w:val="20"/>
        </w:rPr>
        <w:t>Límites Geográficos del Corredor: $\text{lat} \in [43.0, 44.5]$, $\text{lon} \in [-117.2, -115.5]$ (área metropolitana de Treasure Valley).</w:t>
      </w:r>
    </w:p>
    <w:p>
      <w:pPr>
        <w:pStyle w:val="ListNumber"/>
        <w:spacing w:after="40" w:line="276" w:lineRule="auto"/>
      </w:pPr>
      <w:r>
        <w:rPr>
          <w:rFonts w:ascii="Arial" w:hAnsi="Arial"/>
          <w:color w:val="1E293B"/>
          <w:sz w:val="20"/>
        </w:rPr>
        <w:t>Control Térmico de Cadena de Frío: $T_{\text{carga}} \in [-15.0, 40.0]^\circ\text{C}$.</w:t>
      </w:r>
    </w:p>
    <w:p>
      <w:pPr>
        <w:pStyle w:val="ListNumber"/>
        <w:spacing w:after="40" w:line="276" w:lineRule="auto"/>
      </w:pPr>
      <w:r>
        <w:rPr>
          <w:rFonts w:ascii="Arial" w:hAnsi="Arial"/>
          <w:color w:val="1E293B"/>
          <w:sz w:val="20"/>
        </w:rPr>
        <w:t>Validación de Enumerados: Tráfico $\in \{\text{LOW}, \text{MEDIUM}, \text{HIGH}, \text{SEVERE\_CONGESTION}\}$; Clima $\in \{\text{CLEAR}, \text{FOG}, \text{RAIN}, \text{HEAVY\_RAIN}, \text{SNOW}\}$.</w:t>
      </w:r>
    </w:p>
    <w:p>
      <w:pPr>
        <w:pStyle w:val="Heading2"/>
        <w:spacing w:before="200" w:after="80"/>
      </w:pPr>
      <w:r>
        <w:rPr>
          <w:rFonts w:ascii="Arial" w:hAnsi="Arial"/>
          <w:b/>
          <w:color w:val="1E293B"/>
          <w:sz w:val="22"/>
        </w:rPr>
        <w:t>3.5.2. Evaluación Dimensional en la Capa Gold ($N=8.000$ Registros)</w:t>
      </w:r>
    </w:p>
    <w:p>
      <w:pPr>
        <w:pStyle w:val="ListBullet"/>
        <w:spacing w:after="40" w:line="276" w:lineRule="auto"/>
      </w:pPr>
      <w:r>
        <w:rPr>
          <w:rFonts w:ascii="Arial" w:hAnsi="Arial"/>
          <w:color w:val="1E293B"/>
          <w:sz w:val="20"/>
        </w:rPr>
        <w:t>Completitud: $99.95\%$ global ($100\%$ en las 10 features ML y variable objetivo; 92 nulos en campos contextuales no predictivos).</w:t>
      </w:r>
    </w:p>
    <w:p>
      <w:pPr>
        <w:pStyle w:val="ListBullet"/>
        <w:spacing w:after="40" w:line="276" w:lineRule="auto"/>
      </w:pPr>
      <w:r>
        <w:rPr>
          <w:rFonts w:ascii="Arial" w:hAnsi="Arial"/>
          <w:color w:val="1E293B"/>
          <w:sz w:val="20"/>
        </w:rPr>
        <w:t>Unicidad: $100\%$ ($0$ duplicados en claves primarias).</w:t>
      </w:r>
    </w:p>
    <w:p>
      <w:pPr>
        <w:pStyle w:val="ListBullet"/>
        <w:spacing w:after="40" w:line="276" w:lineRule="auto"/>
      </w:pPr>
      <w:r>
        <w:rPr>
          <w:rFonts w:ascii="Arial" w:hAnsi="Arial"/>
          <w:color w:val="1E293B"/>
          <w:sz w:val="20"/>
        </w:rPr>
        <w:t>Validez de Rango: $100\%$ de observaciones dentro de dominios físicos válidos.</w:t>
      </w:r>
    </w:p>
    <w:p>
      <w:pPr>
        <w:pStyle w:val="ListBullet"/>
        <w:spacing w:after="40" w:line="276" w:lineRule="auto"/>
      </w:pPr>
      <w:r>
        <w:rPr>
          <w:rFonts w:ascii="Arial" w:hAnsi="Arial"/>
          <w:color w:val="1E293B"/>
          <w:sz w:val="20"/>
        </w:rPr>
        <w:t>Consistencia: $100\%$ de coherencia lógica ($\eta_{\text{urgencia}} \ge 0, \Delta t_{\text{esperado}} \ge 0$).</w:t>
      </w:r>
    </w:p>
    <w:p>
      <w:pPr>
        <w:pStyle w:val="ListBullet"/>
        <w:spacing w:after="40" w:line="276" w:lineRule="auto"/>
      </w:pPr>
      <w:r>
        <w:rPr>
          <w:rFonts w:ascii="Arial" w:hAnsi="Arial"/>
          <w:color w:val="1E293B"/>
          <w:sz w:val="20"/>
        </w:rPr>
        <w:t>Integridad: $100\%$ de claves foráneas y secuencias de ruta resueltas.</w:t>
      </w:r>
    </w:p>
    <w:p>
      <w:pPr>
        <w:pStyle w:val="Heading1"/>
        <w:spacing w:before="280" w:after="100"/>
      </w:pPr>
      <w:r>
        <w:rPr>
          <w:rFonts w:ascii="Arial" w:hAnsi="Arial"/>
          <w:b/>
          <w:color w:val="0F172A"/>
          <w:sz w:val="25"/>
        </w:rPr>
        <w:t>3.6. Formulación Matemática de Variables del Feature Store y Espacio de Entrada</w:t>
      </w:r>
    </w:p>
    <w:p>
      <w:pPr>
        <w:spacing w:after="100" w:line="276" w:lineRule="auto"/>
      </w:pPr>
      <w:r>
        <w:rPr>
          <w:rFonts w:ascii="Arial" w:hAnsi="Arial"/>
          <w:color w:val="1E293B"/>
          <w:sz w:val="20"/>
        </w:rPr>
        <w:t>Para enriquecer la telemetría cruda, el motor de ingeniería de características genera variables de tensión cinemática y riesgo ambiental conformando el espacio de entrada $X \in \mathbb{R}^{10}$:</w:t>
      </w:r>
    </w:p>
    <w:p>
      <w:pPr>
        <w:pStyle w:val="Heading2"/>
        <w:spacing w:before="200" w:after="80"/>
      </w:pPr>
      <w:r>
        <w:rPr>
          <w:rFonts w:ascii="Arial" w:hAnsi="Arial"/>
          <w:b/>
          <w:color w:val="1E293B"/>
          <w:sz w:val="22"/>
        </w:rPr>
        <w:t>3.6.1. Ratio de Urgencia Cinemática ($\eta_{\text{urgencia}}$)</w:t>
      </w:r>
    </w:p>
    <w:p>
      <w:pPr>
        <w:spacing w:after="100" w:line="276" w:lineRule="auto"/>
      </w:pPr>
      <w:r>
        <w:rPr>
          <w:rFonts w:ascii="Arial" w:hAnsi="Arial"/>
          <w:color w:val="1E293B"/>
          <w:sz w:val="20"/>
        </w:rPr>
        <w:t>Cuantifica la discrepancia entre el tiempo físicamente requerido a la velocidad actual y la ventana horaria comprometida con el beneficiario:</w:t>
      </w:r>
    </w:p>
    <w:p>
      <w:pPr>
        <w:spacing w:after="100" w:line="276" w:lineRule="auto"/>
      </w:pPr>
      <w:r>
        <w:rPr>
          <w:rFonts w:ascii="Arial" w:hAnsi="Arial"/>
          <w:color w:val="1E293B"/>
          <w:sz w:val="20"/>
        </w:rPr>
        <w:t>$$t_{\text{real\_est}} = \frac{d_{\text{restante\_km}}}{v_{\text{kmh}} + \epsilon} \times 60 \quad (\text{minutos})$$</w:t>
      </w:r>
    </w:p>
    <w:p>
      <w:pPr>
        <w:spacing w:after="100" w:line="276" w:lineRule="auto"/>
      </w:pPr>
      <w:r>
        <w:rPr>
          <w:rFonts w:ascii="Arial" w:hAnsi="Arial"/>
          <w:color w:val="1E293B"/>
          <w:sz w:val="20"/>
        </w:rPr>
        <w:t>$$\eta_{\text{urgencia}} = \frac{t_{\text{real\_est}}}{\text{ETA}_{\text{programado\_min}} + \epsilon}$$</w:t>
      </w:r>
    </w:p>
    <w:p>
      <w:pPr>
        <w:spacing w:after="100" w:line="276" w:lineRule="auto"/>
      </w:pPr>
      <w:r>
        <w:rPr>
          <w:rFonts w:ascii="Arial" w:hAnsi="Arial"/>
          <w:color w:val="1E293B"/>
          <w:sz w:val="20"/>
        </w:rPr>
        <w:t>Donde $\epsilon = 10^{-5}$ evita divisiones por cero.</w:t>
      </w:r>
    </w:p>
    <w:p>
      <w:pPr>
        <w:pStyle w:val="ListBullet"/>
        <w:spacing w:after="40" w:line="276" w:lineRule="auto"/>
      </w:pPr>
      <w:r>
        <w:rPr>
          <w:rFonts w:ascii="Arial" w:hAnsi="Arial"/>
          <w:color w:val="1E293B"/>
          <w:sz w:val="20"/>
        </w:rPr>
        <w:t>Si $\eta_{\text{urgencia}} \le 1.0$: El vehículo viaja a una velocidad suficiente para cumplir el horario comprometido.</w:t>
      </w:r>
    </w:p>
    <w:p>
      <w:pPr>
        <w:pStyle w:val="ListBullet"/>
        <w:spacing w:after="40" w:line="276" w:lineRule="auto"/>
      </w:pPr>
      <w:r>
        <w:rPr>
          <w:rFonts w:ascii="Arial" w:hAnsi="Arial"/>
          <w:color w:val="1E293B"/>
          <w:sz w:val="20"/>
        </w:rPr>
        <w:t>Si $\eta_{\text{urgencia}} &gt; 1.0$: Existe un déficit de velocidad cinemática que generará retraso inminente si no se interviene.</w:t>
      </w:r>
    </w:p>
    <w:p>
      <w:pPr>
        <w:pStyle w:val="Heading2"/>
        <w:spacing w:before="200" w:after="80"/>
      </w:pPr>
      <w:r>
        <w:rPr>
          <w:rFonts w:ascii="Arial" w:hAnsi="Arial"/>
          <w:b/>
          <w:color w:val="1E293B"/>
          <w:sz w:val="22"/>
        </w:rPr>
        <w:t>3.6.2. Defase Temporal Esperado ($\Delta t_{\text{esperado}}$)</w:t>
      </w:r>
    </w:p>
    <w:p>
      <w:pPr>
        <w:spacing w:after="100" w:line="276" w:lineRule="auto"/>
      </w:pPr>
      <w:r>
        <w:rPr>
          <w:rFonts w:ascii="Arial" w:hAnsi="Arial"/>
          <w:color w:val="1E293B"/>
          <w:sz w:val="20"/>
        </w:rPr>
        <w:t>$$\Delta t_{\text{esperado}} = \max\left(0, t_{\text{real\_est}} - \text{ETA}_{\text{programado\_min}}\right)$$</w:t>
      </w:r>
    </w:p>
    <w:p>
      <w:pPr>
        <w:pStyle w:val="Heading2"/>
        <w:spacing w:before="200" w:after="80"/>
      </w:pPr>
      <w:r>
        <w:rPr>
          <w:rFonts w:ascii="Arial" w:hAnsi="Arial"/>
          <w:b/>
          <w:color w:val="1E293B"/>
          <w:sz w:val="22"/>
        </w:rPr>
        <w:t>3.6.3. Índice Sintético de Riesgo Ambiental ($IR_{\text{amb}}$)</w:t>
      </w:r>
    </w:p>
    <w:p>
      <w:pPr>
        <w:spacing w:after="100" w:line="276" w:lineRule="auto"/>
      </w:pPr>
      <w:r>
        <w:rPr>
          <w:rFonts w:ascii="Arial" w:hAnsi="Arial"/>
          <w:color w:val="1E293B"/>
          <w:sz w:val="20"/>
        </w:rPr>
        <w:t>Pondera la fricción meteorológica y la densidad del tráfico reportada en el tramo vial (Dasgupta et al., 2023):</w:t>
      </w:r>
    </w:p>
    <w:p>
      <w:pPr>
        <w:spacing w:after="100" w:line="276" w:lineRule="auto"/>
      </w:pPr>
      <w:r>
        <w:rPr>
          <w:rFonts w:ascii="Arial" w:hAnsi="Arial"/>
          <w:color w:val="1E293B"/>
          <w:sz w:val="20"/>
        </w:rPr>
        <w:t>$$IR_{\text{amb}} = 0.4 \times S_{\text{clima}} + 0.6 \times S_{\text{tráfico}}$$</w:t>
      </w:r>
    </w:p>
    <w:p>
      <w:pPr>
        <w:spacing w:after="100" w:line="276" w:lineRule="auto"/>
      </w:pPr>
      <w:r>
        <w:rPr>
          <w:rFonts w:ascii="Arial" w:hAnsi="Arial"/>
          <w:color w:val="1E293B"/>
          <w:sz w:val="20"/>
        </w:rPr>
        <w:t>Donde $S_{\text{clima}} \in [0.0, 1.0]$ asigna pesos a (CLEAR: 0.0, FOG: 0.3, RAIN: 0.5, HEAVY_RAIN: 0.8, SNOW: 1.0) y $S_{\text{tráfico}} \in [0.0, 1.0]$ a (LOW: 0.1, MEDIUM: 0.4, HIGH: 0.7, SEVERE_CONGESTION: 1.0).</w:t>
      </w:r>
    </w:p>
    <w:p>
      <w:pPr>
        <w:pStyle w:val="Heading1"/>
        <w:spacing w:before="280" w:after="100"/>
      </w:pPr>
      <w:r>
        <w:rPr>
          <w:rFonts w:ascii="Arial" w:hAnsi="Arial"/>
          <w:b/>
          <w:color w:val="0F172A"/>
          <w:sz w:val="25"/>
        </w:rPr>
        <w:t>3.7. Metodología de Modelado Predictivo, Calibración y Ensambles</w:t>
      </w:r>
    </w:p>
    <w:p>
      <w:pPr>
        <w:pStyle w:val="Heading2"/>
        <w:spacing w:before="200" w:after="80"/>
      </w:pPr>
      <w:r>
        <w:rPr>
          <w:rFonts w:ascii="Arial" w:hAnsi="Arial"/>
          <w:b/>
          <w:color w:val="1E293B"/>
          <w:sz w:val="22"/>
        </w:rPr>
        <w:t>3.7.1. Definición de la Variable Objetivo Supervisada</w:t>
      </w:r>
    </w:p>
    <w:p>
      <w:pPr>
        <w:spacing w:after="100" w:line="276" w:lineRule="auto"/>
      </w:pPr>
      <w:r>
        <w:rPr>
          <w:rFonts w:ascii="Arial" w:hAnsi="Arial"/>
          <w:color w:val="1E293B"/>
          <w:sz w:val="20"/>
        </w:rPr>
        <w:t>La variable dependiente principal es el estado de cumplimiento del despacho:</w:t>
      </w:r>
    </w:p>
    <w:p>
      <w:pPr>
        <w:spacing w:after="100" w:line="276" w:lineRule="auto"/>
      </w:pPr>
      <w:r>
        <w:rPr>
          <w:rFonts w:ascii="Arial" w:hAnsi="Arial"/>
          <w:color w:val="1E293B"/>
          <w:sz w:val="20"/>
        </w:rPr>
        <w:t>$$Y = \text{delay\_status} \in \{0, 1\}$$</w:t>
      </w:r>
    </w:p>
    <w:p>
      <w:pPr>
        <w:spacing w:after="100" w:line="276" w:lineRule="auto"/>
      </w:pPr>
      <w:r>
        <w:rPr>
          <w:rFonts w:ascii="Arial" w:hAnsi="Arial"/>
          <w:color w:val="1E293B"/>
          <w:sz w:val="20"/>
        </w:rPr>
        <w:t>El modelo optimiza la función de pérdida de entropía cruzada binaria con ponderación asimétrica para penalizar los falsos negativos:</w:t>
      </w:r>
    </w:p>
    <w:p>
      <w:pPr>
        <w:spacing w:after="100" w:line="276" w:lineRule="auto"/>
      </w:pPr>
      <w:r>
        <w:rPr>
          <w:rFonts w:ascii="Arial" w:hAnsi="Arial"/>
          <w:color w:val="1E293B"/>
          <w:sz w:val="20"/>
        </w:rPr>
        <w:t>$$\mathcal{L}(y, \hat{p}) = -\frac{1}{N} \sum_{i=1}^N \left[ w \cdot y_i \log(\hat{p}_i) + (1 - y_i) \log(1 - \hat{p}_i) \right]$$</w:t>
      </w:r>
    </w:p>
    <w:p>
      <w:pPr>
        <w:spacing w:after="100" w:line="276" w:lineRule="auto"/>
      </w:pPr>
      <w:r>
        <w:rPr>
          <w:rFonts w:ascii="Arial" w:hAnsi="Arial"/>
          <w:color w:val="1E293B"/>
          <w:sz w:val="20"/>
        </w:rPr>
        <w:t>Donde $w = \frac{N_{\text{negativos}}}{N_{\text{positivos}}}$ ajusta la importancia de la clase minoritaria con riesgo de disrupción.</w:t>
      </w:r>
    </w:p>
    <w:p>
      <w:pPr>
        <w:pStyle w:val="Heading2"/>
        <w:spacing w:before="200" w:after="80"/>
      </w:pPr>
      <w:r>
        <w:rPr>
          <w:rFonts w:ascii="Arial" w:hAnsi="Arial"/>
          <w:b/>
          <w:color w:val="1E293B"/>
          <w:sz w:val="22"/>
        </w:rPr>
        <w:t>3.7.2. Protocolo de Validación Cruzada y Stacking Super Learner</w:t>
      </w:r>
    </w:p>
    <w:p>
      <w:pPr>
        <w:spacing w:after="100" w:line="276" w:lineRule="auto"/>
      </w:pPr>
      <w:r>
        <w:rPr>
          <w:rFonts w:ascii="Arial" w:hAnsi="Arial"/>
          <w:color w:val="1E293B"/>
          <w:sz w:val="20"/>
        </w:rPr>
        <w:t>El entrenamiento se ejecuta mediante 5-Fold Stratified Cross-Validation, garantizando idéntica proporción de retrasos en cada partición. El ensamble campeón StackingEnsemble entrena estimadores de base (XGBoost, LightGBM, CatBoost, RandomForest, ExtraTrees) cuyas predicciones fuera de pliegue alimentan un meta-clasificador logístico regularizado con calibración de Platt para asegurar probabilidades continuas óptimas $\hat{p} \in [0, 1]$.</w:t>
      </w:r>
    </w:p>
    <w:p>
      <w:pPr>
        <w:pStyle w:val="Heading1"/>
        <w:spacing w:before="280" w:after="100"/>
      </w:pPr>
      <w:r>
        <w:rPr>
          <w:rFonts w:ascii="Arial" w:hAnsi="Arial"/>
          <w:b/>
          <w:color w:val="0F172A"/>
          <w:sz w:val="25"/>
        </w:rPr>
        <w:t>3.8. Algoritmia del Motor de Optimización de Rutas (VRP Meals on Wheels)</w:t>
      </w:r>
    </w:p>
    <w:p>
      <w:pPr>
        <w:spacing w:after="100" w:line="276" w:lineRule="auto"/>
      </w:pPr>
      <w:r>
        <w:rPr>
          <w:rFonts w:ascii="Arial" w:hAnsi="Arial"/>
          <w:color w:val="1E293B"/>
          <w:sz w:val="20"/>
        </w:rPr>
        <w:t>Siguiendo el enfoque de modelado de transporte de Ravindran &amp; Warsing (2021), la asignación de $N$ clientes a $K$ vehículos y la secuenciación de paradas se resuelve en dos fases:</w:t>
      </w:r>
    </w:p>
    <w:p>
      <w:pPr>
        <w:ind w:left="576"/>
        <w:shd w:fill="F1F5F9"/>
      </w:pPr>
      <w:r>
        <w:rPr>
          <w:rFonts w:ascii="Consolas" w:hAnsi="Consolas"/>
          <w:color w:val="1E293B"/>
          <w:sz w:val="17"/>
        </w:rPr>
        <w:t>flowchart TD</w:t>
        <w:br/>
        <w:t xml:space="preserve">    A["Demanda Asistencial (N=200 Hogares)"] --&gt; B["Fase 1: K-Means Spatial Clustering (K=21 Rutas)"]</w:t>
        <w:br/>
        <w:t xml:space="preserve">    B --&gt; C["Fase 2: Heurística 2-Opt TSP por Clúster"]</w:t>
        <w:br/>
        <w:t xml:space="preserve">    C --&gt; D{"Tipo de Conductor"}</w:t>
        <w:br/>
        <w:t xml:space="preserve">    D --&gt;|Regular (70%)| E["Ruta One-Way (Finaliza en última parada)"]</w:t>
        <w:br/>
        <w:t xml:space="preserve">    D --&gt;|Voluntario (30%)| F["Ruta Round-Trip (Retorna a Cocina Central)"]</w:t>
        <w:br/>
        <w:t xml:space="preserve">    E --&gt; G["Validación SLA Térmico (&lt; 90 min)"]</w:t>
        <w:br/>
        <w:t xml:space="preserve">    F --&gt; G</w:t>
      </w:r>
    </w:p>
    <w:p>
      <w:pPr>
        <w:pStyle w:val="Heading2"/>
        <w:spacing w:before="200" w:after="80"/>
      </w:pPr>
      <w:r>
        <w:rPr>
          <w:rFonts w:ascii="Arial" w:hAnsi="Arial"/>
          <w:b/>
          <w:color w:val="1E293B"/>
          <w:sz w:val="22"/>
        </w:rPr>
        <w:t>3.8.1. Fase 1: Particionamiento Espacial mediante K-Means</w:t>
      </w:r>
    </w:p>
    <w:p>
      <w:pPr>
        <w:spacing w:after="100" w:line="276" w:lineRule="auto"/>
      </w:pPr>
      <w:r>
        <w:rPr>
          <w:rFonts w:ascii="Arial" w:hAnsi="Arial"/>
          <w:color w:val="1E293B"/>
          <w:sz w:val="20"/>
        </w:rPr>
        <w:t>Minimiza la varianza espacial intra-clúster para agrupar los hogares en zonas compactas de reparto:</w:t>
      </w:r>
    </w:p>
    <w:p>
      <w:pPr>
        <w:spacing w:after="100" w:line="276" w:lineRule="auto"/>
      </w:pPr>
      <w:r>
        <w:rPr>
          <w:rFonts w:ascii="Arial" w:hAnsi="Arial"/>
          <w:color w:val="1E293B"/>
          <w:sz w:val="20"/>
        </w:rPr>
        <w:t>$$\arg\min_{\mathcal{S}} \sum_{k=1}^{K} \sum_{x \in S_k} \|x - \mu_k\|^2$$</w:t>
      </w:r>
    </w:p>
    <w:p>
      <w:pPr>
        <w:pStyle w:val="Heading2"/>
        <w:spacing w:before="200" w:after="80"/>
      </w:pPr>
      <w:r>
        <w:rPr>
          <w:rFonts w:ascii="Arial" w:hAnsi="Arial"/>
          <w:b/>
          <w:color w:val="1E293B"/>
          <w:sz w:val="22"/>
        </w:rPr>
        <w:t>3.8.2. Fase 2: Secuenciación Heurística 2-Opt</w:t>
      </w:r>
    </w:p>
    <w:p>
      <w:pPr>
        <w:spacing w:after="100" w:line="276" w:lineRule="auto"/>
      </w:pPr>
      <w:r>
        <w:rPr>
          <w:rFonts w:ascii="Arial" w:hAnsi="Arial"/>
          <w:color w:val="1E293B"/>
          <w:sz w:val="20"/>
        </w:rPr>
        <w:t>Para cada clúster $S_k$, se inicializa el recorrido mediante el algoritmo del Vecino Más Próximo (*Nearest Neighbor*) partiendo del depósito central $v_0 = (43.6150, -116.2023)$. Posteriormente, el bucle 2-Opt invierte sub-rutas $(i, j)$ iterativamente hasta que no exista ningún intercambio de aristas que reduzca la distancia euclidiana/Haversine acumulada:</w:t>
      </w:r>
    </w:p>
    <w:p>
      <w:pPr>
        <w:spacing w:after="100" w:line="276" w:lineRule="auto"/>
      </w:pPr>
      <w:r>
        <w:rPr>
          <w:rFonts w:ascii="Arial" w:hAnsi="Arial"/>
          <w:color w:val="1E293B"/>
          <w:sz w:val="20"/>
        </w:rPr>
        <w:t>$$d(p_1, p_2) = 2 R \arcsin\left(\sqrt{\sin^2\left(\frac{\Delta \phi}{2}\right) + \cos(\phi_1)\cos(\phi_2)\sin^2\left(\frac{\Delta \lambda}{2}\right)}\right)$$</w:t>
      </w:r>
    </w:p>
    <w:p>
      <w:pPr>
        <w:pStyle w:val="Heading1"/>
        <w:spacing w:before="280" w:after="100"/>
      </w:pPr>
      <w:r>
        <w:rPr>
          <w:rFonts w:ascii="Arial" w:hAnsi="Arial"/>
          <w:b/>
          <w:color w:val="0F172A"/>
          <w:sz w:val="25"/>
        </w:rPr>
        <w:t>3.9. Marco de Evaluación y Pruebas</w:t>
      </w:r>
    </w:p>
    <w:p>
      <w:pPr>
        <w:spacing w:after="100" w:line="276" w:lineRule="auto"/>
      </w:pPr>
      <w:r>
        <w:rPr>
          <w:rFonts w:ascii="Arial" w:hAnsi="Arial"/>
          <w:color w:val="1E293B"/>
          <w:sz w:val="20"/>
        </w:rPr>
        <w:t>Para garantizar la reproducibilidad y rigor de las conclusiones, el sistema se evalúa mediante un protocolo integral en tres ejes:</w:t>
      </w:r>
    </w:p>
    <w:p>
      <w:pPr>
        <w:pStyle w:val="ListNumber"/>
        <w:spacing w:after="40" w:line="276" w:lineRule="auto"/>
      </w:pPr>
      <w:r>
        <w:rPr>
          <w:rFonts w:ascii="Arial" w:hAnsi="Arial"/>
          <w:color w:val="1E293B"/>
          <w:sz w:val="20"/>
        </w:rPr>
        <w:t>Validación Estadística Inferencial: Contrastes de hipótesis sobre el dataset Gold operacional publicado conjuntamente por Amazon Last Mile Science y el MIT Center for Transportation &amp; Logistics (CTL) (*2021 Amazon Last-Mile Routing Research Challenge*, Merchán et al., 2022; $N=8.000$ instancias telemáticas en 17 centros operativos) mediante pruebas de Shapiro-Wilk, Kolmogorov-Smirnov, $t$-test de Welch con tamaño del efecto Cohen's $d$, Mann-Whitney $U$, One-Way ANOVA, Kruskal-Wallis, Chi-cuadrado $\chi^2$ e intervalos de confianza Bootstrap al $95\%$.</w:t>
      </w:r>
    </w:p>
    <w:p>
      <w:pPr>
        <w:pStyle w:val="ListNumber"/>
        <w:spacing w:after="40" w:line="276" w:lineRule="auto"/>
      </w:pPr>
      <w:r>
        <w:rPr>
          <w:rFonts w:ascii="Arial" w:hAnsi="Arial"/>
          <w:color w:val="1E293B"/>
          <w:sz w:val="20"/>
        </w:rPr>
        <w:t>Evaluación de Machine Learning y XAI: Suite de 6 algoritmos bajo Validación Cruzada Estratificada de 5 Pliegues (5-Fold Stratified CV), evaluando ROC-AUC, PR-AUC, Recall, Precision, $F_1$-Score, $F_2$-Score, calibración de probabilidades (*Brier Score*) del ensamble *Super Learner* (StackingEnsemble) y jerarquía de importancia causal mediante valores TreeSHAP en tiempo real.</w:t>
      </w:r>
    </w:p>
    <w:p>
      <w:pPr>
        <w:pStyle w:val="ListNumber"/>
        <w:spacing w:after="40" w:line="276" w:lineRule="auto"/>
      </w:pPr>
      <w:r>
        <w:rPr>
          <w:rFonts w:ascii="Arial" w:hAnsi="Arial"/>
          <w:color w:val="1E293B"/>
          <w:sz w:val="20"/>
        </w:rPr>
        <w:t>Evaluación Operacional y Económica: Análisis comparativo de kilometraje diario, horas de conducción, cumplimiento porcentual del SLA térmico ($\le 90\text{ min}$) y proyección de ahorro financiero anual para Meals on Wheels en Treasure Valley (Longshore &amp; Cheatham, 2022).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