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475569"/>
          <w:sz w:val="22"/>
        </w:rPr>
        <w:t>UNIVERSIDAD COMPLUTENSE DE MADRID — MÁSTER EN BIG DATA &amp; DATA SCIENCE</w:t>
        <w:br/>
      </w:r>
      <w:r>
        <w:rPr>
          <w:rFonts w:ascii="Arial" w:hAnsi="Arial"/>
          <w:i/>
          <w:color w:val="64748B"/>
          <w:sz w:val="21"/>
        </w:rPr>
        <w:t>Integración de IoT y Big Data en la Logística 4.0 para el apoyo a decisiones inteligentes en la cadena de suministro</w:t>
        <w:br/>
        <w:br/>
      </w:r>
      <w:r>
        <w:rPr>
          <w:rFonts w:ascii="Arial" w:hAnsi="Arial"/>
          <w:b/>
          <w:color w:val="0F172A"/>
          <w:sz w:val="30"/>
        </w:rPr>
        <w:t>CAPÍTULO 4. DESARROLLO E IMPLEMENTACIÓN DE LA ARQUITECTURA</w:t>
        <w:br/>
      </w:r>
      <w:r>
        <w:rPr>
          <w:rFonts w:ascii="Arial" w:hAnsi="Arial"/>
          <w:color w:val="0E7490"/>
          <w:sz w:val="20"/>
        </w:rPr>
        <w:t>Autor: Guillén Concepción | Senior Data Scientist &amp; MLOps Engineer</w:t>
        <w:br/>
      </w:r>
    </w:p>
    <w:p/>
    <w:p>
      <w:pPr>
        <w:pStyle w:val="Heading1"/>
        <w:spacing w:before="280" w:after="100"/>
      </w:pPr>
      <w:r>
        <w:rPr>
          <w:rFonts w:ascii="Arial" w:hAnsi="Arial"/>
          <w:b/>
          <w:color w:val="0F172A"/>
          <w:sz w:val="25"/>
        </w:rPr>
        <w:t>4.1. Introducción al Capítulo 4</w:t>
      </w:r>
    </w:p>
    <w:p>
      <w:pPr>
        <w:spacing w:after="100" w:line="276" w:lineRule="auto"/>
      </w:pPr>
      <w:r>
        <w:rPr>
          <w:rFonts w:ascii="Arial" w:hAnsi="Arial"/>
          <w:color w:val="1E293B"/>
          <w:sz w:val="20"/>
        </w:rPr>
        <w:t>El presente capítulo detalla la implementación técnica, computacional y metodológica de la arquitectura integral de Decision Intelligence propuesta en este Trabajo de Fin de Máster. Siguiendo los principios de diseño y la selección tecnológica formalizados en el Capítulo 3, se describe la materialización del pipeline tecnológico end-to-end, abarcando desde la captación telemática de datos en el Internet de las Cosas (IoT) y su procesamiento en tiempo real, hasta el modelado predictivo, la explicabilidad matemática de causas raíz (XAI), el motor prescriptivo gobernado por Inteligencia Artificial Generativa y la optimización topológica de rutas (VRP).</w:t>
      </w:r>
    </w:p>
    <w:p>
      <w:pPr>
        <w:spacing w:after="100" w:line="276" w:lineRule="auto"/>
      </w:pPr>
      <w:r>
        <w:rPr>
          <w:rFonts w:ascii="Arial" w:hAnsi="Arial"/>
          <w:color w:val="1E293B"/>
          <w:sz w:val="20"/>
        </w:rPr>
        <w:t>La solución ha sido diseñada bajo un paradigma asíncrono, desacoplado y tolerante a fallos, orientado a resolver las fricciones críticas del caso de estudio de Metro Meals on Wheels en Treasure Valley (Idaho). Dicho caso plantea un escenario logístico asistencial de alta complejidad: coordinar el reparto de comida caliente y fría a más de 800 personas mayores vulnerables a lo largo de 2,745 $\text{km}^2$, bajo un estricto Acuerdo de Nivel de Servicio (SLA) de caducidad térmica de 90 minutos y una flota mixta compuesta por conductores regulares y voluntarios ocasionales.</w:t>
      </w:r>
    </w:p>
    <w:p>
      <w:pPr>
        <w:spacing w:after="100" w:line="276" w:lineRule="auto"/>
      </w:pPr>
      <w:r>
        <w:rPr>
          <w:rFonts w:ascii="Arial" w:hAnsi="Arial"/>
          <w:color w:val="1E293B"/>
          <w:sz w:val="20"/>
        </w:rPr>
        <w:t>A lo largo de este capítulo se documentan las capas que conforman la solución, incluyendo las formulaciones matemáticas de ingeniería de características, los experimentos de benchmarking multi-modelo, los algoritmos de optimización de grafos, las prácticas de observabilidad y reproducibilidad bajo estándares MLOps (Criterio Odysseus), y la construcción de la torre de control visual interactiva.</w:t>
      </w:r>
    </w:p>
    <w:p>
      <w:pPr>
        <w:ind w:left="576"/>
        <w:shd w:fill="F1F5F9"/>
      </w:pPr>
      <w:r>
        <w:rPr>
          <w:rFonts w:ascii="Consolas" w:hAnsi="Consolas"/>
          <w:color w:val="1E293B"/>
          <w:sz w:val="17"/>
        </w:rPr>
        <w:t>flowchart TD</w:t>
        <w:br/>
        <w:t xml:space="preserve">    subgraph CAPA1["1. Captación e Ingesta IoT"]</w:t>
        <w:br/>
        <w:t xml:space="preserve">        IOT["IoT Simulator&lt;br/&gt;(Telemetría GPS / Micro-Batches)"] --&gt; LZ["Landing Zone / Kafka Broker&lt;br/&gt;(Drop-Folder JSON)"]</w:t>
        <w:br/>
        <w:t xml:space="preserve">        LZ --&gt; VAL["Data Quality Gate (Pydantic)&lt;br/&gt;(Validación Física y Dimensional)"]</w:t>
        <w:br/>
        <w:t xml:space="preserve">    end</w:t>
        <w:br/>
        <w:br/>
        <w:t xml:space="preserve">    subgraph CAPA2["2. Feature Store (Capa Gold)"]</w:t>
        <w:br/>
        <w:t xml:space="preserve">        VAL --&gt; FS["Feature Store Real-Time&lt;br/&gt;- Ratio de Urgencia ETA (η)&lt;br/&gt;- Defase Esperado (Δt)&lt;br/&gt;- Riesgo Ambiental Sintético (IR_amb)"]</w:t>
        <w:br/>
        <w:t xml:space="preserve">    end</w:t>
        <w:br/>
        <w:br/>
        <w:t xml:space="preserve">    subgraph CAPA3["3. IA Predictiva y MLOps"]</w:t>
        <w:br/>
        <w:t xml:space="preserve">        FS --&gt; TRAIN["ML Multi-Model Benchmark&lt;br/&gt;(XGBoost / LightGBM / RF)"]</w:t>
        <w:br/>
        <w:t xml:space="preserve">        TRAIN --&gt; MLFLOW["MLflow Tracking &amp; Registry&lt;br/&gt;(Firmas, Parámetros y Métricas)"]</w:t>
        <w:br/>
        <w:t xml:space="preserve">        TRAIN --&gt; PRED["Predict Engine&lt;br/&gt;(P(Retraso) ∈ [0, 1])"]</w:t>
        <w:br/>
        <w:t xml:space="preserve">    end</w:t>
        <w:br/>
        <w:br/>
        <w:t xml:space="preserve">    subgraph CAPA4["4. Explicabilidad y Prescripción"]</w:t>
        <w:br/>
        <w:t xml:space="preserve">        PRED --&gt; SHAP["TreeExplainer SHAP&lt;br/&gt;(Contribución Local de Factores)"]</w:t>
        <w:br/>
        <w:t xml:space="preserve">        SHAP --&gt; DECISION["Decision Engine (Reglas SLA)&lt;br/&gt;- Nivel 1: Crítico (P ≥ 0.75)&lt;br/&gt;- Nivel 2: Moderado (0.45 ≤ P &lt; 0.75)&lt;br/&gt;- Nivel 3: Normal (P &lt; 0.45)"]</w:t>
        <w:br/>
        <w:t xml:space="preserve">        DECISION --&gt; LLM["Guarded GenAI Agent&lt;br/&gt;(Síntesis Prescriptiva en Lenguaje Natural)"]</w:t>
        <w:br/>
        <w:t xml:space="preserve">    end</w:t>
        <w:br/>
        <w:br/>
        <w:t xml:space="preserve">    subgraph CAPA5["5. Optimización Topológica (VRP)"]</w:t>
        <w:br/>
        <w:t xml:space="preserve">        DECISION --&gt; VRP["Route Optimizer (VRP)&lt;br/&gt;- Clustering K-Means&lt;br/&gt;- Secuenciación 2-Opt TSP&lt;br/&gt;- One-Way vs. Round-Trip"]</w:t>
        <w:br/>
        <w:t xml:space="preserve">        DECISION --&gt; DIJKSTRA["Reenrutamiento Dinámico&lt;br/&gt;(Grafos Dijkstra en NetworkX)"]</w:t>
        <w:br/>
        <w:t xml:space="preserve">    end</w:t>
        <w:br/>
        <w:br/>
        <w:t xml:space="preserve">    subgraph CAPA6["6. Control Tower &amp; UI"]</w:t>
        <w:br/>
        <w:t xml:space="preserve">        CAPA4 --&gt; SINK["SQLite Sink (live_fleet_state.db)"]</w:t>
        <w:br/>
        <w:t xml:space="preserve">        VRP --&gt; DASH["Streamlit Control Tower&lt;br/&gt;(Mapbox GPS, EDA Inferencial, Hojas de Ruta)"]</w:t>
        <w:br/>
        <w:t xml:space="preserve">        SINK --&gt; DASH</w:t>
        <w:br/>
        <w:t xml:space="preserve">    end</w:t>
      </w:r>
    </w:p>
    <w:p>
      <w:pPr>
        <w:pStyle w:val="Heading1"/>
        <w:spacing w:before="280" w:after="100"/>
      </w:pPr>
      <w:r>
        <w:rPr>
          <w:rFonts w:ascii="Arial" w:hAnsi="Arial"/>
          <w:b/>
          <w:color w:val="0F172A"/>
          <w:sz w:val="25"/>
        </w:rPr>
        <w:t>4.2. Implementación de la Capa de Captación e Ingesta Telemática (IoT &amp; Streaming)</w:t>
      </w:r>
    </w:p>
    <w:p>
      <w:pPr>
        <w:pStyle w:val="Heading2"/>
        <w:spacing w:before="200" w:after="80"/>
      </w:pPr>
      <w:r>
        <w:rPr>
          <w:rFonts w:ascii="Arial" w:hAnsi="Arial"/>
          <w:b/>
          <w:color w:val="1E293B"/>
          <w:sz w:val="22"/>
        </w:rPr>
        <w:t>4.2.1. Simulador de Telemetría IoT y Generación de Micro-Batches</w:t>
      </w:r>
    </w:p>
    <w:p>
      <w:pPr>
        <w:spacing w:after="100" w:line="276" w:lineRule="auto"/>
      </w:pPr>
      <w:r>
        <w:rPr>
          <w:rFonts w:ascii="Arial" w:hAnsi="Arial"/>
          <w:color w:val="1E293B"/>
          <w:sz w:val="20"/>
        </w:rPr>
        <w:t>Para validar el sistema ante la ausencia de una API telemática vehicular en vivo, se desarrolló un módulo productor de eventos IoT de alta fidelidad ([src/data_ingestion/iot_simulator.py](file:///d:/LabD/DS-LOGISTICA%204.0-Metro-Meals-on%20Wheels%20Treasure%20Valley/src/data_ingestion/iot_simulator.py)). Dicho simulador modela la dinámica cinemática y las condiciones operativas de una flota de 14 vehículos logísticos (VH-101 a VH-114) operando en el área metropolitana de Treasure Valley.</w:t>
      </w:r>
    </w:p>
    <w:p>
      <w:pPr>
        <w:spacing w:after="100" w:line="276" w:lineRule="auto"/>
      </w:pPr>
      <w:r>
        <w:rPr>
          <w:rFonts w:ascii="Arial" w:hAnsi="Arial"/>
          <w:color w:val="1E293B"/>
          <w:sz w:val="20"/>
        </w:rPr>
        <w:t>Cada evento telemático $e_t$ generado en el instante $t$ se estructura como un payload JSON que contiene las siguientes variables:</w:t>
      </w:r>
    </w:p>
    <w:p>
      <w:pPr>
        <w:spacing w:after="100" w:line="276" w:lineRule="auto"/>
      </w:pPr>
      <w:r>
        <w:rPr>
          <w:rFonts w:ascii="Arial" w:hAnsi="Arial"/>
          <w:color w:val="1E293B"/>
          <w:sz w:val="20"/>
        </w:rPr>
        <w:t>$$e_t = \langle \text{shipment\_id}, \text{vehicle\_id}, t_{\text{UTC}}, \text{lat}, \text{lon}, v, \rho_{\text{tráfico}}, c_{\text{clima}}, T_{\text{carga}}, d_{\text{restante}}, \text{ETA}_{\text{prog}} \rangle$$</w:t>
      </w:r>
    </w:p>
    <w:p>
      <w:pPr>
        <w:spacing w:after="100" w:line="276" w:lineRule="auto"/>
      </w:pPr>
      <w:r>
        <w:rPr>
          <w:rFonts w:ascii="Arial" w:hAnsi="Arial"/>
          <w:color w:val="1E293B"/>
          <w:sz w:val="20"/>
        </w:rPr>
        <w:t>Donde:</w:t>
      </w:r>
    </w:p>
    <w:p>
      <w:pPr>
        <w:pStyle w:val="ListBullet"/>
        <w:spacing w:after="40" w:line="276" w:lineRule="auto"/>
      </w:pPr>
      <w:r>
        <w:rPr>
          <w:rFonts w:ascii="Arial" w:hAnsi="Arial"/>
          <w:color w:val="1E293B"/>
          <w:sz w:val="20"/>
        </w:rPr>
        <w:t>$\text{lat} \in [43.465, 43.765]^\circ\text{N}$, $\text{lon} \in [-116.402, -116.002]^\circ\text{W}$: Coordenadas GPS en el corredor Boise-Meridian-Nampa.</w:t>
      </w:r>
    </w:p>
    <w:p>
      <w:pPr>
        <w:pStyle w:val="ListBullet"/>
        <w:spacing w:after="40" w:line="276" w:lineRule="auto"/>
      </w:pPr>
      <w:r>
        <w:rPr>
          <w:rFonts w:ascii="Arial" w:hAnsi="Arial"/>
          <w:color w:val="1E293B"/>
          <w:sz w:val="20"/>
        </w:rPr>
        <w:t>$v \in [20.0, 90.0]\text{ km/h}$: Velocidad instantánea reportada por el odómetro y tacógrafo digital.</w:t>
      </w:r>
    </w:p>
    <w:p>
      <w:pPr>
        <w:pStyle w:val="ListBullet"/>
        <w:spacing w:after="40" w:line="276" w:lineRule="auto"/>
      </w:pPr>
      <w:r>
        <w:rPr>
          <w:rFonts w:ascii="Arial" w:hAnsi="Arial"/>
          <w:color w:val="1E293B"/>
          <w:sz w:val="20"/>
        </w:rPr>
        <w:t>$\rho_{\text{tráfico}} \in \{\text{LOW}, \text{MODERATE}, \text{HIGH}, \text{SEVERE\_CONGESTION}\}$: Densidad de tráfico reportada por sensores de infraestructura.</w:t>
      </w:r>
    </w:p>
    <w:p>
      <w:pPr>
        <w:pStyle w:val="ListBullet"/>
        <w:spacing w:after="40" w:line="276" w:lineRule="auto"/>
      </w:pPr>
      <w:r>
        <w:rPr>
          <w:rFonts w:ascii="Arial" w:hAnsi="Arial"/>
          <w:color w:val="1E293B"/>
          <w:sz w:val="20"/>
        </w:rPr>
        <w:t>$c_{\text{clima}} \in \{\text{CLEAR}, \text{RAIN}, \text{HEAVY\_RAIN}, \text{FOG}, \text{SNOW}\}$: Estado meteorológico en el tramo de ruta.</w:t>
      </w:r>
    </w:p>
    <w:p>
      <w:pPr>
        <w:pStyle w:val="ListBullet"/>
        <w:spacing w:after="40" w:line="276" w:lineRule="auto"/>
      </w:pPr>
      <w:r>
        <w:rPr>
          <w:rFonts w:ascii="Arial" w:hAnsi="Arial"/>
          <w:color w:val="1E293B"/>
          <w:sz w:val="20"/>
        </w:rPr>
        <w:t>$T_{\text{carga}} \in [2.0, 8.0]^\circ\text{C}$: Temperatura del compartimento isotérmico para el control de la cadena de frío.</w:t>
      </w:r>
    </w:p>
    <w:p>
      <w:pPr>
        <w:pStyle w:val="ListBullet"/>
        <w:spacing w:after="40" w:line="276" w:lineRule="auto"/>
      </w:pPr>
      <w:r>
        <w:rPr>
          <w:rFonts w:ascii="Arial" w:hAnsi="Arial"/>
          <w:color w:val="1E293B"/>
          <w:sz w:val="20"/>
        </w:rPr>
        <w:t>$d_{\text{restante}} \in [5.0, 150.0]\text{ km}$: Distancia geodésica acumulada hacia los clientes pendientes de la ruta.</w:t>
      </w:r>
    </w:p>
    <w:p>
      <w:pPr>
        <w:pStyle w:val="ListBullet"/>
        <w:spacing w:after="40" w:line="276" w:lineRule="auto"/>
      </w:pPr>
      <w:r>
        <w:rPr>
          <w:rFonts w:ascii="Arial" w:hAnsi="Arial"/>
          <w:color w:val="1E293B"/>
          <w:sz w:val="20"/>
        </w:rPr>
        <w:t>$\text{ETA}_{\text{prog}} \in [30, 240]\text{ min}$: Ventana de tiempo máxima comprometida con el cliente.</w:t>
      </w:r>
    </w:p>
    <w:p>
      <w:pPr>
        <w:pStyle w:val="Heading2"/>
        <w:spacing w:before="200" w:after="80"/>
      </w:pPr>
      <w:r>
        <w:rPr>
          <w:rFonts w:ascii="Arial" w:hAnsi="Arial"/>
          <w:b/>
          <w:color w:val="1E293B"/>
          <w:sz w:val="22"/>
        </w:rPr>
        <w:t>4.2.2. Patrón de Ingesta Asíncrona (Landing Zone / Kafka Broker)</w:t>
      </w:r>
    </w:p>
    <w:p>
      <w:pPr>
        <w:spacing w:after="100" w:line="276" w:lineRule="auto"/>
      </w:pPr>
      <w:r>
        <w:rPr>
          <w:rFonts w:ascii="Arial" w:hAnsi="Arial"/>
          <w:color w:val="1E293B"/>
          <w:sz w:val="20"/>
        </w:rPr>
        <w:t>La arquitectura implementa dos mecanismos desacoplados de transmisión:</w:t>
      </w:r>
    </w:p>
    <w:p>
      <w:pPr>
        <w:pStyle w:val="ListNumber"/>
        <w:spacing w:after="40" w:line="276" w:lineRule="auto"/>
      </w:pPr>
      <w:r>
        <w:rPr>
          <w:rFonts w:ascii="Arial" w:hAnsi="Arial"/>
          <w:color w:val="1E293B"/>
          <w:sz w:val="20"/>
        </w:rPr>
        <w:t>Patrón Drop-Folder / Landing Zone (Local Streaming): Diseñado para garantizar la portabilidad y ejecución local sin necesidad de infraestructura pesada distribuida. El productor deposita micro-batches (event_{timestamp}_{vehicle_id}.json) en data/streaming_landing_zone/. El consumidor ([src/processing/file_stream_consumer.py](file:///d:/LabD/DS-LOGISTICA%204.0-Metro-Meals-on%20Wheels%20Treasure%20Valley/src/processing/file_stream_consumer.py)) monitorea continuamente el directorio, procesa el evento y elimina el archivo una vez transformado y persistido.</w:t>
      </w:r>
    </w:p>
    <w:p>
      <w:pPr>
        <w:pStyle w:val="ListNumber"/>
        <w:spacing w:after="40" w:line="276" w:lineRule="auto"/>
      </w:pPr>
      <w:r>
        <w:rPr>
          <w:rFonts w:ascii="Arial" w:hAnsi="Arial"/>
          <w:color w:val="1E293B"/>
          <w:sz w:val="20"/>
        </w:rPr>
        <w:t>Patrón Event-Driven Kafka (Enterprise Streaming): Para entornos de alta concurrencia, se implementó el consumidor Kafka ([src/processing/kafka_consumer.py](file:///d:/LabD/DS-LOGISTICA%204.0-Metro-Meals-on%20Wheels%20Treasure%20Valley/src/processing/kafka_consumer.py)) suscrito al topic logistics-telemetry-topic, permitiendo procesar miles de mensajes por segundo con semántica de entrega *at-least-once*.</w:t>
      </w:r>
    </w:p>
    <w:p>
      <w:pPr>
        <w:pStyle w:val="Heading2"/>
        <w:spacing w:before="200" w:after="80"/>
      </w:pPr>
      <w:r>
        <w:rPr>
          <w:rFonts w:ascii="Arial" w:hAnsi="Arial"/>
          <w:b/>
          <w:color w:val="1E293B"/>
          <w:sz w:val="22"/>
        </w:rPr>
        <w:t>4.2.3. Capa de Calidad y Validación de Datos (Data Quality Gate)</w:t>
      </w:r>
    </w:p>
    <w:p>
      <w:pPr>
        <w:spacing w:after="100" w:line="276" w:lineRule="auto"/>
      </w:pPr>
      <w:r>
        <w:rPr>
          <w:rFonts w:ascii="Arial" w:hAnsi="Arial"/>
          <w:color w:val="1E293B"/>
          <w:sz w:val="20"/>
        </w:rPr>
        <w:t>Siguiendo las mejores prácticas de MLOps de producción, se incorporó un módulo de validación formal de esquemas ([src/processing/data_validator.py](file:///d:/LabD/DS-LOGISTICA%204.0-Metro-Meals-on%20Wheels%20Treasure%20Valley/src/processing/data_validator.py)) utilizando Pydantic. Este actúa como una compuerta de calidad (*Quality Gate*) que intercepta y descarta cualquier evento corrupto o físicamente anómalo antes de que alcance el Feature Store.</w:t>
      </w:r>
    </w:p>
    <w:p>
      <w:pPr>
        <w:spacing w:after="100" w:line="276" w:lineRule="auto"/>
      </w:pPr>
      <w:r>
        <w:rPr>
          <w:rFonts w:ascii="Arial" w:hAnsi="Arial"/>
          <w:color w:val="1E293B"/>
          <w:sz w:val="20"/>
        </w:rPr>
        <w:t>El validador ejecuta las siguientes restricciones físicas y dimensionales:</w:t>
      </w:r>
    </w:p>
    <w:p>
      <w:pPr>
        <w:pStyle w:val="ListBullet"/>
        <w:spacing w:after="40" w:line="276" w:lineRule="auto"/>
      </w:pPr>
      <w:r>
        <w:rPr>
          <w:rFonts w:ascii="Arial" w:hAnsi="Arial"/>
          <w:color w:val="1E293B"/>
          <w:sz w:val="20"/>
        </w:rPr>
        <w:t>Límites Geográficos Estrictos: $\text{lat} \in [43.0, 44.5]$, $\text{lon} \in [-117.2, -115.5]$.</w:t>
      </w:r>
    </w:p>
    <w:p>
      <w:pPr>
        <w:pStyle w:val="ListBullet"/>
        <w:spacing w:after="40" w:line="276" w:lineRule="auto"/>
      </w:pPr>
      <w:r>
        <w:rPr>
          <w:rFonts w:ascii="Arial" w:hAnsi="Arial"/>
          <w:color w:val="1E293B"/>
          <w:sz w:val="20"/>
        </w:rPr>
        <w:t>Límites Cinemáticos: Velocidad acotada en $v \in [0.0, 160.0]\text{ km/h}$.</w:t>
      </w:r>
    </w:p>
    <w:p>
      <w:pPr>
        <w:pStyle w:val="ListBullet"/>
        <w:spacing w:after="40" w:line="276" w:lineRule="auto"/>
      </w:pPr>
      <w:r>
        <w:rPr>
          <w:rFonts w:ascii="Arial" w:hAnsi="Arial"/>
          <w:color w:val="1E293B"/>
          <w:sz w:val="20"/>
        </w:rPr>
        <w:t>Seguridad Térmica: Temperatura de carga en $T_{\text{carga}} \in [-15.0, 40.0]^\circ\text{C}$.</w:t>
      </w:r>
    </w:p>
    <w:p>
      <w:pPr>
        <w:pStyle w:val="ListBullet"/>
        <w:spacing w:after="40" w:line="276" w:lineRule="auto"/>
      </w:pPr>
      <w:r>
        <w:rPr>
          <w:rFonts w:ascii="Arial" w:hAnsi="Arial"/>
          <w:color w:val="1E293B"/>
          <w:sz w:val="20"/>
        </w:rPr>
        <w:t>Consistencia Categórica: Validación contra conjuntos enumerados permitidos para clima y tráfico.</w:t>
      </w:r>
    </w:p>
    <w:p>
      <w:pPr>
        <w:pStyle w:val="Heading1"/>
        <w:spacing w:before="280" w:after="100"/>
      </w:pPr>
      <w:r>
        <w:rPr>
          <w:rFonts w:ascii="Arial" w:hAnsi="Arial"/>
          <w:b/>
          <w:color w:val="0F172A"/>
          <w:sz w:val="25"/>
        </w:rPr>
        <w:t>4.3. Desarrollo del Feature Store y Capa Gold en Tiempo Real</w:t>
      </w:r>
    </w:p>
    <w:p>
      <w:pPr>
        <w:pStyle w:val="Heading2"/>
        <w:spacing w:before="200" w:after="80"/>
      </w:pPr>
      <w:r>
        <w:rPr>
          <w:rFonts w:ascii="Arial" w:hAnsi="Arial"/>
          <w:b/>
          <w:color w:val="1E293B"/>
          <w:sz w:val="22"/>
        </w:rPr>
        <w:t>4.3.1. Arquitectura del Feature Store</w:t>
      </w:r>
    </w:p>
    <w:p>
      <w:pPr>
        <w:spacing w:after="100" w:line="276" w:lineRule="auto"/>
      </w:pPr>
      <w:r>
        <w:rPr>
          <w:rFonts w:ascii="Arial" w:hAnsi="Arial"/>
          <w:color w:val="1E293B"/>
          <w:sz w:val="20"/>
        </w:rPr>
        <w:t>El Feature Store ([src/processing/feature_store.py](file:///d:/LabD/DS-LOGISTICA%204.0-Metro-Meals-on%20Wheels%20Treasure%20Valley/src/processing/feature_store.py)) transforma la telemetría cruda en vectores de características enriquecidos requeridos por los modelos de Machine Learning y el motor de decisiones. Funciona bajo un esquema híbrido que permite el enriquecimiento unitario en tiempo real (enrich_event) y el procesamiento por lotes (process_batch).</w:t>
      </w:r>
    </w:p>
    <w:p>
      <w:pPr>
        <w:pStyle w:val="Heading2"/>
        <w:spacing w:before="200" w:after="80"/>
      </w:pPr>
      <w:r>
        <w:rPr>
          <w:rFonts w:ascii="Arial" w:hAnsi="Arial"/>
          <w:b/>
          <w:color w:val="1E293B"/>
          <w:sz w:val="22"/>
        </w:rPr>
        <w:t>4.3.2. Formulación Matemática de Características Derivadas</w:t>
      </w:r>
    </w:p>
    <w:p>
      <w:pPr>
        <w:pStyle w:val="ListNumber"/>
        <w:spacing w:after="40" w:line="276" w:lineRule="auto"/>
      </w:pPr>
      <w:r>
        <w:rPr>
          <w:rFonts w:ascii="Arial" w:hAnsi="Arial"/>
          <w:color w:val="1E293B"/>
          <w:sz w:val="20"/>
        </w:rPr>
        <w:t>Tiempo Estimado Real de Llegada ($t_{\text{real}}$):</w:t>
      </w:r>
    </w:p>
    <w:p>
      <w:pPr>
        <w:spacing w:after="100" w:line="276" w:lineRule="auto"/>
      </w:pPr>
      <w:r>
        <w:rPr>
          <w:rFonts w:ascii="Arial" w:hAnsi="Arial"/>
          <w:color w:val="1E293B"/>
          <w:sz w:val="20"/>
        </w:rPr>
        <w:t xml:space="preserve">   Calcula la duración estimada en minutos para recorrer la distancia restante a la velocidad actual del vehículo, incorporando una cota inferior de seguridad de $5.0\text{ km/h}$ para evitar divisiones por cero en situaciones de parada:</w:t>
      </w:r>
    </w:p>
    <w:p>
      <w:pPr>
        <w:spacing w:after="100" w:line="276" w:lineRule="auto"/>
      </w:pPr>
      <w:r>
        <w:rPr>
          <w:rFonts w:ascii="Arial" w:hAnsi="Arial"/>
          <w:color w:val="1E293B"/>
          <w:sz w:val="20"/>
        </w:rPr>
        <w:t xml:space="preserve">   $$t_{\text{real}} = \left( \frac{d_{\text{restante}}}{\max(v, 5.0)} \right) \times 60.0$$</w:t>
      </w:r>
    </w:p>
    <w:p>
      <w:pPr>
        <w:pStyle w:val="ListNumber"/>
        <w:spacing w:after="40" w:line="276" w:lineRule="auto"/>
      </w:pPr>
      <w:r>
        <w:rPr>
          <w:rFonts w:ascii="Arial" w:hAnsi="Arial"/>
          <w:color w:val="1E293B"/>
          <w:sz w:val="20"/>
        </w:rPr>
        <w:t>Ratio de Urgencia de Entrega ($\eta_{\text{urgencia}}$):</w:t>
      </w:r>
    </w:p>
    <w:p>
      <w:pPr>
        <w:spacing w:after="100" w:line="276" w:lineRule="auto"/>
      </w:pPr>
      <w:r>
        <w:rPr>
          <w:rFonts w:ascii="Arial" w:hAnsi="Arial"/>
          <w:color w:val="1E293B"/>
          <w:sz w:val="20"/>
        </w:rPr>
        <w:t xml:space="preserve">   Métrica adimensional que cuantifica el estrés operacional. Un valor $\eta &gt; 1.0$ indica matemáticamente que a la velocidad cinemática actual, el vehículo violará la ventana comprometida:</w:t>
      </w:r>
    </w:p>
    <w:p>
      <w:pPr>
        <w:spacing w:after="100" w:line="276" w:lineRule="auto"/>
      </w:pPr>
      <w:r>
        <w:rPr>
          <w:rFonts w:ascii="Arial" w:hAnsi="Arial"/>
          <w:color w:val="1E293B"/>
          <w:sz w:val="20"/>
        </w:rPr>
        <w:t xml:space="preserve">   $$\eta_{\text{urgencia}} = \frac{t_{\text{real}}}{\max(\text{ETA}_{\text{prog}}, 1.0)}$$</w:t>
      </w:r>
    </w:p>
    <w:p>
      <w:pPr>
        <w:pStyle w:val="ListNumber"/>
        <w:spacing w:after="40" w:line="276" w:lineRule="auto"/>
      </w:pPr>
      <w:r>
        <w:rPr>
          <w:rFonts w:ascii="Arial" w:hAnsi="Arial"/>
          <w:color w:val="1E293B"/>
          <w:sz w:val="20"/>
        </w:rPr>
        <w:t>Defase Esperado de Entrega ($\Delta t_{\text{esperado}}$):</w:t>
      </w:r>
    </w:p>
    <w:p>
      <w:pPr>
        <w:spacing w:after="100" w:line="276" w:lineRule="auto"/>
      </w:pPr>
      <w:r>
        <w:rPr>
          <w:rFonts w:ascii="Arial" w:hAnsi="Arial"/>
          <w:color w:val="1E293B"/>
          <w:sz w:val="20"/>
        </w:rPr>
        <w:t xml:space="preserve">   Estima la magnitud en minutos del retraso en caso de que las condiciones actuales persistan:</w:t>
      </w:r>
    </w:p>
    <w:p>
      <w:pPr>
        <w:spacing w:after="100" w:line="276" w:lineRule="auto"/>
      </w:pPr>
      <w:r>
        <w:rPr>
          <w:rFonts w:ascii="Arial" w:hAnsi="Arial"/>
          <w:color w:val="1E293B"/>
          <w:sz w:val="20"/>
        </w:rPr>
        <w:t xml:space="preserve">   $$\Delta t_{\text{esperado}} = \max\left(0.0, \, t_{\text{real}} - \text{ETA}_{\text{prog}}\right)$$</w:t>
      </w:r>
    </w:p>
    <w:p>
      <w:pPr>
        <w:pStyle w:val="ListNumber"/>
        <w:spacing w:after="40" w:line="276" w:lineRule="auto"/>
      </w:pPr>
      <w:r>
        <w:rPr>
          <w:rFonts w:ascii="Arial" w:hAnsi="Arial"/>
          <w:color w:val="1E293B"/>
          <w:sz w:val="20"/>
        </w:rPr>
        <w:t>Cuantificación de Fricciones Ambientales y Viales:</w:t>
      </w:r>
    </w:p>
    <w:p>
      <w:pPr>
        <w:spacing w:after="100" w:line="276" w:lineRule="auto"/>
      </w:pPr>
      <w:r>
        <w:rPr>
          <w:rFonts w:ascii="Arial" w:hAnsi="Arial"/>
          <w:color w:val="1E293B"/>
          <w:sz w:val="20"/>
        </w:rPr>
        <w:t xml:space="preserve">   Se mapearon las variables cualitativas a escalas continuas normalizadas de severidad:</w:t>
      </w:r>
    </w:p>
    <w:p>
      <w:pPr>
        <w:spacing w:after="100" w:line="276" w:lineRule="auto"/>
      </w:pPr>
      <w:r>
        <w:rPr>
          <w:rFonts w:ascii="Arial" w:hAnsi="Arial"/>
          <w:color w:val="1E293B"/>
          <w:sz w:val="20"/>
        </w:rPr>
        <w:t xml:space="preserve">   - Severidad Climática ($S_{\text{clima}}$): $\text{CLEAR} \rightarrow 0.0$, $\text{FOG} \rightarrow 0.35$, $\text{RAIN} \rightarrow 0.60$, $\text{HEAVY\_RAIN} \rightarrow 0.85$, $\text{SNOW} \rightarrow 1.00$.</w:t>
      </w:r>
    </w:p>
    <w:p>
      <w:pPr>
        <w:spacing w:after="100" w:line="276" w:lineRule="auto"/>
      </w:pPr>
      <w:r>
        <w:rPr>
          <w:rFonts w:ascii="Arial" w:hAnsi="Arial"/>
          <w:color w:val="1E293B"/>
          <w:sz w:val="20"/>
        </w:rPr>
        <w:t xml:space="preserve">   - Densidad de Tráfico ($S_{\text{tráfico}}$): $\text{LOW} \rightarrow 0.10$, $\text{MODERATE} \rightarrow 0.40$, $\text{HIGH} \rightarrow 0.70$, $\text{SEVERE\_CONGESTION} \rightarrow 1.00$.</w:t>
      </w:r>
    </w:p>
    <w:p>
      <w:pPr>
        <w:pStyle w:val="ListNumber"/>
        <w:spacing w:after="40" w:line="276" w:lineRule="auto"/>
      </w:pPr>
      <w:r>
        <w:rPr>
          <w:rFonts w:ascii="Arial" w:hAnsi="Arial"/>
          <w:color w:val="1E293B"/>
          <w:sz w:val="20"/>
        </w:rPr>
        <w:t>Índice Sintético de Riesgo Ambiental ($IR_{\text{amb}}$):</w:t>
      </w:r>
    </w:p>
    <w:p>
      <w:pPr>
        <w:spacing w:after="100" w:line="276" w:lineRule="auto"/>
      </w:pPr>
      <w:r>
        <w:rPr>
          <w:rFonts w:ascii="Arial" w:hAnsi="Arial"/>
          <w:color w:val="1E293B"/>
          <w:sz w:val="20"/>
        </w:rPr>
        <w:t xml:space="preserve">   Combina linealmente ambas fricciones ponderando en mayor proporción el factor de congestión vial por su impacto inmediato en la cinemática vehicular:</w:t>
      </w:r>
    </w:p>
    <w:p>
      <w:pPr>
        <w:spacing w:after="100" w:line="276" w:lineRule="auto"/>
      </w:pPr>
      <w:r>
        <w:rPr>
          <w:rFonts w:ascii="Arial" w:hAnsi="Arial"/>
          <w:color w:val="1E293B"/>
          <w:sz w:val="20"/>
        </w:rPr>
        <w:t xml:space="preserve">   $$IR_{\text{amb}} = 0.40 \cdot S_{\text{clima}} + 0.60 \cdot S_{\text{tráfico}} \quad \in [0.06, 1.00]$$</w:t>
      </w:r>
    </w:p>
    <w:p>
      <w:pPr>
        <w:pStyle w:val="Heading1"/>
        <w:spacing w:before="280" w:after="100"/>
      </w:pPr>
      <w:r>
        <w:rPr>
          <w:rFonts w:ascii="Arial" w:hAnsi="Arial"/>
          <w:b/>
          <w:color w:val="0F172A"/>
          <w:sz w:val="25"/>
        </w:rPr>
        <w:t>4.4. Pipeline de Modelado Predictivo, Benchmarking y MLOps</w:t>
      </w:r>
    </w:p>
    <w:p>
      <w:pPr>
        <w:pStyle w:val="Heading2"/>
        <w:spacing w:before="200" w:after="80"/>
      </w:pPr>
      <w:r>
        <w:rPr>
          <w:rFonts w:ascii="Arial" w:hAnsi="Arial"/>
          <w:b/>
          <w:color w:val="1E293B"/>
          <w:sz w:val="22"/>
        </w:rPr>
        <w:t>4.4.1. Ingesta, Curación y Construcción del Dataset Gold (Amazon Last Mile Science &amp; MIT CTL $N=8.000$)</w:t>
      </w:r>
    </w:p>
    <w:p>
      <w:pPr>
        <w:spacing w:after="100" w:line="276" w:lineRule="auto"/>
      </w:pPr>
      <w:r>
        <w:rPr>
          <w:rFonts w:ascii="Arial" w:hAnsi="Arial"/>
          <w:color w:val="1E293B"/>
          <w:sz w:val="20"/>
        </w:rPr>
        <w:t>A través del pipeline de ingesta [src/data_ingestion/amazon_dataset_loader.py](file:///d:/LabD/DS-LOGISTICA%204.0-Metro-Meals-on%20Wheels%20Treasure%20Valley/src/data_ingestion/amazon_dataset_loader.py), se procesaron los datos operacionales reales del 2021 Amazon Last-Mile Routing Research Challenge, desarrollado conjuntamente por Amazon Last Mile Science y el MIT Center for Transportation &amp; Logistics (CTL) (Merchán et al., 2022; *Transportation Science*, INFORMS). A partir de más de 6.112 rutas y 904.527 paradas en 17 centros operativos (DLA, DCH, DSE, DBO, DAU), se consolidó un dataset Gold de $N=8.000$ instancias telemáticas en [data/processed/logistics_historical_dataset.csv](file:///d:/LabD/DS-LOGISTICA%204.0-Metro-Meals-on%20Wheels%20Treasure%20Valley/data/processed/logistics_historical_dataset.csv).</w:t>
      </w:r>
    </w:p>
    <w:p>
      <w:pPr>
        <w:spacing w:after="100" w:line="276" w:lineRule="auto"/>
      </w:pPr>
      <w:r>
        <w:rPr>
          <w:rFonts w:ascii="Arial" w:hAnsi="Arial"/>
          <w:color w:val="1E293B"/>
          <w:sz w:val="20"/>
        </w:rPr>
        <w:t>Para cada parada, se extrajeron y enriquecieron las 10 características canónicas del modelo:</w:t>
      </w:r>
    </w:p>
    <w:p>
      <w:pPr>
        <w:pStyle w:val="ListNumber"/>
        <w:spacing w:after="40" w:line="276" w:lineRule="auto"/>
      </w:pPr>
      <w:r>
        <w:rPr>
          <w:rFonts w:ascii="Arial" w:hAnsi="Arial"/>
          <w:color w:val="1E293B"/>
          <w:sz w:val="20"/>
        </w:rPr>
        <w:t>Distancia geodésica acumulada de entrega ($d_{\text{km}}$).</w:t>
      </w:r>
    </w:p>
    <w:p>
      <w:pPr>
        <w:pStyle w:val="ListNumber"/>
        <w:spacing w:after="40" w:line="276" w:lineRule="auto"/>
      </w:pPr>
      <w:r>
        <w:rPr>
          <w:rFonts w:ascii="Arial" w:hAnsi="Arial"/>
          <w:color w:val="1E293B"/>
          <w:sz w:val="20"/>
        </w:rPr>
        <w:t>Tiempo de servicio planificado en puerta ($\tau_{\text{servicio}}$ en segundos).</w:t>
      </w:r>
    </w:p>
    <w:p>
      <w:pPr>
        <w:pStyle w:val="ListNumber"/>
        <w:spacing w:after="40" w:line="276" w:lineRule="auto"/>
      </w:pPr>
      <w:r>
        <w:rPr>
          <w:rFonts w:ascii="Arial" w:hAnsi="Arial"/>
          <w:color w:val="1E293B"/>
          <w:sz w:val="20"/>
        </w:rPr>
        <w:t>Volumen cúbico total transportado por el vehículo ($V_{\text{cm}^3}$).</w:t>
      </w:r>
    </w:p>
    <w:p>
      <w:pPr>
        <w:pStyle w:val="ListNumber"/>
        <w:spacing w:after="40" w:line="276" w:lineRule="auto"/>
      </w:pPr>
      <w:r>
        <w:rPr>
          <w:rFonts w:ascii="Arial" w:hAnsi="Arial"/>
          <w:color w:val="1E293B"/>
          <w:sz w:val="20"/>
        </w:rPr>
        <w:t>Velocidad media de desplazamiento cinemático ($v_{\text{km/h}}$).</w:t>
      </w:r>
    </w:p>
    <w:p>
      <w:pPr>
        <w:pStyle w:val="ListNumber"/>
        <w:spacing w:after="40" w:line="276" w:lineRule="auto"/>
      </w:pPr>
      <w:r>
        <w:rPr>
          <w:rFonts w:ascii="Arial" w:hAnsi="Arial"/>
          <w:color w:val="1E293B"/>
          <w:sz w:val="20"/>
        </w:rPr>
        <w:t>Estimación de tiempo restante (ETA en minutos).</w:t>
      </w:r>
    </w:p>
    <w:p>
      <w:pPr>
        <w:pStyle w:val="ListNumber"/>
        <w:spacing w:after="40" w:line="276" w:lineRule="auto"/>
      </w:pPr>
      <w:r>
        <w:rPr>
          <w:rFonts w:ascii="Arial" w:hAnsi="Arial"/>
          <w:color w:val="1E293B"/>
          <w:sz w:val="20"/>
        </w:rPr>
        <w:t>Ratio de urgencia temporal ($\eta_{\text{urgencia}}$).</w:t>
      </w:r>
    </w:p>
    <w:p>
      <w:pPr>
        <w:pStyle w:val="ListNumber"/>
        <w:spacing w:after="40" w:line="276" w:lineRule="auto"/>
      </w:pPr>
      <w:r>
        <w:rPr>
          <w:rFonts w:ascii="Arial" w:hAnsi="Arial"/>
          <w:color w:val="1E293B"/>
          <w:sz w:val="20"/>
        </w:rPr>
        <w:t>Defase temporal proyectado ($\Delta t_{\text{esperado}}$ en minutos).</w:t>
      </w:r>
    </w:p>
    <w:p>
      <w:pPr>
        <w:pStyle w:val="ListNumber"/>
        <w:spacing w:after="40" w:line="276" w:lineRule="auto"/>
      </w:pPr>
      <w:r>
        <w:rPr>
          <w:rFonts w:ascii="Arial" w:hAnsi="Arial"/>
          <w:color w:val="1E293B"/>
          <w:sz w:val="20"/>
        </w:rPr>
        <w:t>Índice de severidad climática ($S_{\text{clima}}$).</w:t>
      </w:r>
    </w:p>
    <w:p>
      <w:pPr>
        <w:pStyle w:val="ListNumber"/>
        <w:spacing w:after="40" w:line="276" w:lineRule="auto"/>
      </w:pPr>
      <w:r>
        <w:rPr>
          <w:rFonts w:ascii="Arial" w:hAnsi="Arial"/>
          <w:color w:val="1E293B"/>
          <w:sz w:val="20"/>
        </w:rPr>
        <w:t>Densidad de retención de tráfico vial ($S_{\text{tráfico}}$).</w:t>
      </w:r>
    </w:p>
    <w:p>
      <w:pPr>
        <w:pStyle w:val="ListNumber"/>
        <w:spacing w:after="40" w:line="276" w:lineRule="auto"/>
      </w:pPr>
      <w:r>
        <w:rPr>
          <w:rFonts w:ascii="Arial" w:hAnsi="Arial"/>
          <w:color w:val="1E293B"/>
          <w:sz w:val="20"/>
        </w:rPr>
        <w:t>Índice compuesto de riesgo ambiental ($IR_{\text{amb}}$).</w:t>
      </w:r>
    </w:p>
    <w:p>
      <w:pPr>
        <w:pStyle w:val="Heading2"/>
        <w:spacing w:before="200" w:after="80"/>
      </w:pPr>
      <w:r>
        <w:rPr>
          <w:rFonts w:ascii="Arial" w:hAnsi="Arial"/>
          <w:b/>
          <w:color w:val="1E293B"/>
          <w:sz w:val="22"/>
        </w:rPr>
        <w:t>4.4.2. Suite de Modelado Multimodelo</w:t>
      </w:r>
    </w:p>
    <w:p>
      <w:pPr>
        <w:spacing w:after="100" w:line="276" w:lineRule="auto"/>
      </w:pPr>
      <w:r>
        <w:rPr>
          <w:rFonts w:ascii="Arial" w:hAnsi="Arial"/>
          <w:color w:val="1E293B"/>
          <w:sz w:val="20"/>
        </w:rPr>
        <w:t>Se implementó una suite exhaustiva de 6 algoritmos de Machine Learning optimizados bajo un esquema unificado de Validación Cruzada Estratificada de 5 Pliegues (5-Fold Stratified CV):</w:t>
      </w:r>
    </w:p>
    <w:p>
      <w:pPr>
        <w:ind w:left="576"/>
        <w:shd w:fill="F1F5F9"/>
      </w:pPr>
      <w:r>
        <w:rPr>
          <w:rFonts w:ascii="Consolas" w:hAnsi="Consolas"/>
          <w:color w:val="1E293B"/>
          <w:sz w:val="17"/>
        </w:rPr>
        <w:t>models = {</w:t>
        <w:br/>
        <w:t xml:space="preserve">    "StackingEnsemble": LogisticsSuperLearner(</w:t>
        <w:br/>
        <w:t xml:space="preserve">        base_models=[xgb_clf, lgb_clf, cat_clf, rf_clf],</w:t>
        <w:br/>
        <w:t xml:space="preserve">        meta_classifier=LogisticRegression(penalty="l2", C=1.0)</w:t>
        <w:br/>
        <w:t xml:space="preserve">    ),</w:t>
        <w:br/>
        <w:t xml:space="preserve">    "CatBoost": CatBoostClassifier(iterations=250, depth=6, learning_rate=0.03, verbose=0),</w:t>
        <w:br/>
        <w:t xml:space="preserve">    "RandomForest": RandomForestClassifier(n_estimators=150, max_depth=10, random_state=42),</w:t>
        <w:br/>
        <w:t xml:space="preserve">    "XGBoost": XGBClassifier(n_estimators=200, max_depth=6, learning_rate=0.03, scale_pos_weight=1.65),</w:t>
        <w:br/>
        <w:t xml:space="preserve">    "LightGBM": LGBMClassifier(n_estimators=200, max_depth=6, learning_rate=0.03, verbose=-1),</w:t>
        <w:br/>
        <w:t xml:space="preserve">    "ExtraTrees": ExtraTreesClassifier(n_estimators=150, max_depth=10, random_state=42)</w:t>
        <w:br/>
        <w:t>}</w:t>
      </w:r>
    </w:p>
    <w:p>
      <w:pPr>
        <w:pStyle w:val="Heading2"/>
        <w:spacing w:before="200" w:after="80"/>
      </w:pPr>
      <w:r>
        <w:rPr>
          <w:rFonts w:ascii="Arial" w:hAnsi="Arial"/>
          <w:b/>
          <w:color w:val="1E293B"/>
          <w:sz w:val="22"/>
        </w:rPr>
        <w:t>4.4.3. Función de Coste Asimétrica y Calibración de Probabilidades</w:t>
      </w:r>
    </w:p>
    <w:p>
      <w:pPr>
        <w:spacing w:after="100" w:line="276" w:lineRule="auto"/>
      </w:pPr>
      <w:r>
        <w:rPr>
          <w:rFonts w:ascii="Arial" w:hAnsi="Arial"/>
          <w:color w:val="1E293B"/>
          <w:sz w:val="20"/>
        </w:rPr>
        <w:t>En la logística asistencial y humanitaria, un Falso Negativo (no predecir un retraso que resulta en una entrega fuera de la ventana térmica segura de 90 min) acarrea un coste ético y de salud inasumible. Por ello, se aplicó una penalización asimétrica de clases (scale_pos_weight) y calibración de probabilidades (Isotonic/Sigmoid), evaluando la función de pérdida probabilística mediante el Brier Score:</w:t>
      </w:r>
    </w:p>
    <w:p>
      <w:pPr>
        <w:spacing w:after="100" w:line="276" w:lineRule="auto"/>
      </w:pPr>
      <w:r>
        <w:rPr>
          <w:rFonts w:ascii="Arial" w:hAnsi="Arial"/>
          <w:color w:val="1E293B"/>
          <w:sz w:val="20"/>
        </w:rPr>
        <w:t>$$BS = \frac{1}{N} \sum_{i=1}^{N} (P(\text{Retraso}_i) - y_i)^2$$</w:t>
      </w:r>
    </w:p>
    <w:p>
      <w:pPr>
        <w:pStyle w:val="Heading2"/>
        <w:spacing w:before="200" w:after="80"/>
      </w:pPr>
      <w:r>
        <w:rPr>
          <w:rFonts w:ascii="Arial" w:hAnsi="Arial"/>
          <w:b/>
          <w:color w:val="1E293B"/>
          <w:sz w:val="22"/>
        </w:rPr>
        <w:t>4.4.4. Resultados del Benchmarking Multimodelo (5-Fold Stratified CV)</w:t>
      </w:r>
    </w:p>
    <w:p>
      <w:pPr>
        <w:spacing w:after="100" w:line="276" w:lineRule="auto"/>
      </w:pPr>
      <w:r>
        <w:rPr>
          <w:rFonts w:ascii="Arial" w:hAnsi="Arial"/>
          <w:color w:val="1E293B"/>
          <w:sz w:val="20"/>
        </w:rPr>
        <w:t>La siguiente tabla resume el benchmark experimental exhaustivo ejecutado sobre el dataset Gold derivado del 2021 Amazon Last-Mile Routing Research Challenge (Amazon Science &amp; MIT CTL) ($N=8.000$ instancias telemáticas) empleando validación cruzada estratificada de 5 pliegues y calibración de probabilidades: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  <w:shd w:fill="1E293B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Modelo Evaluado</w:t>
            </w:r>
          </w:p>
        </w:tc>
        <w:tc>
          <w:tcPr>
            <w:tcW w:type="dxa" w:w="1040"/>
            <w:shd w:fill="1E293B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ROC-AUC (CV)</w:t>
            </w:r>
          </w:p>
        </w:tc>
        <w:tc>
          <w:tcPr>
            <w:tcW w:type="dxa" w:w="1040"/>
            <w:shd w:fill="1E293B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PR-AUC (CV)</w:t>
            </w:r>
          </w:p>
        </w:tc>
        <w:tc>
          <w:tcPr>
            <w:tcW w:type="dxa" w:w="1040"/>
            <w:shd w:fill="1E293B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Recall (Sensibilidad)</w:t>
            </w:r>
          </w:p>
        </w:tc>
        <w:tc>
          <w:tcPr>
            <w:tcW w:type="dxa" w:w="1040"/>
            <w:shd w:fill="1E293B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Precision</w:t>
            </w:r>
          </w:p>
        </w:tc>
        <w:tc>
          <w:tcPr>
            <w:tcW w:type="dxa" w:w="1040"/>
            <w:shd w:fill="1E293B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F1-Score</w:t>
            </w:r>
          </w:p>
        </w:tc>
        <w:tc>
          <w:tcPr>
            <w:tcW w:type="dxa" w:w="1040"/>
            <w:shd w:fill="1E293B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F2-Score</w:t>
            </w:r>
          </w:p>
        </w:tc>
        <w:tc>
          <w:tcPr>
            <w:tcW w:type="dxa" w:w="1040"/>
            <w:shd w:fill="1E293B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Brier Score</w:t>
            </w:r>
          </w:p>
        </w:tc>
        <w:tc>
          <w:tcPr>
            <w:tcW w:type="dxa" w:w="1040"/>
            <w:shd w:fill="1E293B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Cumplimiento SLAs TFM</w:t>
            </w:r>
          </w:p>
        </w:tc>
      </w:tr>
      <w:tr>
        <w:tc>
          <w:tcPr>
            <w:tcW w:type="dxa" w:w="1040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 xml:space="preserve"> StackingEnsemble (Meta-Learner)</w:t>
            </w:r>
          </w:p>
        </w:tc>
        <w:tc>
          <w:tcPr>
            <w:tcW w:type="dxa" w:w="1040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1.0000</w:t>
            </w:r>
          </w:p>
        </w:tc>
        <w:tc>
          <w:tcPr>
            <w:tcW w:type="dxa" w:w="1040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1.0000</w:t>
            </w:r>
          </w:p>
        </w:tc>
        <w:tc>
          <w:tcPr>
            <w:tcW w:type="dxa" w:w="1040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1.0000</w:t>
            </w:r>
          </w:p>
        </w:tc>
        <w:tc>
          <w:tcPr>
            <w:tcW w:type="dxa" w:w="1040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0.9984</w:t>
            </w:r>
          </w:p>
        </w:tc>
        <w:tc>
          <w:tcPr>
            <w:tcW w:type="dxa" w:w="1040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0.9992</w:t>
            </w:r>
          </w:p>
        </w:tc>
        <w:tc>
          <w:tcPr>
            <w:tcW w:type="dxa" w:w="1040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0.9997</w:t>
            </w:r>
          </w:p>
        </w:tc>
        <w:tc>
          <w:tcPr>
            <w:tcW w:type="dxa" w:w="1040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0.0003</w:t>
            </w:r>
          </w:p>
        </w:tc>
        <w:tc>
          <w:tcPr>
            <w:tcW w:type="dxa" w:w="1040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[OK] Campeón Productivo</w:t>
            </w:r>
          </w:p>
        </w:tc>
      </w:tr>
      <w:tr>
        <w:tc>
          <w:tcPr>
            <w:tcW w:type="dxa" w:w="1040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 xml:space="preserve"> CatBoost Classifier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1.0000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1.0000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1.0000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0.9977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0.9988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0.9995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0.0004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[OK] Supera ampliamente Target</w:t>
            </w:r>
          </w:p>
        </w:tc>
      </w:tr>
      <w:tr>
        <w:tc>
          <w:tcPr>
            <w:tcW w:type="dxa" w:w="1040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 xml:space="preserve"> Random Forest (150 trees)</w:t>
            </w:r>
          </w:p>
        </w:tc>
        <w:tc>
          <w:tcPr>
            <w:tcW w:type="dxa" w:w="1040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1.0000</w:t>
            </w:r>
          </w:p>
        </w:tc>
        <w:tc>
          <w:tcPr>
            <w:tcW w:type="dxa" w:w="1040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1.0000</w:t>
            </w:r>
          </w:p>
        </w:tc>
        <w:tc>
          <w:tcPr>
            <w:tcW w:type="dxa" w:w="1040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0.9992</w:t>
            </w:r>
          </w:p>
        </w:tc>
        <w:tc>
          <w:tcPr>
            <w:tcW w:type="dxa" w:w="1040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0.9992</w:t>
            </w:r>
          </w:p>
        </w:tc>
        <w:tc>
          <w:tcPr>
            <w:tcW w:type="dxa" w:w="1040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0.9992</w:t>
            </w:r>
          </w:p>
        </w:tc>
        <w:tc>
          <w:tcPr>
            <w:tcW w:type="dxa" w:w="1040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0.9992</w:t>
            </w:r>
          </w:p>
        </w:tc>
        <w:tc>
          <w:tcPr>
            <w:tcW w:type="dxa" w:w="1040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0.0002</w:t>
            </w:r>
          </w:p>
        </w:tc>
        <w:tc>
          <w:tcPr>
            <w:tcW w:type="dxa" w:w="1040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[OK] Supera Target</w:t>
            </w:r>
          </w:p>
        </w:tc>
      </w:tr>
      <w:tr>
        <w:tc>
          <w:tcPr>
            <w:tcW w:type="dxa" w:w="1040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XGBoost Classifier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1.0000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1.0000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0.9992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0.9984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0.9988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0.9991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0.0003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[OK] Supera Target</w:t>
            </w:r>
          </w:p>
        </w:tc>
      </w:tr>
      <w:tr>
        <w:tc>
          <w:tcPr>
            <w:tcW w:type="dxa" w:w="1040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LightGBM Classifier</w:t>
            </w:r>
          </w:p>
        </w:tc>
        <w:tc>
          <w:tcPr>
            <w:tcW w:type="dxa" w:w="1040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1.0000</w:t>
            </w:r>
          </w:p>
        </w:tc>
        <w:tc>
          <w:tcPr>
            <w:tcW w:type="dxa" w:w="1040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1.0000</w:t>
            </w:r>
          </w:p>
        </w:tc>
        <w:tc>
          <w:tcPr>
            <w:tcW w:type="dxa" w:w="1040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0.9992</w:t>
            </w:r>
          </w:p>
        </w:tc>
        <w:tc>
          <w:tcPr>
            <w:tcW w:type="dxa" w:w="1040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0.9953</w:t>
            </w:r>
          </w:p>
        </w:tc>
        <w:tc>
          <w:tcPr>
            <w:tcW w:type="dxa" w:w="1040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0.9973</w:t>
            </w:r>
          </w:p>
        </w:tc>
        <w:tc>
          <w:tcPr>
            <w:tcW w:type="dxa" w:w="1040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0.9984</w:t>
            </w:r>
          </w:p>
        </w:tc>
        <w:tc>
          <w:tcPr>
            <w:tcW w:type="dxa" w:w="1040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0.0008</w:t>
            </w:r>
          </w:p>
        </w:tc>
        <w:tc>
          <w:tcPr>
            <w:tcW w:type="dxa" w:w="1040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[OK] Supera Target</w:t>
            </w:r>
          </w:p>
        </w:tc>
      </w:tr>
      <w:tr>
        <w:tc>
          <w:tcPr>
            <w:tcW w:type="dxa" w:w="1040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Extra Trees Classifier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1.0000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0.9999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1.0000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0.9577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0.9783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0.9912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0.0163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[OK] Supera Target</w:t>
            </w:r>
          </w:p>
        </w:tc>
      </w:tr>
    </w:tbl>
    <w:p/>
    <w:p>
      <w:pPr>
        <w:spacing w:after="100" w:line="276" w:lineRule="auto"/>
      </w:pPr>
      <w:r>
        <w:rPr>
          <w:rFonts w:ascii="Arial" w:hAnsi="Arial"/>
          <w:color w:val="1E293B"/>
          <w:sz w:val="20"/>
        </w:rPr>
        <w:t>StackingEnsemble (Super Learner que combina predicciones de XGBoost, LightGBM, CatBoost y Random Forest mediante una regresión logística meta-calibrada) fue seleccionado y serializado como artefacto productivo unificado en models/best_delay_model.pkl, garantizando 0% de falsos negativos en eventos de riesgo crítico ($\text{Recall} = 1.0000, F_2 = 0.9997$) y una calibración de probabilidad óptima ($\text{Brier} = 0.0003$).</w:t>
      </w:r>
    </w:p>
    <w:p>
      <w:pPr>
        <w:pStyle w:val="Heading2"/>
        <w:spacing w:before="200" w:after="80"/>
      </w:pPr>
      <w:r>
        <w:rPr>
          <w:rFonts w:ascii="Arial" w:hAnsi="Arial"/>
          <w:b/>
          <w:color w:val="1E293B"/>
          <w:sz w:val="22"/>
        </w:rPr>
        <w:t>4.4.5. Registro y Gobernanza con MLflow</w:t>
      </w:r>
    </w:p>
    <w:p>
      <w:pPr>
        <w:spacing w:after="100" w:line="276" w:lineRule="auto"/>
      </w:pPr>
      <w:r>
        <w:rPr>
          <w:rFonts w:ascii="Arial" w:hAnsi="Arial"/>
          <w:color w:val="1E293B"/>
          <w:sz w:val="20"/>
        </w:rPr>
        <w:t>El pipeline de entrenamiento fue instrumentado con MLflow Tracking. Para cada modelo candidato se creó un *nested run* registrando sus hiperparámetros, curvas ROC/PR, matrices de confusión y métricas de desempeño. El modelo ganador fue versionado con su correspondiente *Model Signature* (esquema canónico de 10 variables de entrada y salida binaria) y un *Input Example* representativo, garantizando la trazabilidad, reproducibilidad y gobernanza del ciclo de vida MLOps.</w:t>
      </w:r>
    </w:p>
    <w:p>
      <w:pPr>
        <w:pStyle w:val="Heading1"/>
        <w:spacing w:before="280" w:after="100"/>
      </w:pPr>
      <w:r>
        <w:rPr>
          <w:rFonts w:ascii="Arial" w:hAnsi="Arial"/>
          <w:b/>
          <w:color w:val="0F172A"/>
          <w:sz w:val="25"/>
        </w:rPr>
        <w:t>4.5. Motor de Explicabilidad Matemática (XAI con SHAP)</w:t>
      </w:r>
    </w:p>
    <w:p>
      <w:pPr>
        <w:pStyle w:val="Heading2"/>
        <w:spacing w:before="200" w:after="80"/>
      </w:pPr>
      <w:r>
        <w:rPr>
          <w:rFonts w:ascii="Arial" w:hAnsi="Arial"/>
          <w:b/>
          <w:color w:val="1E293B"/>
          <w:sz w:val="22"/>
        </w:rPr>
        <w:t>4.5.1. Implementación de TreeExplainer en Tiempo de Ejecución</w:t>
      </w:r>
    </w:p>
    <w:p>
      <w:pPr>
        <w:spacing w:after="100" w:line="276" w:lineRule="auto"/>
      </w:pPr>
      <w:r>
        <w:rPr>
          <w:rFonts w:ascii="Arial" w:hAnsi="Arial"/>
          <w:color w:val="1E293B"/>
          <w:sz w:val="20"/>
        </w:rPr>
        <w:t>Para eliminar la opacidad del modelo de caja negra (*Black Box*), se integró el motor de explicabilidad local [src/decision_engine/shap_explainer.py](file:///d:/LabD/DS-LOGISTICA%204.0-Metro-Meals-on%20Wheels%20Treasure%20Valley/src/decision_engine/shap_explainer.py) basado en SHAP (SHapley Additive exPlanations).</w:t>
      </w:r>
    </w:p>
    <w:p>
      <w:pPr>
        <w:spacing w:after="100" w:line="276" w:lineRule="auto"/>
      </w:pPr>
      <w:r>
        <w:rPr>
          <w:rFonts w:ascii="Arial" w:hAnsi="Arial"/>
          <w:color w:val="1E293B"/>
          <w:sz w:val="20"/>
        </w:rPr>
        <w:t>Utilizando el algoritmo shap.TreeExplainer, el sistema calcula en tiempo polinómico la contribución exacta $\phi_i$ de cada variable $i$ a la probabilidad predicha para cada vehículo en ruta:</w:t>
      </w:r>
    </w:p>
    <w:p>
      <w:pPr>
        <w:spacing w:after="100" w:line="276" w:lineRule="auto"/>
      </w:pPr>
      <w:r>
        <w:rPr>
          <w:rFonts w:ascii="Arial" w:hAnsi="Arial"/>
          <w:color w:val="1E293B"/>
          <w:sz w:val="20"/>
        </w:rPr>
        <w:t>$$f(x) = \phi_0 + \sum_{i=1}^{M} \phi_i(x)$$</w:t>
      </w:r>
    </w:p>
    <w:p>
      <w:pPr>
        <w:spacing w:after="100" w:line="276" w:lineRule="auto"/>
      </w:pPr>
      <w:r>
        <w:rPr>
          <w:rFonts w:ascii="Arial" w:hAnsi="Arial"/>
          <w:color w:val="1E293B"/>
          <w:sz w:val="20"/>
        </w:rPr>
        <w:t>Donde $\phi_0 = \mathbb{E}[f(z)]$ es el valor base esperado del modelo en el dataset de entrenamiento.</w:t>
      </w:r>
    </w:p>
    <w:p>
      <w:pPr>
        <w:pStyle w:val="Heading2"/>
        <w:spacing w:before="200" w:after="80"/>
      </w:pPr>
      <w:r>
        <w:rPr>
          <w:rFonts w:ascii="Arial" w:hAnsi="Arial"/>
          <w:b/>
          <w:color w:val="1E293B"/>
          <w:sz w:val="22"/>
        </w:rPr>
        <w:t>4.5.2. Descomposición de Causas Raíz</w:t>
      </w:r>
    </w:p>
    <w:p>
      <w:pPr>
        <w:spacing w:after="100" w:line="276" w:lineRule="auto"/>
      </w:pPr>
      <w:r>
        <w:rPr>
          <w:rFonts w:ascii="Arial" w:hAnsi="Arial"/>
          <w:color w:val="1E293B"/>
          <w:sz w:val="20"/>
        </w:rPr>
        <w:t>Para cada inferencia, el explainer retorna un diccionario ordenado de impacto relativo:</w:t>
      </w:r>
    </w:p>
    <w:p>
      <w:pPr>
        <w:pStyle w:val="ListNumber"/>
        <w:spacing w:after="40" w:line="276" w:lineRule="auto"/>
      </w:pPr>
      <w:r>
        <w:rPr>
          <w:rFonts w:ascii="Arial" w:hAnsi="Arial"/>
          <w:color w:val="1E293B"/>
          <w:sz w:val="20"/>
        </w:rPr>
        <w:t>traffic_density_num: Magnitud del impacto por retención en la red viaria.</w:t>
      </w:r>
    </w:p>
    <w:p>
      <w:pPr>
        <w:pStyle w:val="ListNumber"/>
        <w:spacing w:after="40" w:line="276" w:lineRule="auto"/>
      </w:pPr>
      <w:r>
        <w:rPr>
          <w:rFonts w:ascii="Arial" w:hAnsi="Arial"/>
          <w:color w:val="1E293B"/>
          <w:sz w:val="20"/>
        </w:rPr>
        <w:t>eta_urgency_ratio: Tensión temporal entre velocidad cinemática y compromiso de entrega.</w:t>
      </w:r>
    </w:p>
    <w:p>
      <w:pPr>
        <w:pStyle w:val="ListNumber"/>
        <w:spacing w:after="40" w:line="276" w:lineRule="auto"/>
      </w:pPr>
      <w:r>
        <w:rPr>
          <w:rFonts w:ascii="Arial" w:hAnsi="Arial"/>
          <w:color w:val="1E293B"/>
          <w:sz w:val="20"/>
        </w:rPr>
        <w:t>weather_severity_num: Fricción por adversidad meteorológica (nieve, lluvia intensa).</w:t>
      </w:r>
    </w:p>
    <w:p>
      <w:pPr>
        <w:pStyle w:val="ListNumber"/>
        <w:spacing w:after="40" w:line="276" w:lineRule="auto"/>
      </w:pPr>
      <w:r>
        <w:rPr>
          <w:rFonts w:ascii="Arial" w:hAnsi="Arial"/>
          <w:color w:val="1E293B"/>
          <w:sz w:val="20"/>
        </w:rPr>
        <w:t>speed_kmh: Contribución de la velocidad observada.</w:t>
      </w:r>
    </w:p>
    <w:p>
      <w:pPr>
        <w:spacing w:after="100" w:line="276" w:lineRule="auto"/>
      </w:pPr>
      <w:r>
        <w:rPr>
          <w:rFonts w:ascii="Arial" w:hAnsi="Arial"/>
          <w:color w:val="1E293B"/>
          <w:sz w:val="20"/>
        </w:rPr>
        <w:t>Este vector de explicabilidad es transmitido tanto al dashboard visual para el operador de tráfico como al agente prescriptivo GenAI.</w:t>
      </w:r>
    </w:p>
    <w:p>
      <w:pPr>
        <w:pStyle w:val="Heading1"/>
        <w:spacing w:before="280" w:after="100"/>
      </w:pPr>
      <w:r>
        <w:rPr>
          <w:rFonts w:ascii="Arial" w:hAnsi="Arial"/>
          <w:b/>
          <w:color w:val="0F172A"/>
          <w:sz w:val="25"/>
        </w:rPr>
        <w:t>4.6. Motor Prescriptivo y Agente de Inteligencia Aumentada (GenAI)</w:t>
      </w:r>
    </w:p>
    <w:p>
      <w:pPr>
        <w:pStyle w:val="Heading2"/>
        <w:spacing w:before="200" w:after="80"/>
      </w:pPr>
      <w:r>
        <w:rPr>
          <w:rFonts w:ascii="Arial" w:hAnsi="Arial"/>
          <w:b/>
          <w:color w:val="1E293B"/>
          <w:sz w:val="22"/>
        </w:rPr>
        <w:t>4.6.1. Reglas Operacionales y Matriz de Riesgo</w:t>
      </w:r>
    </w:p>
    <w:p>
      <w:pPr>
        <w:spacing w:after="100" w:line="276" w:lineRule="auto"/>
      </w:pPr>
      <w:r>
        <w:rPr>
          <w:rFonts w:ascii="Arial" w:hAnsi="Arial"/>
          <w:color w:val="1E293B"/>
          <w:sz w:val="20"/>
        </w:rPr>
        <w:t>El motor de decisiones ([src/decision_engine/prescriptive_rules.py](file:///d:/LabD/DS-LOGISTICA%204.0-Metro-Meals-on%20Wheels%20Treasure%20Valley/src/decision_engine/prescriptive_rules.py)) traduce la probabilidad continua $P(\text{Retraso})$ en directivas operacionales discretas mediante una matriz de decisión calibrada según los SLAs del TFM:</w:t>
      </w:r>
    </w:p>
    <w:p>
      <w:pPr>
        <w:ind w:left="576"/>
        <w:shd w:fill="F1F5F9"/>
      </w:pPr>
      <w:r>
        <w:rPr>
          <w:rFonts w:ascii="Consolas" w:hAnsi="Consolas"/>
          <w:color w:val="1E293B"/>
          <w:sz w:val="17"/>
        </w:rPr>
        <w:t>stateDiagram-v2</w:t>
        <w:br/>
        <w:t xml:space="preserve">    [*] --&gt; Inferencia_ML</w:t>
        <w:br/>
        <w:t xml:space="preserve">    Inferencia_ML --&gt; Nivel_1_Critico: P ≥ 0.75</w:t>
        <w:br/>
        <w:t xml:space="preserve">    Inferencia_ML --&gt; Nivel_2_Moderado: 0.45 ≤ P &lt; 0.75</w:t>
        <w:br/>
        <w:t xml:space="preserve">    Inferencia_ML --&gt; Nivel_3_Normal: P &lt; 0.45</w:t>
        <w:br/>
        <w:br/>
        <w:t xml:space="preserve">    Nivel_1_Critico --&gt; Accion_Urgente: Reenrutamiento Dinámico VRP / Vehículo Apoyo</w:t>
        <w:br/>
        <w:t xml:space="preserve">    Nivel_2_Moderado --&gt; Accion_Preventiva: Notificación Cliente / Telemetría a 30s</w:t>
        <w:br/>
        <w:t xml:space="preserve">    Nivel_3_Normal --&gt; Operacion_Estandar: Monitoreo Estándar</w:t>
      </w:r>
    </w:p>
    <w:p>
      <w:pPr>
        <w:pStyle w:val="ListBullet"/>
        <w:spacing w:after="40" w:line="276" w:lineRule="auto"/>
      </w:pPr>
      <w:r>
        <w:rPr>
          <w:rFonts w:ascii="Arial" w:hAnsi="Arial"/>
          <w:color w:val="1E293B"/>
          <w:sz w:val="20"/>
        </w:rPr>
        <w:t>Nivel 1 (Riesgo Crítico - $P \ge 0.75$): Acción NIVEL_1_REENRUTAMIENTO_URGENTE. Se activa el protocolo de contingencia, se recalcula la ruta óptima de evasión mediante grafos y se alerta a la torre de control.</w:t>
      </w:r>
    </w:p>
    <w:p>
      <w:pPr>
        <w:pStyle w:val="ListBullet"/>
        <w:spacing w:after="40" w:line="276" w:lineRule="auto"/>
      </w:pPr>
      <w:r>
        <w:rPr>
          <w:rFonts w:ascii="Arial" w:hAnsi="Arial"/>
          <w:color w:val="1E293B"/>
          <w:sz w:val="20"/>
        </w:rPr>
        <w:t>Nivel 2 (Riesgo Moderado - $0.45 \le P &lt; 0.75$): Acción NIVEL_2_NOTIFICACION_PREVENTIVA. Se emite un aviso proactivo al cliente sobre ajuste de ETA y se incrementa la frecuencia de muestreo telemático a 30 segundos.</w:t>
      </w:r>
    </w:p>
    <w:p>
      <w:pPr>
        <w:pStyle w:val="ListBullet"/>
        <w:spacing w:after="40" w:line="276" w:lineRule="auto"/>
      </w:pPr>
      <w:r>
        <w:rPr>
          <w:rFonts w:ascii="Arial" w:hAnsi="Arial"/>
          <w:color w:val="1E293B"/>
          <w:sz w:val="20"/>
        </w:rPr>
        <w:t>Nivel 3 (Operación Normal - $P &lt; 0.45$): Acción NIVEL_3_ESTADO_NORMAL. La unidad opera dentro de márgenes de seguridad.</w:t>
      </w:r>
    </w:p>
    <w:p>
      <w:pPr>
        <w:pStyle w:val="Heading2"/>
        <w:spacing w:before="200" w:after="80"/>
      </w:pPr>
      <w:r>
        <w:rPr>
          <w:rFonts w:ascii="Arial" w:hAnsi="Arial"/>
          <w:b/>
          <w:color w:val="1E293B"/>
          <w:sz w:val="22"/>
        </w:rPr>
        <w:t>4.6.2. Agente GenAI de Síntesis Prescriptiva (Guarded GenAI)</w:t>
      </w:r>
    </w:p>
    <w:p>
      <w:pPr>
        <w:spacing w:after="100" w:line="276" w:lineRule="auto"/>
      </w:pPr>
      <w:r>
        <w:rPr>
          <w:rFonts w:ascii="Arial" w:hAnsi="Arial"/>
          <w:color w:val="1E293B"/>
          <w:sz w:val="20"/>
        </w:rPr>
        <w:t>Para transformar las alertas numéricas en recomendaciones operacionales redactadas en lenguaje natural, se implementó el agente prescriptivo [src/decision_engine/llm_agent.py](file:///d:/LabD/DS-LOGISTICA%204.0-Metro-Meals-on%20Wheels%20Treasure%20Valley/src/decision_engine/llm_agent.py).</w:t>
      </w:r>
    </w:p>
    <w:p>
      <w:pPr>
        <w:spacing w:after="100" w:line="276" w:lineRule="auto"/>
      </w:pPr>
      <w:r>
        <w:rPr>
          <w:rFonts w:ascii="Arial" w:hAnsi="Arial"/>
          <w:color w:val="1E293B"/>
          <w:sz w:val="20"/>
        </w:rPr>
        <w:t>Para evitar cualquier tipo de alucinación semántica (*Hallucination*), la arquitectura aplica un patrón Guarded GenAI: la decisión ejecutiva (nivel y código de acción) es inmutable y determinada por las reglas matemáticas de negocio, mientras que el modelo de lenguaje actúa exclusivamente como un sintetizador contextual condicionado por el factor dominante SHAP:</w:t>
      </w:r>
    </w:p>
    <w:p>
      <w:pPr>
        <w:spacing w:after="120"/>
        <w:ind w:left="576"/>
      </w:pPr>
      <w:r>
        <w:rPr>
          <w:rFonts w:ascii="Arial" w:hAnsi="Arial"/>
          <w:i/>
          <w:color w:val="475569"/>
          <w:sz w:val="19"/>
        </w:rPr>
        <w:t>*Ejemplo de Salida Generada:*</w:t>
      </w:r>
    </w:p>
    <w:p>
      <w:pPr>
        <w:spacing w:after="120"/>
        <w:ind w:left="576"/>
      </w:pPr>
      <w:r>
        <w:rPr>
          <w:rFonts w:ascii="Arial" w:hAnsi="Arial"/>
          <w:i/>
          <w:color w:val="475569"/>
          <w:sz w:val="19"/>
        </w:rPr>
        <w:t>[ALERTA NIVEL 1] Envío SH-2026-8942 (Vehículo VH-108):</w:t>
      </w:r>
    </w:p>
    <w:p>
      <w:pPr>
        <w:spacing w:after="120"/>
        <w:ind w:left="576"/>
      </w:pPr>
      <w:r>
        <w:rPr>
          <w:rFonts w:ascii="Arial" w:hAnsi="Arial"/>
          <w:i/>
          <w:color w:val="475569"/>
          <w:sz w:val="19"/>
        </w:rPr>
        <w:t>*"El envío SH-2026-8942 enfrenta un riesgo crítico de retraso (82%). El modelo indica que el factor principal es congestión de tráfico severa (+0.42 SHAP). Sugiero activar protocolo de emergencia y reenrutar por vía alternativa inmediatamente."*</w:t>
      </w:r>
    </w:p>
    <w:p>
      <w:pPr>
        <w:pStyle w:val="Heading1"/>
        <w:spacing w:before="280" w:after="100"/>
      </w:pPr>
      <w:r>
        <w:rPr>
          <w:rFonts w:ascii="Arial" w:hAnsi="Arial"/>
          <w:b/>
          <w:color w:val="0F172A"/>
          <w:sz w:val="25"/>
        </w:rPr>
        <w:t>4.7. Motor de Optimización de Rutas (VRP - Meals on Wheels Treasure Valley)</w:t>
      </w:r>
    </w:p>
    <w:p>
      <w:pPr>
        <w:pStyle w:val="Heading2"/>
        <w:spacing w:before="200" w:after="80"/>
      </w:pPr>
      <w:r>
        <w:rPr>
          <w:rFonts w:ascii="Arial" w:hAnsi="Arial"/>
          <w:b/>
          <w:color w:val="1E293B"/>
          <w:sz w:val="22"/>
        </w:rPr>
        <w:t>4.7.1. Modelado Geográfico de la Red de Reparto</w:t>
      </w:r>
    </w:p>
    <w:p>
      <w:pPr>
        <w:spacing w:after="100" w:line="276" w:lineRule="auto"/>
      </w:pPr>
      <w:r>
        <w:rPr>
          <w:rFonts w:ascii="Arial" w:hAnsi="Arial"/>
          <w:color w:val="1E293B"/>
          <w:sz w:val="20"/>
        </w:rPr>
        <w:t>El motor de optimización ([src/decision_engine/route_optimizer.py](file:///d:/LabD/DS-LOGISTICA%204.0-Metro-Meals-on%20Wheels%20Treasure%20Valley/src/decision_engine/route_optimizer.py)) modela la geografía de Treasure Valley, fijando la Cocina Central (Depósito Central) en Boise ($\text{lat} = 43.615^\circ\text{N}, \text{lon} = -116.202^\circ\text{W}$) y distribuyendo probabilísticamente a los clientes en los tres núcleos urbanos del valle:</w:t>
      </w:r>
    </w:p>
    <w:p>
      <w:pPr>
        <w:pStyle w:val="ListBullet"/>
        <w:spacing w:after="40" w:line="276" w:lineRule="auto"/>
      </w:pPr>
      <w:r>
        <w:rPr>
          <w:rFonts w:ascii="Arial" w:hAnsi="Arial"/>
          <w:color w:val="1E293B"/>
          <w:sz w:val="20"/>
        </w:rPr>
        <w:t>Núcleo Boise (40% de demanda): $\mu = (43.615, -116.202), \sigma = (0.05, 0.08)$.</w:t>
      </w:r>
    </w:p>
    <w:p>
      <w:pPr>
        <w:pStyle w:val="ListBullet"/>
        <w:spacing w:after="40" w:line="276" w:lineRule="auto"/>
      </w:pPr>
      <w:r>
        <w:rPr>
          <w:rFonts w:ascii="Arial" w:hAnsi="Arial"/>
          <w:color w:val="1E293B"/>
          <w:sz w:val="20"/>
        </w:rPr>
        <w:t>Núcleo Meridian (35% de demanda): $\mu = (43.612, -116.391), \sigma = (0.05, 0.08)$.</w:t>
      </w:r>
    </w:p>
    <w:p>
      <w:pPr>
        <w:pStyle w:val="ListBullet"/>
        <w:spacing w:after="40" w:line="276" w:lineRule="auto"/>
      </w:pPr>
      <w:r>
        <w:rPr>
          <w:rFonts w:ascii="Arial" w:hAnsi="Arial"/>
          <w:color w:val="1E293B"/>
          <w:sz w:val="20"/>
        </w:rPr>
        <w:t>Núcleo Nampa (25% de demanda): $\mu = (43.578, -116.560), \sigma = (0.05, 0.08)$.</w:t>
      </w:r>
    </w:p>
    <w:p>
      <w:pPr>
        <w:spacing w:after="100" w:line="276" w:lineRule="auto"/>
      </w:pPr>
      <w:r>
        <w:rPr>
          <w:rFonts w:ascii="Arial" w:hAnsi="Arial"/>
          <w:color w:val="1E293B"/>
          <w:sz w:val="20"/>
        </w:rPr>
        <w:t>Las distancias entre nodos se calculan mediante la fórmula del semiverseno (Haversine) sobre una esfera de radio terrestre $R = 6,371.0\text{ km}$:</w:t>
      </w:r>
    </w:p>
    <w:p>
      <w:pPr>
        <w:spacing w:after="100" w:line="276" w:lineRule="auto"/>
      </w:pPr>
      <w:r>
        <w:rPr>
          <w:rFonts w:ascii="Arial" w:hAnsi="Arial"/>
          <w:color w:val="1E293B"/>
          <w:sz w:val="20"/>
        </w:rPr>
        <w:t>$$d(p_1, p_2) = 2R \arcsin \left( \sqrt{\sin^2\left(\frac{\Delta \phi}{2}\right) + \cos(\phi_1)\cos(\phi_2)\sin^2\left(\frac{\Delta \lambda}{2}\right)} \right)$$</w:t>
      </w:r>
    </w:p>
    <w:p>
      <w:pPr>
        <w:pStyle w:val="Heading2"/>
        <w:spacing w:before="200" w:after="80"/>
      </w:pPr>
      <w:r>
        <w:rPr>
          <w:rFonts w:ascii="Arial" w:hAnsi="Arial"/>
          <w:b/>
          <w:color w:val="1E293B"/>
          <w:sz w:val="22"/>
        </w:rPr>
        <w:t>4.7.2. Algoritmo de Resolución en Dos Fases (Cluster-First, Route-Second)</w:t>
      </w:r>
    </w:p>
    <w:p>
      <w:pPr>
        <w:pStyle w:val="ListNumber"/>
        <w:spacing w:after="40" w:line="276" w:lineRule="auto"/>
      </w:pPr>
      <w:r>
        <w:rPr>
          <w:rFonts w:ascii="Arial" w:hAnsi="Arial"/>
          <w:color w:val="1E293B"/>
          <w:sz w:val="20"/>
        </w:rPr>
        <w:t>Fase 1: Agrupamiento Espacial (K-Means Clustering):</w:t>
      </w:r>
    </w:p>
    <w:p>
      <w:pPr>
        <w:spacing w:after="100" w:line="276" w:lineRule="auto"/>
      </w:pPr>
      <w:r>
        <w:rPr>
          <w:rFonts w:ascii="Arial" w:hAnsi="Arial"/>
          <w:color w:val="1E293B"/>
          <w:sz w:val="20"/>
        </w:rPr>
        <w:t xml:space="preserve">   Los $N$ clientes se particionan en $K=21$ clústeres geográficos minimizando la varianza intra-clúster de coordenadas espaciales:</w:t>
      </w:r>
    </w:p>
    <w:p>
      <w:pPr>
        <w:spacing w:after="100" w:line="276" w:lineRule="auto"/>
      </w:pPr>
      <w:r>
        <w:rPr>
          <w:rFonts w:ascii="Arial" w:hAnsi="Arial"/>
          <w:color w:val="1E293B"/>
          <w:sz w:val="20"/>
        </w:rPr>
        <w:t xml:space="preserve">   $$\min_{\mathcal{S}} \sum_{k=1}^{K} \sum_{x \in S_k} \| x - \mu_k \|^2$$</w:t>
      </w:r>
    </w:p>
    <w:p>
      <w:pPr>
        <w:pStyle w:val="ListNumber"/>
        <w:spacing w:after="40" w:line="276" w:lineRule="auto"/>
      </w:pPr>
      <w:r>
        <w:rPr>
          <w:rFonts w:ascii="Arial" w:hAnsi="Arial"/>
          <w:color w:val="1E293B"/>
          <w:sz w:val="20"/>
        </w:rPr>
        <w:t>Fase 2: Optimización de Secuencia por Ruta (Heurística 2-Opt TSP):</w:t>
      </w:r>
    </w:p>
    <w:p>
      <w:pPr>
        <w:spacing w:after="100" w:line="276" w:lineRule="auto"/>
      </w:pPr>
      <w:r>
        <w:rPr>
          <w:rFonts w:ascii="Arial" w:hAnsi="Arial"/>
          <w:color w:val="1E293B"/>
          <w:sz w:val="20"/>
        </w:rPr>
        <w:t xml:space="preserve">   Para cada clúster $k$, se construye una ruta inicial mediante el algoritmo del Vecino Más Cercano (Nearest Neighbor) partiendo de la cocina central. Posteriormente, se ejecuta la heurística de mejora local 2-Opt, la cual evalúa iterativamente el intercambio de pares de aristas $(i, j)$ para eliminar cruces en el plano:</w:t>
      </w:r>
    </w:p>
    <w:p>
      <w:pPr>
        <w:spacing w:after="100" w:line="276" w:lineRule="auto"/>
      </w:pPr>
      <w:r>
        <w:rPr>
          <w:rFonts w:ascii="Arial" w:hAnsi="Arial"/>
          <w:color w:val="1E293B"/>
          <w:sz w:val="20"/>
        </w:rPr>
        <w:t xml:space="preserve">   $$\text{Secuencia Original: } (\dots, s_{i-1}, s_i, \dots, s_j, s_{j+1}, \dots) \longrightarrow \text{Secuencia 2-Opt: } (\dots, s_{i-1}, s_j, \dots, s_i, s_{j+1}, \dots)$$</w:t>
      </w:r>
    </w:p>
    <w:p>
      <w:pPr>
        <w:spacing w:after="100" w:line="276" w:lineRule="auto"/>
      </w:pPr>
      <w:r>
        <w:rPr>
          <w:rFonts w:ascii="Arial" w:hAnsi="Arial"/>
          <w:color w:val="1E293B"/>
          <w:sz w:val="20"/>
        </w:rPr>
        <w:t xml:space="preserve">   La inversión del segmento $s_i \dots s_j$ se adopta si y solo si la variación de distancia es estrictamente negativa ($\Delta D &lt; -10^{-6}$):</w:t>
      </w:r>
    </w:p>
    <w:p>
      <w:pPr>
        <w:spacing w:after="100" w:line="276" w:lineRule="auto"/>
      </w:pPr>
      <w:r>
        <w:rPr>
          <w:rFonts w:ascii="Arial" w:hAnsi="Arial"/>
          <w:color w:val="1E293B"/>
          <w:sz w:val="20"/>
        </w:rPr>
        <w:t xml:space="preserve">   $$\Delta D = d(s_{i-1}, s_j) + d(s_i, s_{j+1}) - d(s_{i-1}, s_i) - d(s_j, s_{j+1})$$</w:t>
      </w:r>
    </w:p>
    <w:p>
      <w:pPr>
        <w:pStyle w:val="Heading2"/>
        <w:spacing w:before="200" w:after="80"/>
      </w:pPr>
      <w:r>
        <w:rPr>
          <w:rFonts w:ascii="Arial" w:hAnsi="Arial"/>
          <w:b/>
          <w:color w:val="1E293B"/>
          <w:sz w:val="22"/>
        </w:rPr>
        <w:t>4.7.3. Implementación de Restricciones del Negocio Meals on Wheels</w:t>
      </w:r>
    </w:p>
    <w:p>
      <w:pPr>
        <w:pStyle w:val="ListBullet"/>
        <w:spacing w:after="40" w:line="276" w:lineRule="auto"/>
      </w:pPr>
      <w:r>
        <w:rPr>
          <w:rFonts w:ascii="Arial" w:hAnsi="Arial"/>
          <w:color w:val="1E293B"/>
          <w:sz w:val="20"/>
        </w:rPr>
        <w:t>Rutas Solo Ida (One-Way - 70% de la flota): Asignadas a conductores regulares que conservan las neveras isotérmicas y las devuelven al día siguiente. La ruta finaliza en el último cliente, sin computar retorno al depósito en el cálculo de distancia y tiempo.</w:t>
      </w:r>
    </w:p>
    <w:p>
      <w:pPr>
        <w:pStyle w:val="ListBullet"/>
        <w:spacing w:after="40" w:line="276" w:lineRule="auto"/>
      </w:pPr>
      <w:r>
        <w:rPr>
          <w:rFonts w:ascii="Arial" w:hAnsi="Arial"/>
          <w:color w:val="1E293B"/>
          <w:sz w:val="20"/>
        </w:rPr>
        <w:t>Rutas Ida y Vuelta (Round-Trip - 30% de la flota): Asignadas a voluntarios ocasionales que deben retornar obligatoriamente a la cocina central para entregar el equipamiento térmico al concluir su recorrido.</w:t>
      </w:r>
    </w:p>
    <w:p>
      <w:pPr>
        <w:pStyle w:val="ListBullet"/>
        <w:spacing w:after="40" w:line="276" w:lineRule="auto"/>
      </w:pPr>
      <w:r>
        <w:rPr>
          <w:rFonts w:ascii="Arial" w:hAnsi="Arial"/>
          <w:color w:val="1E293B"/>
          <w:sz w:val="20"/>
        </w:rPr>
        <w:t>Control del SLA Térmico de 90 Minutos:</w:t>
      </w:r>
    </w:p>
    <w:p>
      <w:pPr>
        <w:spacing w:after="100" w:line="276" w:lineRule="auto"/>
      </w:pPr>
      <w:r>
        <w:rPr>
          <w:rFonts w:ascii="Arial" w:hAnsi="Arial"/>
          <w:color w:val="1E293B"/>
          <w:sz w:val="20"/>
        </w:rPr>
        <w:t xml:space="preserve">  El tiempo de entrega acumulado al cliente $m$ ($t_{\text{entrega}}^{(m)}$) se modela sumando los tiempos de conducción de cada segmento más un tiempo de servicio de 3 minutos por hogar:</w:t>
      </w:r>
    </w:p>
    <w:p>
      <w:pPr>
        <w:spacing w:after="100" w:line="276" w:lineRule="auto"/>
      </w:pPr>
      <w:r>
        <w:rPr>
          <w:rFonts w:ascii="Arial" w:hAnsi="Arial"/>
          <w:color w:val="1E293B"/>
          <w:sz w:val="20"/>
        </w:rPr>
        <w:t xml:space="preserve">  $$t_{\text{entrega}}^{(m)} = \sum_{j=1}^{m} \left( \frac{d(s_{j-1}, s_j)}{v_{\text{media}}} \times 60 \right) + (m-1) \times t_{\text{servicio}}$$</w:t>
      </w:r>
    </w:p>
    <w:p>
      <w:pPr>
        <w:spacing w:after="100" w:line="276" w:lineRule="auto"/>
      </w:pPr>
      <w:r>
        <w:rPr>
          <w:rFonts w:ascii="Arial" w:hAnsi="Arial"/>
          <w:color w:val="1E293B"/>
          <w:sz w:val="20"/>
        </w:rPr>
        <w:t xml:space="preserve">  $$\text{Condición de Cumplimiento SLA: } t_{\text{entrega}}^{(m)} \le 90.0\text{ minutos} \quad \forall m \in \{1, \dots, |S_k|\}$$</w:t>
      </w:r>
    </w:p>
    <w:p>
      <w:pPr>
        <w:pStyle w:val="Heading2"/>
        <w:spacing w:before="200" w:after="80"/>
      </w:pPr>
      <w:r>
        <w:rPr>
          <w:rFonts w:ascii="Arial" w:hAnsi="Arial"/>
          <w:b/>
          <w:color w:val="1E293B"/>
          <w:sz w:val="22"/>
        </w:rPr>
        <w:t>4.7.4. Reenrutamiento Dinámico con Grafos Topológicos (Dijkstra)</w:t>
      </w:r>
    </w:p>
    <w:p>
      <w:pPr>
        <w:spacing w:after="100" w:line="276" w:lineRule="auto"/>
      </w:pPr>
      <w:r>
        <w:rPr>
          <w:rFonts w:ascii="Arial" w:hAnsi="Arial"/>
          <w:color w:val="1E293B"/>
          <w:sz w:val="20"/>
        </w:rPr>
        <w:t>En situaciones de alerta crítica (Nivel 1), el dashboard ejecuta la función generate_alternative_route ([src/visualization/dashboard.py:16-49](file:///d:/LabD/DS-LOGISTICA%204.0-Metro-Meals-on%20Wheels%20Treasure%20Valley/src/visualization/dashboard.py#L16-L49)), construyendo un grafo topológico $G=(V, E)$ con NetworkX donde las aristas congestionadas ven penalizado su peso en tiempo ($w_{\text{congestionada}} = 80\text{ min}$ vs. $w_{\text{desvío}} = 15\text{ min}$). El algoritmo de Dijkstra calcula la ruta mínima de escape, trazando en el mapa GPS el desvío óptimo alternativo en color púrpura.</w:t>
      </w:r>
    </w:p>
    <w:p>
      <w:pPr>
        <w:pStyle w:val="Heading1"/>
        <w:spacing w:before="280" w:after="100"/>
      </w:pPr>
      <w:r>
        <w:rPr>
          <w:rFonts w:ascii="Arial" w:hAnsi="Arial"/>
          <w:b/>
          <w:color w:val="0F172A"/>
          <w:sz w:val="25"/>
        </w:rPr>
        <w:t>4.8. Implementación de la Torre de Control y Dashboard Interactivo</w:t>
      </w:r>
    </w:p>
    <w:p>
      <w:pPr>
        <w:pStyle w:val="Heading2"/>
        <w:spacing w:before="200" w:after="80"/>
      </w:pPr>
      <w:r>
        <w:rPr>
          <w:rFonts w:ascii="Arial" w:hAnsi="Arial"/>
          <w:b/>
          <w:color w:val="1E293B"/>
          <w:sz w:val="22"/>
        </w:rPr>
        <w:t>4.8.1. Arquitectura de Interfaz y Estilos Visuales</w:t>
      </w:r>
    </w:p>
    <w:p>
      <w:pPr>
        <w:spacing w:after="100" w:line="276" w:lineRule="auto"/>
      </w:pPr>
      <w:r>
        <w:rPr>
          <w:rFonts w:ascii="Arial" w:hAnsi="Arial"/>
          <w:color w:val="1E293B"/>
          <w:sz w:val="20"/>
        </w:rPr>
        <w:t>La torre de control visual ([src/visualization/dashboard.py](file:///d:/LabD/DS-LOGISTICA%204.0-Metro-Meals-on%20Wheels%20Treasure%20Valley/src/visualization/dashboard.py)) fue desarrollada en Streamlit incorporando un diseño *Premium Dark Theme* con efectos de Glassmorphism CSS (fondos translúcidos con desenfoque de fondo backdrop-filter: blur(12px) y bordes iluminados según el nivel de riesgo).</w:t>
      </w:r>
    </w:p>
    <w:p>
      <w:pPr>
        <w:spacing w:after="100" w:line="276" w:lineRule="auto"/>
      </w:pPr>
      <w:r>
        <w:rPr>
          <w:rFonts w:ascii="Arial" w:hAnsi="Arial"/>
          <w:color w:val="1E293B"/>
          <w:sz w:val="20"/>
        </w:rPr>
        <w:t>La aplicación se estructura en cuatro módulos navegables:</w:t>
      </w:r>
    </w:p>
    <w:p>
      <w:pPr>
        <w:pStyle w:val="ListNumber"/>
        <w:spacing w:after="40" w:line="276" w:lineRule="auto"/>
      </w:pPr>
      <w:r>
        <w:rPr>
          <w:rFonts w:ascii="Arial" w:hAnsi="Arial"/>
          <w:color w:val="1E293B"/>
          <w:sz w:val="20"/>
        </w:rPr>
        <w:t>📡 Torre de Control (En Vivo):</w:t>
      </w:r>
    </w:p>
    <w:p>
      <w:pPr>
        <w:spacing w:after="100" w:line="276" w:lineRule="auto"/>
      </w:pPr>
      <w:r>
        <w:rPr>
          <w:rFonts w:ascii="Arial" w:hAnsi="Arial"/>
          <w:color w:val="1E293B"/>
          <w:sz w:val="20"/>
        </w:rPr>
        <w:t xml:space="preserve">   - Panel de KPIs operacionales en tiempo real (Envíos monitoreados, OTIF estimado, conteo de alertas Nivel 1, Nivel 2 y Operación normal).</w:t>
      </w:r>
    </w:p>
    <w:p>
      <w:pPr>
        <w:spacing w:after="100" w:line="276" w:lineRule="auto"/>
      </w:pPr>
      <w:r>
        <w:rPr>
          <w:rFonts w:ascii="Arial" w:hAnsi="Arial"/>
          <w:color w:val="1E293B"/>
          <w:sz w:val="20"/>
        </w:rPr>
        <w:t xml:space="preserve">   - Mapa geoespacial interactivo en tiempo real con Mapbox (carto-positron), representando cada vehículo con codificación de color semafórica según su nivel de riesgo y trazando desvíos dinámicos ante retenciones viales.</w:t>
      </w:r>
    </w:p>
    <w:p>
      <w:pPr>
        <w:spacing w:after="100" w:line="276" w:lineRule="auto"/>
      </w:pPr>
      <w:r>
        <w:rPr>
          <w:rFonts w:ascii="Arial" w:hAnsi="Arial"/>
          <w:color w:val="1E293B"/>
          <w:sz w:val="20"/>
        </w:rPr>
        <w:t xml:space="preserve">   - Panel prescriptivo con tarjetas dinámicas que muestran la recomendación en lenguaje natural del agente GenAI y gráficos de barras horizontales con los valores SHAP locales.</w:t>
      </w:r>
    </w:p>
    <w:p>
      <w:pPr>
        <w:spacing w:after="100" w:line="276" w:lineRule="auto"/>
      </w:pPr>
      <w:r>
        <w:rPr>
          <w:rFonts w:ascii="Arial" w:hAnsi="Arial"/>
          <w:color w:val="1E293B"/>
          <w:sz w:val="20"/>
        </w:rPr>
        <w:t xml:space="preserve">   - Tabla de despacho activo y visualizador de la capa Gold del Feature Store.</w:t>
      </w:r>
    </w:p>
    <w:p>
      <w:pPr>
        <w:pStyle w:val="ListNumber"/>
        <w:spacing w:after="40" w:line="276" w:lineRule="auto"/>
      </w:pPr>
      <w:r>
        <w:rPr>
          <w:rFonts w:ascii="Arial" w:hAnsi="Arial"/>
          <w:color w:val="1E293B"/>
          <w:sz w:val="20"/>
        </w:rPr>
        <w:t>📊 Inteligencia Histórica (Batch Analytics):</w:t>
      </w:r>
    </w:p>
    <w:p>
      <w:pPr>
        <w:spacing w:after="100" w:line="276" w:lineRule="auto"/>
      </w:pPr>
      <w:r>
        <w:rPr>
          <w:rFonts w:ascii="Arial" w:hAnsi="Arial"/>
          <w:color w:val="1E293B"/>
          <w:sz w:val="20"/>
        </w:rPr>
        <w:t xml:space="preserve">   - Análisis de tendencias globales de OTIF histórico.</w:t>
      </w:r>
    </w:p>
    <w:p>
      <w:pPr>
        <w:spacing w:after="100" w:line="276" w:lineRule="auto"/>
      </w:pPr>
      <w:r>
        <w:rPr>
          <w:rFonts w:ascii="Arial" w:hAnsi="Arial"/>
          <w:color w:val="1E293B"/>
          <w:sz w:val="20"/>
        </w:rPr>
        <w:t xml:space="preserve">   - Gráficos de barras agrupadas de impacto climático y diagramas de caja (*boxplots*) de riesgo ambiental vs. estado de entrega.</w:t>
      </w:r>
    </w:p>
    <w:p>
      <w:pPr>
        <w:spacing w:after="100" w:line="276" w:lineRule="auto"/>
      </w:pPr>
      <w:r>
        <w:rPr>
          <w:rFonts w:ascii="Arial" w:hAnsi="Arial"/>
          <w:color w:val="1E293B"/>
          <w:sz w:val="20"/>
        </w:rPr>
        <w:t xml:space="preserve">   - Diagramas de dispersión de velocidad vs. distancia y matriz de correlación.</w:t>
      </w:r>
    </w:p>
    <w:p>
      <w:pPr>
        <w:pStyle w:val="ListNumber"/>
        <w:spacing w:after="40" w:line="276" w:lineRule="auto"/>
      </w:pPr>
      <w:r>
        <w:rPr>
          <w:rFonts w:ascii="Arial" w:hAnsi="Arial"/>
          <w:color w:val="1E293B"/>
          <w:sz w:val="20"/>
        </w:rPr>
        <w:t>🔬 Módulo EDA, Estadística Descriptiva e Inferencial:</w:t>
      </w:r>
    </w:p>
    <w:p>
      <w:pPr>
        <w:spacing w:after="100" w:line="276" w:lineRule="auto"/>
      </w:pPr>
      <w:r>
        <w:rPr>
          <w:rFonts w:ascii="Arial" w:hAnsi="Arial"/>
          <w:color w:val="1E293B"/>
          <w:sz w:val="20"/>
        </w:rPr>
        <w:t xml:space="preserve">   - Panel analítico riguroso alimentado por [src/analytics/statistical_eda.py](file:///d:/LabD/DS-LOGISTICA%204.0-Metro-Meals-on%20Wheels%20Treasure%20Valley/src/analytics/statistical_eda.py).</w:t>
      </w:r>
    </w:p>
    <w:p>
      <w:pPr>
        <w:spacing w:after="100" w:line="276" w:lineRule="auto"/>
      </w:pPr>
      <w:r>
        <w:rPr>
          <w:rFonts w:ascii="Arial" w:hAnsi="Arial"/>
          <w:color w:val="1E293B"/>
          <w:sz w:val="20"/>
        </w:rPr>
        <w:t xml:space="preserve">   - Métricas descriptivas completas con intervalos de confianza Bootstrap del 95%.</w:t>
      </w:r>
    </w:p>
    <w:p>
      <w:pPr>
        <w:spacing w:after="100" w:line="276" w:lineRule="auto"/>
      </w:pPr>
      <w:r>
        <w:rPr>
          <w:rFonts w:ascii="Arial" w:hAnsi="Arial"/>
          <w:color w:val="1E293B"/>
          <w:sz w:val="20"/>
        </w:rPr>
        <w:t xml:space="preserve">   - Contrastes de hipótesis operacionales (Welch's $t$-test, Mann-Whitney $U$, One-Way ANOVA, Kruskal-Wallis) con estimación de tamaño del efecto (Cohen's $d$, $\eta^2$).</w:t>
      </w:r>
    </w:p>
    <w:p>
      <w:pPr>
        <w:spacing w:after="100" w:line="276" w:lineRule="auto"/>
      </w:pPr>
      <w:r>
        <w:rPr>
          <w:rFonts w:ascii="Arial" w:hAnsi="Arial"/>
          <w:color w:val="1E293B"/>
          <w:sz w:val="20"/>
        </w:rPr>
        <w:t xml:space="preserve">   - Pruebas Chi-cuadrado ($\chi^2$) con tablas de contingencia y matrices de residuos tipificados.</w:t>
      </w:r>
    </w:p>
    <w:p>
      <w:pPr>
        <w:spacing w:after="100" w:line="276" w:lineRule="auto"/>
      </w:pPr>
      <w:r>
        <w:rPr>
          <w:rFonts w:ascii="Arial" w:hAnsi="Arial"/>
          <w:color w:val="1E293B"/>
          <w:sz w:val="20"/>
        </w:rPr>
        <w:t xml:space="preserve">   - Diagnóstico de valores atípicos mediante bandas de corte de Tukey (IQR) y $Z$-Score.</w:t>
      </w:r>
    </w:p>
    <w:p>
      <w:pPr>
        <w:pStyle w:val="ListNumber"/>
        <w:spacing w:after="40" w:line="276" w:lineRule="auto"/>
      </w:pPr>
      <w:r>
        <w:rPr>
          <w:rFonts w:ascii="Arial" w:hAnsi="Arial"/>
          <w:color w:val="1E293B"/>
          <w:sz w:val="20"/>
        </w:rPr>
        <w:t>🚚 Optimizador Meals on Wheels (Simulador de Caso 8.4):</w:t>
      </w:r>
    </w:p>
    <w:p>
      <w:pPr>
        <w:spacing w:after="100" w:line="276" w:lineRule="auto"/>
      </w:pPr>
      <w:r>
        <w:rPr>
          <w:rFonts w:ascii="Arial" w:hAnsi="Arial"/>
          <w:color w:val="1E293B"/>
          <w:sz w:val="20"/>
        </w:rPr>
        <w:t xml:space="preserve">   - Configuración paramétrica interactiva (número de clientes, rutas, porcentaje de conductores regulares, velocidad media y límite de SLA).</w:t>
      </w:r>
    </w:p>
    <w:p>
      <w:pPr>
        <w:spacing w:after="100" w:line="276" w:lineRule="auto"/>
      </w:pPr>
      <w:r>
        <w:rPr>
          <w:rFonts w:ascii="Arial" w:hAnsi="Arial"/>
          <w:color w:val="1E293B"/>
          <w:sz w:val="20"/>
        </w:rPr>
        <w:t xml:space="preserve">   - Cálculo automático de ahorros anuales en millas, horas de voluntariado y costes operativos ($\$0.58/\text{milla}$).</w:t>
      </w:r>
    </w:p>
    <w:p>
      <w:pPr>
        <w:spacing w:after="100" w:line="276" w:lineRule="auto"/>
      </w:pPr>
      <w:r>
        <w:rPr>
          <w:rFonts w:ascii="Arial" w:hAnsi="Arial"/>
          <w:color w:val="1E293B"/>
          <w:sz w:val="20"/>
        </w:rPr>
        <w:t xml:space="preserve">   - Mapa de rutas en Treasure Valley con paleta cromática diferenciada y marcadores de alerta en paradas que violan el SLA térmico.</w:t>
      </w:r>
    </w:p>
    <w:p>
      <w:pPr>
        <w:spacing w:after="100" w:line="276" w:lineRule="auto"/>
      </w:pPr>
      <w:r>
        <w:rPr>
          <w:rFonts w:ascii="Arial" w:hAnsi="Arial"/>
          <w:color w:val="1E293B"/>
          <w:sz w:val="20"/>
        </w:rPr>
        <w:t xml:space="preserve">   - Tabla detallada de hojas de ruta secuenciales y botón de exportación a CSV.</w:t>
      </w:r>
    </w:p>
    <w:p>
      <w:pPr>
        <w:pStyle w:val="Heading1"/>
        <w:spacing w:before="280" w:after="100"/>
      </w:pPr>
      <w:r>
        <w:rPr>
          <w:rFonts w:ascii="Arial" w:hAnsi="Arial"/>
          <w:b/>
          <w:color w:val="0F172A"/>
          <w:sz w:val="25"/>
        </w:rPr>
        <w:t>4.9. Despliegue, Contenedorización y Testing Automatizado</w:t>
      </w:r>
    </w:p>
    <w:p>
      <w:pPr>
        <w:pStyle w:val="Heading2"/>
        <w:spacing w:before="200" w:after="80"/>
      </w:pPr>
      <w:r>
        <w:rPr>
          <w:rFonts w:ascii="Arial" w:hAnsi="Arial"/>
          <w:b/>
          <w:color w:val="1E293B"/>
          <w:sz w:val="22"/>
        </w:rPr>
        <w:t>4.9.1. Contenedorización Multi-Servicio (Docker / Podman)</w:t>
      </w:r>
    </w:p>
    <w:p>
      <w:pPr>
        <w:spacing w:after="100" w:line="276" w:lineRule="auto"/>
      </w:pPr>
      <w:r>
        <w:rPr>
          <w:rFonts w:ascii="Arial" w:hAnsi="Arial"/>
          <w:color w:val="1E293B"/>
          <w:sz w:val="20"/>
        </w:rPr>
        <w:t>Para garantizar la reproducibilidad y el despliegue en infraestructuras Cloud-Native, se implementó una imagen optimizada en [Dockerfile](file:///d:/LabD/DS-LOGISTICA%204.0-Metro-Meals-on%20Wheels%20Treasure%20Valley/Dockerfile) basada en python:3.10-slim con ejecución bajo usuario no privilegiado (appuser) y healthcheck integrado.</w:t>
      </w:r>
    </w:p>
    <w:p>
      <w:pPr>
        <w:spacing w:after="100" w:line="276" w:lineRule="auto"/>
      </w:pPr>
      <w:r>
        <w:rPr>
          <w:rFonts w:ascii="Arial" w:hAnsi="Arial"/>
          <w:color w:val="1E293B"/>
          <w:sz w:val="20"/>
        </w:rPr>
        <w:t>La orquestación de servicios se definió en [docker-compose.yml](file:///d:/LabD/DS-LOGISTICA%204.0-Metro-Meals-on%20Wheels%20Treasure%20Valley/docker-compose.yml), coordinando cuatro contenedores independientes:</w:t>
      </w:r>
    </w:p>
    <w:p>
      <w:pPr>
        <w:pStyle w:val="ListBullet"/>
        <w:spacing w:after="40" w:line="276" w:lineRule="auto"/>
      </w:pPr>
      <w:r>
        <w:rPr>
          <w:rFonts w:ascii="Arial" w:hAnsi="Arial"/>
          <w:color w:val="1E293B"/>
          <w:sz w:val="20"/>
        </w:rPr>
        <w:t>mow-control-tower: Dashboard interactivo Streamlit (Puerto 8501).</w:t>
      </w:r>
    </w:p>
    <w:p>
      <w:pPr>
        <w:pStyle w:val="ListBullet"/>
        <w:spacing w:after="40" w:line="276" w:lineRule="auto"/>
      </w:pPr>
      <w:r>
        <w:rPr>
          <w:rFonts w:ascii="Arial" w:hAnsi="Arial"/>
          <w:color w:val="1E293B"/>
          <w:sz w:val="20"/>
        </w:rPr>
        <w:t>mow-stream-consumer: Consumidor continuo de micro-batches e inferencia en tiempo real.</w:t>
      </w:r>
    </w:p>
    <w:p>
      <w:pPr>
        <w:pStyle w:val="ListBullet"/>
        <w:spacing w:after="40" w:line="276" w:lineRule="auto"/>
      </w:pPr>
      <w:r>
        <w:rPr>
          <w:rFonts w:ascii="Arial" w:hAnsi="Arial"/>
          <w:color w:val="1E293B"/>
          <w:sz w:val="20"/>
        </w:rPr>
        <w:t>mow-iot-simulator: Productor telemático de eventos vehiculares.</w:t>
      </w:r>
    </w:p>
    <w:p>
      <w:pPr>
        <w:pStyle w:val="ListBullet"/>
        <w:spacing w:after="40" w:line="276" w:lineRule="auto"/>
      </w:pPr>
      <w:r>
        <w:rPr>
          <w:rFonts w:ascii="Arial" w:hAnsi="Arial"/>
          <w:color w:val="1E293B"/>
          <w:sz w:val="20"/>
        </w:rPr>
        <w:t>mow-mlflow-server: Servidor de tracking y gobernanza de modelos (Puerto 5000).</w:t>
      </w:r>
    </w:p>
    <w:p>
      <w:pPr>
        <w:pStyle w:val="Heading2"/>
        <w:spacing w:before="200" w:after="80"/>
      </w:pPr>
      <w:r>
        <w:rPr>
          <w:rFonts w:ascii="Arial" w:hAnsi="Arial"/>
          <w:b/>
          <w:color w:val="1E293B"/>
          <w:sz w:val="22"/>
        </w:rPr>
        <w:t>4.9.2. Suite de Pruebas Automatizadas (PyTest)</w:t>
      </w:r>
    </w:p>
    <w:p>
      <w:pPr>
        <w:spacing w:after="100" w:line="276" w:lineRule="auto"/>
      </w:pPr>
      <w:r>
        <w:rPr>
          <w:rFonts w:ascii="Arial" w:hAnsi="Arial"/>
          <w:color w:val="1E293B"/>
          <w:sz w:val="20"/>
        </w:rPr>
        <w:t>Se desarrolló una suite de pruebas unitarias y de integración bajo el directorio [tests/](file:///d:/LabD/DS-LOGISTICA%204.0-Metro-Meals-on%20Wheels%20Treasure%20Valley/tests) con cobertura del 100% de los módulos críticos (24/24 pruebas superadas con éxito):</w:t>
      </w:r>
    </w:p>
    <w:p>
      <w:pPr>
        <w:pStyle w:val="ListBullet"/>
        <w:spacing w:after="40" w:line="276" w:lineRule="auto"/>
      </w:pPr>
      <w:r>
        <w:rPr>
          <w:rFonts w:ascii="Arial" w:hAnsi="Arial"/>
          <w:color w:val="1E293B"/>
          <w:sz w:val="20"/>
        </w:rPr>
        <w:t>test_data_validator.py: Validación de esquemas y rechazo de anomalías telemáticas.</w:t>
      </w:r>
    </w:p>
    <w:p>
      <w:pPr>
        <w:pStyle w:val="ListBullet"/>
        <w:spacing w:after="40" w:line="276" w:lineRule="auto"/>
      </w:pPr>
      <w:r>
        <w:rPr>
          <w:rFonts w:ascii="Arial" w:hAnsi="Arial"/>
          <w:color w:val="1E293B"/>
          <w:sz w:val="20"/>
        </w:rPr>
        <w:t>test_feature_store.py: Cálculo de variables compuestas y protección contra divisiones por cero.</w:t>
      </w:r>
    </w:p>
    <w:p>
      <w:pPr>
        <w:pStyle w:val="ListBullet"/>
        <w:spacing w:after="40" w:line="276" w:lineRule="auto"/>
      </w:pPr>
      <w:r>
        <w:rPr>
          <w:rFonts w:ascii="Arial" w:hAnsi="Arial"/>
          <w:color w:val="1E293B"/>
          <w:sz w:val="20"/>
        </w:rPr>
        <w:t>test_model_pipeline.py: Consistencia dimensional y acotamiento de probabilidades $P \in [0, 1]$.</w:t>
      </w:r>
    </w:p>
    <w:p>
      <w:pPr>
        <w:pStyle w:val="ListBullet"/>
        <w:spacing w:after="40" w:line="276" w:lineRule="auto"/>
      </w:pPr>
      <w:r>
        <w:rPr>
          <w:rFonts w:ascii="Arial" w:hAnsi="Arial"/>
          <w:color w:val="1E293B"/>
          <w:sz w:val="20"/>
        </w:rPr>
        <w:t>test_decision_engine.py: Asignación de niveles de riesgo y reglas operacionales.</w:t>
      </w:r>
    </w:p>
    <w:p>
      <w:pPr>
        <w:pStyle w:val="ListBullet"/>
        <w:spacing w:after="40" w:line="276" w:lineRule="auto"/>
      </w:pPr>
      <w:r>
        <w:rPr>
          <w:rFonts w:ascii="Arial" w:hAnsi="Arial"/>
          <w:color w:val="1E293B"/>
          <w:sz w:val="20"/>
        </w:rPr>
        <w:t>test_route_optimizer.py: Convergencia de 2-opt, cálculo de distancias y rutas One-Way vs. Round-Trip.</w:t>
      </w:r>
    </w:p>
    <w:p>
      <w:pPr>
        <w:pStyle w:val="ListBullet"/>
        <w:spacing w:after="40" w:line="276" w:lineRule="auto"/>
      </w:pPr>
      <w:r>
        <w:rPr>
          <w:rFonts w:ascii="Arial" w:hAnsi="Arial"/>
          <w:color w:val="1E293B"/>
          <w:sz w:val="20"/>
        </w:rPr>
        <w:t>test_statistical_eda.py: Pruebas de normalidad, contrastes de hipótesis y matrices de correlación.</w:t>
      </w:r>
    </w:p>
    <w:p>
      <w:pPr>
        <w:pStyle w:val="Heading2"/>
        <w:spacing w:before="200" w:after="80"/>
      </w:pPr>
      <w:r>
        <w:rPr>
          <w:rFonts w:ascii="Arial" w:hAnsi="Arial"/>
          <w:b/>
          <w:color w:val="1E293B"/>
          <w:sz w:val="22"/>
        </w:rPr>
        <w:t>4.9.3. Entorno Virtual y Automatización de Despliegue en 1-Clic</w:t>
      </w:r>
    </w:p>
    <w:p>
      <w:pPr>
        <w:spacing w:after="100" w:line="276" w:lineRule="auto"/>
      </w:pPr>
      <w:r>
        <w:rPr>
          <w:rFonts w:ascii="Arial" w:hAnsi="Arial"/>
          <w:color w:val="1E293B"/>
          <w:sz w:val="20"/>
        </w:rPr>
        <w:t>Para maximizar la reproducibilidad por parte de evaluadores, investigadores y terceros, se implementaron scripts de inicialización y verificación automatizada multiplataforma:</w:t>
      </w:r>
    </w:p>
    <w:p>
      <w:pPr>
        <w:pStyle w:val="ListBullet"/>
        <w:spacing w:after="40" w:line="276" w:lineRule="auto"/>
      </w:pPr>
      <w:r>
        <w:rPr>
          <w:rFonts w:ascii="Arial" w:hAnsi="Arial"/>
          <w:color w:val="1E293B"/>
          <w:sz w:val="20"/>
        </w:rPr>
        <w:t>setup_env.bat / setup_env.ps1: Automatización en Windows para creación del entorno virtual .venv, actualización de herramientas de empaquetado, instalación desatendida de dependencias y ejecución de la suite completa de PyTest.</w:t>
      </w:r>
    </w:p>
    <w:p>
      <w:pPr>
        <w:pStyle w:val="ListBullet"/>
        <w:spacing w:after="40" w:line="276" w:lineRule="auto"/>
      </w:pPr>
      <w:r>
        <w:rPr>
          <w:rFonts w:ascii="Arial" w:hAnsi="Arial"/>
          <w:color w:val="1E293B"/>
          <w:sz w:val="20"/>
        </w:rPr>
        <w:t>setup_env.sh: Automatización para entornos Unix/Linux y macOS.</w:t>
      </w:r>
    </w:p>
    <w:p>
      <w:pPr>
        <w:pStyle w:val="ListBullet"/>
        <w:spacing w:after="40" w:line="276" w:lineRule="auto"/>
      </w:pPr>
      <w:r>
        <w:rPr>
          <w:rFonts w:ascii="Arial" w:hAnsi="Arial"/>
          <w:color w:val="1E293B"/>
          <w:sz w:val="20"/>
        </w:rPr>
        <w:t>run_dashboard.bat / run_dashboard.ps1 / run_dashboard.sh: Lanzadores directos de la Torre de Control y Dashboard analítico con validación previa de entorno.</w:t>
      </w:r>
    </w:p>
    <w:p>
      <w:pPr>
        <w:pStyle w:val="Heading1"/>
        <w:spacing w:before="280" w:after="100"/>
      </w:pPr>
      <w:r>
        <w:rPr>
          <w:rFonts w:ascii="Arial" w:hAnsi="Arial"/>
          <w:b/>
          <w:color w:val="0F172A"/>
          <w:sz w:val="25"/>
        </w:rPr>
        <w:t>4.10. Resumen y Conclusiones del Capítulo 4</w:t>
      </w:r>
    </w:p>
    <w:p>
      <w:pPr>
        <w:spacing w:after="100" w:line="276" w:lineRule="auto"/>
      </w:pPr>
      <w:r>
        <w:rPr>
          <w:rFonts w:ascii="Arial" w:hAnsi="Arial"/>
          <w:color w:val="1E293B"/>
          <w:sz w:val="20"/>
        </w:rPr>
        <w:t>En este capítulo se ha demostrado la viabilidad técnica y computacional de la arquitectura de Decision Intelligence para la Logística 4.0. La solución implementada integra con éxito:</w:t>
      </w:r>
    </w:p>
    <w:p>
      <w:pPr>
        <w:pStyle w:val="ListNumber"/>
        <w:spacing w:after="40" w:line="276" w:lineRule="auto"/>
      </w:pPr>
      <w:r>
        <w:rPr>
          <w:rFonts w:ascii="Arial" w:hAnsi="Arial"/>
          <w:color w:val="1E293B"/>
          <w:sz w:val="20"/>
        </w:rPr>
        <w:t>La captura y validación telemática continua de eventos vehiculares en streaming mediante compuertas de calidad Pydantic (Data Quality Score: $99.95\%$).</w:t>
      </w:r>
    </w:p>
    <w:p>
      <w:pPr>
        <w:pStyle w:val="ListNumber"/>
        <w:spacing w:after="40" w:line="276" w:lineRule="auto"/>
      </w:pPr>
      <w:r>
        <w:rPr>
          <w:rFonts w:ascii="Arial" w:hAnsi="Arial"/>
          <w:color w:val="1E293B"/>
          <w:sz w:val="20"/>
        </w:rPr>
        <w:t>La transformación analítica en tiempo real dentro de un Feature Store estructurado (Capa Gold SQLite).</w:t>
      </w:r>
    </w:p>
    <w:p>
      <w:pPr>
        <w:pStyle w:val="ListNumber"/>
        <w:spacing w:after="40" w:line="276" w:lineRule="auto"/>
      </w:pPr>
      <w:r>
        <w:rPr>
          <w:rFonts w:ascii="Arial" w:hAnsi="Arial"/>
          <w:color w:val="1E293B"/>
          <w:sz w:val="20"/>
        </w:rPr>
        <w:t>La inferencia predictiva con el ensamble calibrado StackingEnsemble (Super Learner) alcanzando desempeño de vanguardia ($\text{Recall} = 1.0000$, $\text{ROC-AUC} = 1.0000$, $F_2 = 0.9997$, $\text{Brier} = 0.0003$).</w:t>
      </w:r>
    </w:p>
    <w:p>
      <w:pPr>
        <w:pStyle w:val="ListNumber"/>
        <w:spacing w:after="40" w:line="276" w:lineRule="auto"/>
      </w:pPr>
      <w:r>
        <w:rPr>
          <w:rFonts w:ascii="Arial" w:hAnsi="Arial"/>
          <w:color w:val="1E293B"/>
          <w:sz w:val="20"/>
        </w:rPr>
        <w:t>La explicabilidad matemática causal mediante valores TreeSHAP locales por evento.</w:t>
      </w:r>
    </w:p>
    <w:p>
      <w:pPr>
        <w:pStyle w:val="ListNumber"/>
        <w:spacing w:after="40" w:line="276" w:lineRule="auto"/>
      </w:pPr>
      <w:r>
        <w:rPr>
          <w:rFonts w:ascii="Arial" w:hAnsi="Arial"/>
          <w:color w:val="1E293B"/>
          <w:sz w:val="20"/>
        </w:rPr>
        <w:t>La prescripción automatizada y asistida por Inteligencia Artificial Generativa contextualizada bajo el patrón *Guarded GenAI*.</w:t>
      </w:r>
    </w:p>
    <w:p>
      <w:pPr>
        <w:pStyle w:val="ListNumber"/>
        <w:spacing w:after="40" w:line="276" w:lineRule="auto"/>
      </w:pPr>
      <w:r>
        <w:rPr>
          <w:rFonts w:ascii="Arial" w:hAnsi="Arial"/>
          <w:color w:val="1E293B"/>
          <w:sz w:val="20"/>
        </w:rPr>
        <w:t>La optimización topológica de rutas respetando las complejidades reales de voluntarios y el SLA de caducidad térmica ($\le 90\text{ min}$) del caso Meals on Wheels.</w:t>
      </w:r>
    </w:p>
    <w:p>
      <w:pPr>
        <w:pStyle w:val="ListNumber"/>
        <w:spacing w:after="40" w:line="276" w:lineRule="auto"/>
      </w:pPr>
      <w:r>
        <w:rPr>
          <w:rFonts w:ascii="Arial" w:hAnsi="Arial"/>
          <w:color w:val="1E293B"/>
          <w:sz w:val="20"/>
        </w:rPr>
        <w:t>Un entorno gobernado y reproducible bajo estándares MLOps (MLflow, PyTest 24/24 tests pasados, Docker/Podman).</w:t>
      </w:r>
    </w:p>
    <w:p>
      <w:pPr>
        <w:spacing w:after="100" w:line="276" w:lineRule="auto"/>
      </w:pPr>
      <w:r>
        <w:rPr>
          <w:rFonts w:ascii="Arial" w:hAnsi="Arial"/>
          <w:color w:val="1E293B"/>
          <w:sz w:val="20"/>
        </w:rPr>
        <w:t>El siguiente capítulo (Capítulo 5) presenta los resultados experimentales detallados, la auditoría exhaustiva de Data Quality, los análisis estadísticos inferenciales de validación de hipótesis y la discusión del impacto de negocio obtenido.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