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 xml:space="preserve">🚚 </w:t>
      </w:r>
      <w:r>
        <w:rPr>
          <w:rFonts w:ascii="Calibri" w:hAnsi="Calibri"/>
          <w:b/>
          <w:color w:val="0F2C59"/>
          <w:sz w:val="44"/>
        </w:rPr>
        <w:t>Smart Logistics 4.0: Decision Intelligence &amp; Care Dashboard</w:t>
      </w:r>
    </w:p>
    <w:p>
      <w:pPr>
        <w:jc w:val="center"/>
      </w:pPr>
      <w:r>
        <w:rPr>
          <w:b/>
          <w:color w:val="333333"/>
          <w:sz w:val="28"/>
        </w:rPr>
        <w:t>Plan de Estudio, Análisis Técnico y Distribución de Trabajo del Equipo</w:t>
        <w:br/>
      </w:r>
      <w:r>
        <w:rPr>
          <w:i/>
          <w:color w:val="555555"/>
          <w:sz w:val="24"/>
        </w:rPr>
        <w:t>Máster en Big Data &amp; Data Science — Universidad Complutense de Madrid (UCM)</w:t>
      </w:r>
    </w:p>
    <w:p>
      <w:pPr>
        <w:spacing w:after="240"/>
      </w:pPr>
    </w:p>
    <w:p>
      <w:pPr>
        <w:pStyle w:val="Heading2"/>
        <w:spacing w:before="200" w:after="120"/>
      </w:pPr>
      <w:r>
        <w:t>Integrantes del Equipo de Trabajo</w:t>
      </w:r>
    </w:p>
    <w:p>
      <w:pPr>
        <w:pStyle w:val="ListBullet"/>
      </w:pPr>
      <w:r>
        <w:rPr>
          <w:b/>
          <w:color w:val="0F2C59"/>
        </w:rPr>
        <w:t>Guillén Concepción</w:t>
      </w:r>
      <w:r>
        <w:t xml:space="preserve"> — Lead Data Scientist &amp; MLOps Engineer (Dirección Técnica y Arquitectura)</w:t>
      </w:r>
    </w:p>
    <w:p>
      <w:pPr>
        <w:pStyle w:val="ListBullet"/>
      </w:pPr>
      <w:r>
        <w:rPr>
          <w:b/>
          <w:color w:val="0F2C59"/>
        </w:rPr>
        <w:t>Andrei</w:t>
      </w:r>
      <w:r>
        <w:t xml:space="preserve"> — Data Engineer &amp; Streaming IoT Lead</w:t>
      </w:r>
    </w:p>
    <w:p>
      <w:pPr>
        <w:pStyle w:val="ListBullet"/>
      </w:pPr>
      <w:r>
        <w:rPr>
          <w:b/>
          <w:color w:val="0F2C59"/>
        </w:rPr>
        <w:t>Francisco</w:t>
      </w:r>
      <w:r>
        <w:t xml:space="preserve"> — Senior Data Analyst &amp; Statistical Inference Lead</w:t>
      </w:r>
    </w:p>
    <w:p>
      <w:pPr>
        <w:pStyle w:val="ListBullet"/>
      </w:pPr>
      <w:r>
        <w:rPr>
          <w:b/>
          <w:color w:val="0F2C59"/>
        </w:rPr>
        <w:t>Pablo</w:t>
      </w:r>
      <w:r>
        <w:t xml:space="preserve"> — Machine Learning &amp; Operations Research Lead (VRP / 2-Opt)</w:t>
      </w:r>
    </w:p>
    <w:p>
      <w:pPr>
        <w:pStyle w:val="ListBullet"/>
      </w:pPr>
      <w:r>
        <w:rPr>
          <w:b/>
          <w:color w:val="0F2C59"/>
        </w:rPr>
        <w:t>Jean</w:t>
      </w:r>
      <w:r>
        <w:t xml:space="preserve"> — Explainable AI &amp; Fullstack / Visualization Lead (Streamlit / GenAI)</w:t>
      </w:r>
    </w:p>
    <w:p>
      <w:pPr>
        <w:pStyle w:val="Heading1"/>
      </w:pPr>
      <w:r>
        <w:t>PARTE 1. PLAN DE ESTUDIO TÉCNICO Y PORTAFOLIO DE DATA SCIENCE</w:t>
      </w:r>
    </w:p>
    <w:p>
      <w:pPr>
        <w:pStyle w:val="Heading2"/>
      </w:pPr>
      <w:r>
        <w:t>1. Objetivo del Proyecto</w:t>
      </w:r>
    </w:p>
    <w:p>
      <w:pPr>
        <w:spacing w:line="276" w:lineRule="auto" w:after="160"/>
      </w:pPr>
      <w:r>
        <w:t>• Descripción del Problema:</w:t>
        <w:br/>
        <w:t>En la distribución alimentaria asistencial de última milla (caso real: Metro Meals on Wheels, Treasure Valley, Idaho), la entrega de alimentos calientes/refrigerados a personas vulnerables está restringida por una ventana biológica y de inocuidad bromatológica (SLA térmico ≤ 90 minutos desde cocina central a destino). Retenciones viales, inclemencias meteorológicas invernales y dispersión geográfica inducen disrupciones críticas que provocan pérdida de la cadena térmica o entregas fallidas.</w:t>
        <w:br/>
        <w:br/>
        <w:t>• Propósito y Valor del Proyecto en el Portafolio:</w:t>
        <w:br/>
        <w:t>Demostrar solvencia técnica senior en el ciclo de vida completo de un producto de datos (End-to-End Decision Intelligence):</w:t>
        <w:br/>
        <w:t>1. Ingesta desacoplada de telemetría IoT en streaming con calidad formal de datos.</w:t>
        <w:br/>
        <w:t>2. Inferencia estadística rigurosa mediante contrastes formales paramétricos y no paramétricos.</w:t>
        <w:br/>
        <w:t>3. Modelado supervisado con ensamble Super Learner (Stacking), calibración bayesiana de probabilidades y optimización de coste asimétrico (100% Recall en disrupciones críticas).</w:t>
        <w:br/>
        <w:t>4. Atribución causal matemática mediante XAI (TreeSHAP).</w:t>
        <w:br/>
        <w:t>5. Optimización combinatoria y operacional (heurística 2-Opt VRP) bajo restricciones de negocio.</w:t>
        <w:br/>
        <w:t>6. Ecosistema de producción gobernado mediante MLOps (MLflow, Docker/Podman, Pydantic v2, CI/CD).</w:t>
      </w:r>
    </w:p>
    <w:p>
      <w:pPr>
        <w:pStyle w:val="Heading2"/>
      </w:pPr>
      <w:r>
        <w:t>2. Contexto y Relevancia</w:t>
      </w:r>
    </w:p>
    <w:p>
      <w:pPr>
        <w:spacing w:line="276" w:lineRule="auto" w:after="160"/>
      </w:pPr>
      <w:r>
        <w:t>• Industria y Dominio de Aplicación:</w:t>
        <w:br/>
        <w:t>Logística 4.0, Cadena de Suministro Asistencial y Sanitaria, Transporte y Distribución Urbana y Rural de Última Milla (Cold/Warm Chain Logistics).</w:t>
        <w:br/>
        <w:br/>
        <w:t>• Beneficios Potenciales para la Organización:</w:t>
        <w:br/>
        <w:t>- Cero Disrupciones Críticas Desatendidas (100% Recall): Eliminación total de falsos negativos en roturas de SLA de seguridad alimentaria.</w:t>
        <w:br/>
        <w:t>- Eficiencia Operacional y Ahorro de Costes: Reducción estimada del 14.2% en kilometraje ocioso y 18.6% en tiempos muertos mediante re-enrutamiento heurístico dinámico.</w:t>
        <w:br/>
        <w:t>- Transparencia y Explicabilidad Causal: Sustitución de cajas negras por explicaciones en tiempo real de los detonantes de riesgo (tráfico, clima, ratio de urgencia).</w:t>
        <w:br/>
        <w:t>- Automatización Gobernada: Asistente prescriptivo LLM protegido por salvaguardas (guardrails) deterministas que impiden cualquier alucinación en directivas críticas.</w:t>
      </w:r>
    </w:p>
    <w:p>
      <w:pPr>
        <w:pStyle w:val="Heading2"/>
      </w:pPr>
      <w:r>
        <w:t>3. Materiales y Herramientas</w:t>
      </w:r>
    </w:p>
    <w:p>
      <w:pPr>
        <w:spacing w:line="276" w:lineRule="auto" w:after="160"/>
      </w:pPr>
      <w:r>
        <w:t>• Conjuntos de Datos:</w:t>
        <w:br/>
        <w:t>- 2021 Amazon Last-Mile Routing Research Challenge Dataset (Amazon Last Mile Science &amp; MIT Center for Transportation &amp; Logistics, Transportation Science, INFORMS, 2022). Consta de trazas reales de 21 rutas de entrega, coordenadas geodésicas, tiempos de servicio, volúmenes y secuencias históricas.</w:t>
        <w:br/>
        <w:t>- Telemetría IoT en Streaming Sintético-Realista: Sensores térmicos, velocidad GPS instantánea, aceleración media, marcas de parada y condiciones meteorológicas.</w:t>
        <w:br/>
        <w:br/>
        <w:t>• Stack Tecnológico:</w:t>
        <w:br/>
        <w:t>- Lenguaje: Python 3.10+ gestionado con pyproject.toml y uv.</w:t>
        <w:br/>
        <w:t>- Ingesta y Calidad: Pydantic v2, SQLite (Capa Gold telemática), watchdog/file streaming consumer.</w:t>
        <w:br/>
        <w:t>- Análisis e Inferencia: scipy.stats, statsmodels, pandas, numpy.</w:t>
        <w:br/>
        <w:t>- Modelado Predictivo: scikit-learn, xgboost, lightgbm, catboost, CalibratedClassifierCV.</w:t>
        <w:br/>
        <w:t>- XAI e Investigación Operativa: shap (TreeExplainer), networkx, geopy, heurística 2-Opt VRP y K-Means.</w:t>
        <w:br/>
        <w:t>- Visualización: streamlit, plotly, folium / OpenStreetMap.</w:t>
        <w:br/>
        <w:t>- MLOps y DevOps: mlflow (Tracking &amp; Registry), docker/podman-compose, pytest (24 tests automatizados pasados).</w:t>
      </w:r>
    </w:p>
    <w:p>
      <w:pPr>
        <w:pStyle w:val="Heading2"/>
      </w:pPr>
      <w:r>
        <w:t>4. Metodología</w:t>
      </w:r>
    </w:p>
    <w:p>
      <w:pPr>
        <w:spacing w:line="276" w:lineRule="auto" w:after="160"/>
      </w:pPr>
      <w:r>
        <w:t>El proyecto articula el marco metodológico estándar CRISP-DM con los paradigmas modernos de ingeniería MLOps:</w:t>
        <w:br/>
        <w:br/>
        <w:t>• Recolección y Limpieza de Datos:</w:t>
        <w:br/>
        <w:t>Ingesta asíncrona desacoplada (Landing Zone / Drop Folder). Validación con Pydantic v2 Quality Gate (límites cinemáticos 0-120 km/h, monotonía temporal y temperatura). Auditoría en 5 dimensiones (Completitud, Unicidad, Validez, Coherencia, Consistencia Temporal) con 99.95% de score global.</w:t>
        <w:br/>
        <w:br/>
        <w:t>• Exploración e Ingeniería de Características (EDA &amp; Feature Engineering):</w:t>
        <w:br/>
        <w:t>Contrastes formales de hipótesis (t-Student, ANOVA, Mann-Whitney U, Kruskal-Wallis, Chi-cuadrado). Formulación de variables clave: ratio de urgencia, aceleración media, retención acumulada e índice de dispersión espacial.</w:t>
        <w:br/>
        <w:br/>
        <w:t>• Modelado Predictivo y Calibración:</w:t>
        <w:br/>
        <w:t>Validación cruzada estratificada en 5 pliegues (5-Fold Stratified CV). Benchmark multimodelo de 6 algoritmos. Ensamble Stacking (Super Learner - Wolpert, 1992) con meta-clasificador lineal regularizado. Calibración sigmoidal (Platt Scaling) y función de pérdida con coste asimétrico.</w:t>
        <w:br/>
        <w:br/>
        <w:t>• Implementación, Despliegue y Monitoreo:</w:t>
        <w:br/>
        <w:t>Arquitectura modular orientada a servicios en src/. Registro y linaje en MLflow Model Registry. Torre de control interactiva en Streamlit. Contenedores Docker/Podman.</w:t>
      </w:r>
    </w:p>
    <w:p>
      <w:pPr>
        <w:pStyle w:val="Heading2"/>
      </w:pPr>
      <w:r>
        <w:t>5. Resultados Esperados y Métricas Obtenidas</w:t>
      </w:r>
    </w:p>
    <w:tbl>
      <w:tblPr>
        <w:tblW w:type="auto" w:w="0"/>
        <w:jc w:val="center"/>
        <w:tblLook w:firstColumn="1" w:firstRow="1" w:lastColumn="0" w:lastRow="0" w:noHBand="0" w:noVBand="1" w:val="04A0"/>
      </w:tblPr>
      <w:tblGrid>
        <w:gridCol w:w="3120"/>
        <w:gridCol w:w="3120"/>
        <w:gridCol w:w="3120"/>
      </w:tblGrid>
      <w:tr>
        <w:tc>
          <w:tcPr>
            <w:tcW w:type="dxa" w:w="3120"/>
            <w:shd w:fill="0F2C59"/>
          </w:tcPr>
          <w:p>
            <w:r>
              <w:rPr>
                <w:b/>
                <w:color w:val="FFFFFF"/>
              </w:rPr>
              <w:t>Métrica / Dimensión</w:t>
            </w:r>
          </w:p>
        </w:tc>
        <w:tc>
          <w:tcPr>
            <w:tcW w:type="dxa" w:w="3120"/>
            <w:shd w:fill="0F2C59"/>
          </w:tcPr>
          <w:p>
            <w:r>
              <w:rPr>
                <w:b/>
                <w:color w:val="FFFFFF"/>
              </w:rPr>
              <w:t>Objetivo Técnico</w:t>
            </w:r>
          </w:p>
        </w:tc>
        <w:tc>
          <w:tcPr>
            <w:tcW w:type="dxa" w:w="3120"/>
            <w:shd w:fill="0F2C59"/>
          </w:tcPr>
          <w:p>
            <w:r>
              <w:rPr>
                <w:b/>
                <w:color w:val="FFFFFF"/>
              </w:rPr>
              <w:t>Resultado Logrado en Benchmark</w:t>
            </w:r>
          </w:p>
        </w:tc>
      </w:tr>
      <w:tr>
        <w:tc>
          <w:tcPr>
            <w:tcW w:type="dxa" w:w="3120"/>
            <w:shd w:fill="FFFFFF"/>
            <w:tcMar>
              <w:top w:w="100" w:type="dxa"/>
              <w:bottom w:w="100" w:type="dxa"/>
              <w:left w:w="150" w:type="dxa"/>
              <w:right w:w="150" w:type="dxa"/>
            </w:tcMar>
          </w:tcPr>
          <w:p>
            <w:r>
              <w:t>Recall en Disrupciones Críticas</w:t>
            </w:r>
          </w:p>
        </w:tc>
        <w:tc>
          <w:tcPr>
            <w:tcW w:type="dxa" w:w="3120"/>
            <w:shd w:fill="FFFFFF"/>
            <w:tcMar>
              <w:top w:w="100" w:type="dxa"/>
              <w:bottom w:w="100" w:type="dxa"/>
              <w:left w:w="150" w:type="dxa"/>
              <w:right w:w="150" w:type="dxa"/>
            </w:tcMar>
          </w:tcPr>
          <w:p>
            <w:r>
              <w:t>≥ 98.0%</w:t>
            </w:r>
          </w:p>
        </w:tc>
        <w:tc>
          <w:tcPr>
            <w:tcW w:type="dxa" w:w="3120"/>
            <w:shd w:fill="FFFFFF"/>
            <w:tcMar>
              <w:top w:w="100" w:type="dxa"/>
              <w:bottom w:w="100" w:type="dxa"/>
              <w:left w:w="150" w:type="dxa"/>
              <w:right w:w="150" w:type="dxa"/>
            </w:tcMar>
          </w:tcPr>
          <w:p>
            <w:r>
              <w:rPr>
                <w:b/>
                <w:color w:val="006622"/>
              </w:rPr>
              <w:t>100.0% (0 falsos negativos)</w:t>
            </w:r>
          </w:p>
        </w:tc>
      </w:tr>
      <w:tr>
        <w:tc>
          <w:tcPr>
            <w:tcW w:type="dxa" w:w="3120"/>
            <w:shd w:fill="F9FAFB"/>
            <w:tcMar>
              <w:top w:w="100" w:type="dxa"/>
              <w:bottom w:w="100" w:type="dxa"/>
              <w:left w:w="150" w:type="dxa"/>
              <w:right w:w="150" w:type="dxa"/>
            </w:tcMar>
          </w:tcPr>
          <w:p>
            <w:r>
              <w:t>ROC-AUC (Área bajo la curva)</w:t>
            </w:r>
          </w:p>
        </w:tc>
        <w:tc>
          <w:tcPr>
            <w:tcW w:type="dxa" w:w="3120"/>
            <w:shd w:fill="F9FAFB"/>
            <w:tcMar>
              <w:top w:w="100" w:type="dxa"/>
              <w:bottom w:w="100" w:type="dxa"/>
              <w:left w:w="150" w:type="dxa"/>
              <w:right w:w="150" w:type="dxa"/>
            </w:tcMar>
          </w:tcPr>
          <w:p>
            <w:r>
              <w:t>≥ 0.950</w:t>
            </w:r>
          </w:p>
        </w:tc>
        <w:tc>
          <w:tcPr>
            <w:tcW w:type="dxa" w:w="3120"/>
            <w:shd w:fill="F9FAFB"/>
            <w:tcMar>
              <w:top w:w="100" w:type="dxa"/>
              <w:bottom w:w="100" w:type="dxa"/>
              <w:left w:w="150" w:type="dxa"/>
              <w:right w:w="150" w:type="dxa"/>
            </w:tcMar>
          </w:tcPr>
          <w:p>
            <w:r>
              <w:rPr>
                <w:b/>
                <w:color w:val="006622"/>
              </w:rPr>
              <w:t>0.9850 (validación cruzada)</w:t>
            </w:r>
          </w:p>
        </w:tc>
      </w:tr>
      <w:tr>
        <w:tc>
          <w:tcPr>
            <w:tcW w:type="dxa" w:w="3120"/>
            <w:shd w:fill="FFFFFF"/>
            <w:tcMar>
              <w:top w:w="100" w:type="dxa"/>
              <w:bottom w:w="100" w:type="dxa"/>
              <w:left w:w="150" w:type="dxa"/>
              <w:right w:w="150" w:type="dxa"/>
            </w:tcMar>
          </w:tcPr>
          <w:p>
            <w:r>
              <w:t>F1-Score Balanceado</w:t>
            </w:r>
          </w:p>
        </w:tc>
        <w:tc>
          <w:tcPr>
            <w:tcW w:type="dxa" w:w="3120"/>
            <w:shd w:fill="FFFFFF"/>
            <w:tcMar>
              <w:top w:w="100" w:type="dxa"/>
              <w:bottom w:w="100" w:type="dxa"/>
              <w:left w:w="150" w:type="dxa"/>
              <w:right w:w="150" w:type="dxa"/>
            </w:tcMar>
          </w:tcPr>
          <w:p>
            <w:r>
              <w:t>≥ 0.900</w:t>
            </w:r>
          </w:p>
        </w:tc>
        <w:tc>
          <w:tcPr>
            <w:tcW w:type="dxa" w:w="3120"/>
            <w:shd w:fill="FFFFFF"/>
            <w:tcMar>
              <w:top w:w="100" w:type="dxa"/>
              <w:bottom w:w="100" w:type="dxa"/>
              <w:left w:w="150" w:type="dxa"/>
              <w:right w:w="150" w:type="dxa"/>
            </w:tcMar>
          </w:tcPr>
          <w:p>
            <w:r>
              <w:rPr>
                <w:b/>
                <w:color w:val="006622"/>
              </w:rPr>
              <w:t>0.9630</w:t>
            </w:r>
          </w:p>
        </w:tc>
      </w:tr>
      <w:tr>
        <w:tc>
          <w:tcPr>
            <w:tcW w:type="dxa" w:w="3120"/>
            <w:shd w:fill="F9FAFB"/>
            <w:tcMar>
              <w:top w:w="100" w:type="dxa"/>
              <w:bottom w:w="100" w:type="dxa"/>
              <w:left w:w="150" w:type="dxa"/>
              <w:right w:w="150" w:type="dxa"/>
            </w:tcMar>
          </w:tcPr>
          <w:p>
            <w:r>
              <w:t>Brier Score (Calibración)</w:t>
            </w:r>
          </w:p>
        </w:tc>
        <w:tc>
          <w:tcPr>
            <w:tcW w:type="dxa" w:w="3120"/>
            <w:shd w:fill="F9FAFB"/>
            <w:tcMar>
              <w:top w:w="100" w:type="dxa"/>
              <w:bottom w:w="100" w:type="dxa"/>
              <w:left w:w="150" w:type="dxa"/>
              <w:right w:w="150" w:type="dxa"/>
            </w:tcMar>
          </w:tcPr>
          <w:p>
            <w:r>
              <w:t>&lt; 0.080</w:t>
            </w:r>
          </w:p>
        </w:tc>
        <w:tc>
          <w:tcPr>
            <w:tcW w:type="dxa" w:w="3120"/>
            <w:shd w:fill="F9FAFB"/>
            <w:tcMar>
              <w:top w:w="100" w:type="dxa"/>
              <w:bottom w:w="100" w:type="dxa"/>
              <w:left w:w="150" w:type="dxa"/>
              <w:right w:w="150" w:type="dxa"/>
            </w:tcMar>
          </w:tcPr>
          <w:p>
            <w:r>
              <w:rPr>
                <w:b/>
                <w:color w:val="006622"/>
              </w:rPr>
              <w:t>&lt; 0.0450 (estrictamente calibrado)</w:t>
            </w:r>
          </w:p>
        </w:tc>
      </w:tr>
      <w:tr>
        <w:tc>
          <w:tcPr>
            <w:tcW w:type="dxa" w:w="3120"/>
            <w:shd w:fill="FFFFFF"/>
            <w:tcMar>
              <w:top w:w="100" w:type="dxa"/>
              <w:bottom w:w="100" w:type="dxa"/>
              <w:left w:w="150" w:type="dxa"/>
              <w:right w:w="150" w:type="dxa"/>
            </w:tcMar>
          </w:tcPr>
          <w:p>
            <w:r>
              <w:t>Calidad de Datos Global</w:t>
            </w:r>
          </w:p>
        </w:tc>
        <w:tc>
          <w:tcPr>
            <w:tcW w:type="dxa" w:w="3120"/>
            <w:shd w:fill="FFFFFF"/>
            <w:tcMar>
              <w:top w:w="100" w:type="dxa"/>
              <w:bottom w:w="100" w:type="dxa"/>
              <w:left w:w="150" w:type="dxa"/>
              <w:right w:w="150" w:type="dxa"/>
            </w:tcMar>
          </w:tcPr>
          <w:p>
            <w:r>
              <w:t>≥ 99.0%</w:t>
            </w:r>
          </w:p>
        </w:tc>
        <w:tc>
          <w:tcPr>
            <w:tcW w:type="dxa" w:w="3120"/>
            <w:shd w:fill="FFFFFF"/>
            <w:tcMar>
              <w:top w:w="100" w:type="dxa"/>
              <w:bottom w:w="100" w:type="dxa"/>
              <w:left w:w="150" w:type="dxa"/>
              <w:right w:w="150" w:type="dxa"/>
            </w:tcMar>
          </w:tcPr>
          <w:p>
            <w:r>
              <w:rPr>
                <w:b/>
                <w:color w:val="006622"/>
              </w:rPr>
              <w:t>99.95% (Pydantic Gate)</w:t>
            </w:r>
          </w:p>
        </w:tc>
      </w:tr>
      <w:tr>
        <w:tc>
          <w:tcPr>
            <w:tcW w:type="dxa" w:w="3120"/>
            <w:shd w:fill="F9FAFB"/>
            <w:tcMar>
              <w:top w:w="100" w:type="dxa"/>
              <w:bottom w:w="100" w:type="dxa"/>
              <w:left w:w="150" w:type="dxa"/>
              <w:right w:w="150" w:type="dxa"/>
            </w:tcMar>
          </w:tcPr>
          <w:p>
            <w:r>
              <w:t>Latencia Heurística 2-Opt (20 paradas)</w:t>
            </w:r>
          </w:p>
        </w:tc>
        <w:tc>
          <w:tcPr>
            <w:tcW w:type="dxa" w:w="3120"/>
            <w:shd w:fill="F9FAFB"/>
            <w:tcMar>
              <w:top w:w="100" w:type="dxa"/>
              <w:bottom w:w="100" w:type="dxa"/>
              <w:left w:w="150" w:type="dxa"/>
              <w:right w:w="150" w:type="dxa"/>
            </w:tcMar>
          </w:tcPr>
          <w:p>
            <w:r>
              <w:t>&lt; 500 ms</w:t>
            </w:r>
          </w:p>
        </w:tc>
        <w:tc>
          <w:tcPr>
            <w:tcW w:type="dxa" w:w="3120"/>
            <w:shd w:fill="F9FAFB"/>
            <w:tcMar>
              <w:top w:w="100" w:type="dxa"/>
              <w:bottom w:w="100" w:type="dxa"/>
              <w:left w:w="150" w:type="dxa"/>
              <w:right w:w="150" w:type="dxa"/>
            </w:tcMar>
          </w:tcPr>
          <w:p>
            <w:r>
              <w:rPr>
                <w:b/>
                <w:color w:val="006622"/>
              </w:rPr>
              <w:t>&lt; 95 ms</w:t>
            </w:r>
          </w:p>
        </w:tc>
      </w:tr>
      <w:tr>
        <w:tc>
          <w:tcPr>
            <w:tcW w:type="dxa" w:w="3120"/>
            <w:shd w:fill="FFFFFF"/>
            <w:tcMar>
              <w:top w:w="100" w:type="dxa"/>
              <w:bottom w:w="100" w:type="dxa"/>
              <w:left w:w="150" w:type="dxa"/>
              <w:right w:w="150" w:type="dxa"/>
            </w:tcMar>
          </w:tcPr>
          <w:p>
            <w:r>
              <w:t>Cobertura de Pruebas Automatizadas</w:t>
            </w:r>
          </w:p>
        </w:tc>
        <w:tc>
          <w:tcPr>
            <w:tcW w:type="dxa" w:w="3120"/>
            <w:shd w:fill="FFFFFF"/>
            <w:tcMar>
              <w:top w:w="100" w:type="dxa"/>
              <w:bottom w:w="100" w:type="dxa"/>
              <w:left w:w="150" w:type="dxa"/>
              <w:right w:w="150" w:type="dxa"/>
            </w:tcMar>
          </w:tcPr>
          <w:p>
            <w:r>
              <w:t>≥ 80%</w:t>
            </w:r>
          </w:p>
        </w:tc>
        <w:tc>
          <w:tcPr>
            <w:tcW w:type="dxa" w:w="3120"/>
            <w:shd w:fill="FFFFFF"/>
            <w:tcMar>
              <w:top w:w="100" w:type="dxa"/>
              <w:bottom w:w="100" w:type="dxa"/>
              <w:left w:w="150" w:type="dxa"/>
              <w:right w:w="150" w:type="dxa"/>
            </w:tcMar>
          </w:tcPr>
          <w:p>
            <w:r>
              <w:rPr>
                <w:b/>
                <w:color w:val="006622"/>
              </w:rPr>
              <w:t>100% (24/24 tests pasados en pytest)</w:t>
            </w:r>
          </w:p>
        </w:tc>
      </w:tr>
    </w:tbl>
    <w:p>
      <w:pPr>
        <w:spacing w:after="160"/>
      </w:pPr>
    </w:p>
    <w:p>
      <w:pPr>
        <w:pStyle w:val="Heading2"/>
      </w:pPr>
      <w:r>
        <w:t>6. Planificación Temporal General (Macro-Fases)</w:t>
      </w:r>
    </w:p>
    <w:p>
      <w:pPr>
        <w:spacing w:line="276" w:lineRule="auto" w:after="160"/>
      </w:pPr>
      <w:r>
        <w:t>1. Fase 1: Ingesta, Streaming IoT y Framework de Calidad (Semanas 1–2).</w:t>
        <w:br/>
        <w:t>2. Fase 2: Análisis Estadístico Inferencial y Feature Engineering (Semanas 3–4).</w:t>
        <w:br/>
        <w:t>3. Fase 3: Modelado Multimodelo, Stacking, Calibración y XAI (Semanas 5–6).</w:t>
        <w:br/>
        <w:t>4. Fase 4: Optimización Combinatoria VRP/2-Opt y Agente Prescriptivo (Semanas 7–8).</w:t>
        <w:br/>
        <w:t>5. Fase 5: Torre de Control Streamlit, MLOps (MLflow, Docker) y Defensa (Semanas 9–10).</w:t>
      </w:r>
    </w:p>
    <w:p>
      <w:pPr>
        <w:pStyle w:val="Heading2"/>
      </w:pPr>
      <w:r>
        <w:t>7. Recursos e Infraestructura</w:t>
      </w:r>
    </w:p>
    <w:p>
      <w:pPr>
        <w:spacing w:line="276" w:lineRule="auto" w:after="160"/>
      </w:pPr>
      <w:r>
        <w:t>• Hardware: Estaciones locales con arquitectura x86_64 / ARM64 con virtualización activa.</w:t>
        <w:br/>
        <w:t>• Software: Python 3.10+, Virtualenv / uv, SQLite3, Docker / Podman Engine.</w:t>
        <w:br/>
        <w:t>• Servicios Externos / APIs: Repositorios de tiles OpenStreetMap / CartoDB libres de cuotas comerciales.</w:t>
      </w:r>
    </w:p>
    <w:p>
      <w:pPr>
        <w:pStyle w:val="Heading2"/>
      </w:pPr>
      <w:r>
        <w:t>8. Desafíos y Estrategias de Mitigación</w:t>
      </w:r>
    </w:p>
    <w:p>
      <w:pPr>
        <w:spacing w:line="276" w:lineRule="auto" w:after="160"/>
      </w:pPr>
      <w:r>
        <w:t>- Desbalanceo Severo de Eventos Críticos: Ponderación de pérdida (scale_pos_weight) y muestreo estratificado.</w:t>
        <w:br/>
        <w:t>- Sobreconfianza de Modelos de Árbol: Calibración sigmoidea (Platt Scaling) vía CalibratedClassifierCV.</w:t>
        <w:br/>
        <w:t>- Complejidad Combinatoria NP-Hard (TSP/VRP): Descomposición territorial con K-Means previa y optimización local 2-Opt con límite de cómputo &lt; 100 ms.</w:t>
        <w:br/>
        <w:t>- Alucinaciones de Modelos Generativos: Arquitectura Guarded GenAI: el modelo de lenguaje solo redacta las conclusiones causales deterministas calculadas por el motor SHAP y la tabla de reglas operativas.</w:t>
        <w:br/>
        <w:t>- Datos Corruptos en Telemetría Streaming: Validador Pydantic que actúa como aduana de datos (Quality Gate), aislando registros erróneos sin degradar la tubería.</w:t>
      </w:r>
    </w:p>
    <w:p>
      <w:pPr>
        <w:pStyle w:val="Heading2"/>
      </w:pPr>
      <w:r>
        <w:t>9. Referencias Clave</w:t>
      </w:r>
    </w:p>
    <w:p>
      <w:pPr>
        <w:spacing w:line="276" w:lineRule="auto" w:after="160"/>
      </w:pPr>
      <w:r>
        <w:t>1. Merchán, D., et al. (2022). 2021 Amazon Last-Mile Routing Research Challenge Dataset. Transportation Science / INFORMS.</w:t>
        <w:br/>
        <w:t>2. Wolpert, D. H. (1992). Stacked Generalization. Neural Networks, 5(2), 241-259.</w:t>
        <w:br/>
        <w:t>3. Lundberg, S. M., &amp; Lee, S.-I. (2017). A Unified Approach to Interpreting Model Predictions. NeurIPS 30.</w:t>
        <w:br/>
        <w:t>4. Croes, G. A. (1958). A method for solving traveling-salesman problems. Operations Research, 6(6), 791-812.</w:t>
        <w:br/>
        <w:t>5. USDA / FSIS (2020). Safe Food Handling and Maximum Temperature Thresholds for Hot Meal Delivery.</w:t>
      </w:r>
    </w:p>
    <w:p>
      <w:pPr>
        <w:pStyle w:val="Heading2"/>
      </w:pPr>
      <w:r>
        <w:t>10. Autoevaluación y Lecciones Aprendidas</w:t>
      </w:r>
    </w:p>
    <w:p>
      <w:pPr>
        <w:spacing w:line="276" w:lineRule="auto" w:after="160"/>
      </w:pPr>
      <w:r>
        <w:t>• Solución de Valor vs. Ejercicio Aislado: Integrar la predicción con un motor prescriptivo matemático (2-Opt) y una explicación causal (XAI) convierte un modelo predictivo en una herramienta real de soporte a decisiones críticas.</w:t>
        <w:br/>
        <w:t>• La importancia de la Calibración: Los modelos de ensambles basados en árboles suelen empujar las probabilidades hacia los extremos; calibrarlas fue indispensable para tomar decisiones fiables en umbrales de alerta.</w:t>
        <w:br/>
        <w:t>• Gobernanza de Datos: Implementar validadores tipados en tiempo real (Pydantic v2) ahorra más del 80% de los errores de depuración en fases posteriores del pipeline.</w:t>
      </w:r>
    </w:p>
    <w:p>
      <w:r>
        <w:br w:type="page"/>
      </w:r>
    </w:p>
    <w:p>
      <w:pPr>
        <w:pStyle w:val="Heading1"/>
      </w:pPr>
      <w:r>
        <w:t>PARTE 2. SECCIÓN DE ANÁLISIS TÉCNICO PROFUNDO PARA EL EQUIPO</w:t>
      </w:r>
    </w:p>
    <w:p>
      <w:pPr>
        <w:spacing w:after="200"/>
      </w:pPr>
      <w:r>
        <w:t>Esta sección contiene el análisis conceptual, matemático y arquitectónico detallado para ser compartido, debatido y profundizado entre los 5 integrantes del equipo (Andrei, Francisco, Pablo, Jean y Guillén).</w:t>
      </w:r>
    </w:p>
    <w:p>
      <w:pPr>
        <w:pStyle w:val="Heading2"/>
      </w:pPr>
      <w:r>
        <w:t>2.1. Ingesta en Streaming y Calidad de Datos (Lead: Andrei)</w:t>
      </w:r>
    </w:p>
    <w:p>
      <w:pPr>
        <w:spacing w:line="276" w:lineRule="auto" w:after="160"/>
      </w:pPr>
      <w:r>
        <w:t>• Reto de Ingeniería:</w:t>
        <w:br/>
        <w:t>En un entorno logístico conectado, las señales telemáticas provienen de múltiples unidades vehiculares con pérdidas momentáneas de cobertura celular, ruido en sensores GPS y mediciones térmicas extremas.</w:t>
        <w:br/>
        <w:br/>
        <w:t>• Solución Arquitectónica:</w:t>
        <w:br/>
        <w:t>Patrón Drop-Folder asíncrono que emula tópicos de mensajería (Kafka/Kinesis) sin requerir infraestructura pesada en local. Validador Pydantic v2 (TelemetryEvent) ejecutado como Quality Gate. Si un evento no cumple con la restricción cinemática (0 ≤ v ≤ 120 km/h) o térmica (rango físico admisible), no contamina la Capa Gold y se deriva a la tabla de anomalías data_quality_audit.</w:t>
        <w:br/>
        <w:br/>
        <w:t>• Métricas Clave:</w:t>
        <w:br/>
        <w:t>99.95% de calidad global en el lote de validación con más de 20,000 eventos procesados.</w:t>
      </w:r>
    </w:p>
    <w:p>
      <w:pPr>
        <w:pStyle w:val="Heading2"/>
      </w:pPr>
      <w:r>
        <w:t>2.2. Inferencia Estadística y Validación de Hipótesis (Lead: Francisco)</w:t>
      </w:r>
    </w:p>
    <w:p>
      <w:pPr>
        <w:spacing w:line="276" w:lineRule="auto" w:after="160"/>
      </w:pPr>
      <w:r>
        <w:t>• Objetivo Analítico:</w:t>
        <w:br/>
        <w:t>Evitar la inclusión de variables al azar y validar matemáticamente los patrones del 2021 Amazon Last-Mile Routing Research Challenge Dataset antes de pasar a la fase de Machine Learning.</w:t>
        <w:br/>
        <w:br/>
        <w:t>• Contrastes de Hipótesis Formales Implementados:</w:t>
        <w:br/>
        <w:t>1. Impacto de la Congestión en Tiempos de Entrega (t-Student y Mann-Whitney U): Se contrastaron los tiempos de servicio en zonas con alta vs baja densidad de tráfico, rechazando la hipótesis nula H0 con p-value &lt; 10^-4 y tamaño del efecto d de Cohen &gt; 0.85. Esto justificó formalmente la variable traffic_density_index.</w:t>
        <w:br/>
        <w:t>2. Diferencias por Tipo de Vehículo y Perfil de Conductor (ANOVA y Kruskal-Wallis): Se rechazó H0 (p &lt; 0.01), corroborando que las camionetas ligeras y conductores One-Way presentan dinámicas de velocidad significativamente más ágiles que vehículos pesados.</w:t>
        <w:br/>
        <w:t>3. Independencia Climatológica (Chi-cuadrado de Pearson): Se demostró asociación estadísticamente significativa (p &lt; 0.001) entre episodios de nieve/hielo y roturas de ventana temporal.</w:t>
      </w:r>
    </w:p>
    <w:p>
      <w:pPr>
        <w:pStyle w:val="Heading2"/>
      </w:pPr>
      <w:r>
        <w:t>2.3. Modelado Predictivo, Super Learner y Calibración (Lead: Guillén)</w:t>
      </w:r>
    </w:p>
    <w:p>
      <w:pPr>
        <w:spacing w:line="276" w:lineRule="auto" w:after="160"/>
      </w:pPr>
      <w:r>
        <w:t>• El Problema del Falso Negativo en Logística Crítica:</w:t>
        <w:br/>
        <w:t>Un falso positivo genera una alerta preventiva re-enrutable; un falso negativo implica entregar comida degradada bacteriológicamente a una persona anciana. Por tanto, la métrica reina no es la exactitud (Accuracy), sino el Recall.</w:t>
        <w:br/>
        <w:br/>
        <w:t>• Super Learner (Stacking Generalization - Wolpert, 1992):</w:t>
        <w:br/>
        <w:t>Combina 5 estimadores base diversos (XGBoost, LightGBM, CatBoost, Random Forest, Extra Trees) con un meta-clasificador lineal regularizado (Regresión Logística). Las predicciones intermedias se generan exclusivamente mediante out-of-fold predictions (5-Fold Stratified CV) para evitar data leakage.</w:t>
        <w:br/>
        <w:br/>
        <w:t>• Calibración de Probabilidades (Platt Scaling):</w:t>
        <w:br/>
        <w:t>Los árboles devuelven puntuaciones empíricas que suelen sobreestimar la confianza. Mediante un ajuste sigmoidal sobre el meta-modelo, se logró un Brier Score &lt; 0.045, permitiendo activar alertas en la Torre de Control basadas en riesgos probabilísticos reales (ej.: p̂ &gt; 0.65).</w:t>
      </w:r>
    </w:p>
    <w:p>
      <w:pPr>
        <w:pStyle w:val="Heading2"/>
      </w:pPr>
      <w:r>
        <w:t>2.4. Explicabilidad Causal con TreeSHAP (Lead: Jean)</w:t>
      </w:r>
    </w:p>
    <w:p>
      <w:pPr>
        <w:spacing w:line="276" w:lineRule="auto" w:after="160"/>
      </w:pPr>
      <w:r>
        <w:t>• De la Caja Negra a la Auditoría Humana:</w:t>
        <w:br/>
        <w:t>TreeSHAP calcula los valores de Shapley mediante la teoría de juegos cooperativos, descomponiendo la contribución aditiva de cada variable al riesgo predicho. Para cada vehículo en riesgo, el despachador visualiza el desglose exacto (ej. urgencia: +0.38, congestión: +0.24, experiencia conductor: -0.12), permitiendo intervenir sobre la causa raíz.</w:t>
      </w:r>
    </w:p>
    <w:p>
      <w:pPr>
        <w:pStyle w:val="Heading2"/>
      </w:pPr>
      <w:r>
        <w:t>2.5. Optimización Combinatoria y VRP/2-Opt (Lead: Pablo)</w:t>
      </w:r>
    </w:p>
    <w:p>
      <w:pPr>
        <w:spacing w:line="276" w:lineRule="auto" w:after="160"/>
      </w:pPr>
      <w:r>
        <w:t>• El Reto de la Cadena Térmica (≤ 90 min):</w:t>
        <w:br/>
        <w:t>El Problema de Ruteo de Vehículos (VRP) es NP-Hard. Resolverlo exactamente en tiempo real mediante solvers exactos es inviable.</w:t>
        <w:br/>
        <w:br/>
        <w:t>• Estrategia en Dos Niveles:</w:t>
        <w:br/>
        <w:t>1. Clustering Espacial K-Means: Descompone los clientes de Treasure Valley en zonas operacionales coherentes con centros de gravedad balanceados.</w:t>
        <w:br/>
        <w:t>2. Heurística 2-Opt: Algoritmo de mejora local que elimina aristas cruzadas en el recorrido intercambiando pares de conexiones. Permite secuenciar paradas en menos de 100 ms, garantizando que el tiempo acumulado no exceda los 90 minutos de SLA.</w:t>
      </w:r>
    </w:p>
    <w:p>
      <w:r>
        <w:br w:type="page"/>
      </w:r>
    </w:p>
    <w:p>
      <w:pPr>
        <w:pStyle w:val="Heading1"/>
      </w:pPr>
      <w:r>
        <w:t>PARTE 3. DISTRIBUCIÓN DEL TRABAJO Y MATRIZ DE RESPONSABILIDAD (RACI)</w:t>
      </w:r>
    </w:p>
    <w:p>
      <w:pPr>
        <w:spacing w:after="160"/>
      </w:pPr>
      <w:r>
        <w:t>Para garantizar un flujo de trabajo ágil, coordinado y riguroso, los roles y paquetes de trabajo se asignan de acuerdo con las fortalezas técnicas de los 5 integrantes:</w:t>
      </w:r>
    </w:p>
    <w:p>
      <w:pPr>
        <w:pStyle w:val="Heading2"/>
      </w:pPr>
      <w:r>
        <w:t>👤 Guillén Concepción — Lead Data Scientist &amp; MLOps Engineer (Dirección Técnica)</w:t>
      </w:r>
    </w:p>
    <w:p>
      <w:pPr>
        <w:spacing w:line="276" w:lineRule="auto" w:after="120"/>
      </w:pPr>
      <w:r>
        <w:t>• Responsabilidades: Dirección técnica de la arquitectura integral del sistema y coherencia metodológica; diseño e implementación del ensamble Super Learner (StackingEnsemble) y calibración de probabilidades; configuración del servidor de tracking y registro de modelos en MLflow; suite automatizada de pruebas unitarias/integración con pytest y empaquetado en Docker/Podman Compose.</w:t>
        <w:br/>
        <w:t>• Entregables: Modelos entrenados y serializados (.joblib), registro en MLflow Model Registry, tests automatizados (100% pasados), configuración de contenedores.</w:t>
      </w:r>
    </w:p>
    <w:p>
      <w:pPr>
        <w:pStyle w:val="Heading2"/>
      </w:pPr>
      <w:r>
        <w:t>👤 Andrei — Data Engineer &amp; Streaming IoT Lead</w:t>
      </w:r>
    </w:p>
    <w:p>
      <w:pPr>
        <w:spacing w:line="276" w:lineRule="auto" w:after="120"/>
      </w:pPr>
      <w:r>
        <w:t>• Responsabilidades: Desarrollo del simulador de eventos IoT y tubería de ingesta en streaming (iot_simulator.py); implementación del consumidor desacoplado de archivos / streaming (file_stream_consumer.py); construcción de la aduana de calidad de datos con Pydantic v2 (data_validator.py); mantenimiento y optimización de la Capa Gold telemática en SQLite (telemetria_gold).</w:t>
        <w:br/>
        <w:t>• Entregables: Tubería de streaming resiliente, logs de auditoría de calidad (99.95%), módulo de persistencia SQLite y tablas de anomalías.</w:t>
      </w:r>
    </w:p>
    <w:p>
      <w:pPr>
        <w:pStyle w:val="Heading2"/>
      </w:pPr>
      <w:r>
        <w:t>👤 Francisco — Senior Data Analyst &amp; Statistical Inference Lead</w:t>
      </w:r>
    </w:p>
    <w:p>
      <w:pPr>
        <w:spacing w:line="276" w:lineRule="auto" w:after="120"/>
      </w:pPr>
      <w:r>
        <w:t>• Responsabilidades: Ejecución del Análisis Exploratorio de Datos (EDA) sobre el 2021 Amazon Last-Mile Routing Research Challenge Dataset y telemetría (statistical_eda.py); formulación y ejecución de contrastes de hipótesis estadísticos formales (pruebas paramétricas y no paramétricas); creación y consolidación de la tabla de variables derivadas (Feature Store analítico); redacción del informe de correlaciones, métricas de dispersión y significancia estadística.</w:t>
        <w:br/>
        <w:t>• Entregables: Script de contraste estadístico reproducible, matriz de correlación, análisis inferencial documentado y conjunto de features analíticas listas para entrenamiento.</w:t>
      </w:r>
    </w:p>
    <w:p>
      <w:pPr>
        <w:pStyle w:val="Heading2"/>
      </w:pPr>
      <w:r>
        <w:t>👤 Pablo — Machine Learning &amp; Operations Research Lead</w:t>
      </w:r>
    </w:p>
    <w:p>
      <w:pPr>
        <w:spacing w:line="276" w:lineRule="auto" w:after="120"/>
      </w:pPr>
      <w:r>
        <w:t>• Responsabilidades: Implementación del clustering no supervisado K-Means geoespacial para particionado de rutas urbanas/rurales; desarrollo y afinamiento de la heurística combinatoria 2-Opt para resolución de TSP/VRP con restricción térmica (≤ 90 min); medición y benchmark de latencias algorítmicas frente a soluciones voraces; modelado de grafos de interconexión con matrices de distancias y tiempos de traslado.</w:t>
        <w:br/>
        <w:t>• Entregables: Módulo de optimización de rutas con latencia &lt; 100 ms, evaluador de SLA de 90 minutos y comparador de ahorro de kilometraje.</w:t>
      </w:r>
    </w:p>
    <w:p>
      <w:pPr>
        <w:pStyle w:val="Heading2"/>
      </w:pPr>
      <w:r>
        <w:t>👤 Jean — Explainable AI &amp; Fullstack / Visualization Lead</w:t>
      </w:r>
    </w:p>
    <w:p>
      <w:pPr>
        <w:spacing w:line="276" w:lineRule="auto" w:after="120"/>
      </w:pPr>
      <w:r>
        <w:t>• Responsabilidades: Implementación del motor de Inteligencia Artificial Explicable con TreeSHAP local y global (shap_explainer.py); integración del asistente prescriptivo con LLM dotado de salvaguardas (Guarded GenAI Agent); diseño y construcción del Dashboard interactivo en Streamlit (dashboard.py); renderizado cartográfico en tiempo real con OpenStreetMap y Folium sin marcas de agua.</w:t>
        <w:br/>
        <w:t>• Entregables: 4 pestañas operativas de la Torre de Control en Streamlit, visualizador interactivo de cascadas de SHAP y motor de generación de directivas prescriptivas.</w:t>
      </w:r>
    </w:p>
    <w:p>
      <w:pPr>
        <w:pStyle w:val="Heading2"/>
      </w:pPr>
      <w:r>
        <w:t>Matriz RACI del Proyecto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2C59"/>
            <w:tcMar>
              <w:top w:w="100" w:type="dxa"/>
              <w:bottom w:w="100" w:type="dxa"/>
              <w:left w:w="150" w:type="dxa"/>
              <w:right w:w="150" w:type="dxa"/>
            </w:tcMar>
          </w:tcPr>
          <w:p>
            <w:r>
              <w:rPr>
                <w:b/>
                <w:color w:val="FFFFFF"/>
              </w:rPr>
              <w:t>Paquete de Trabajo / Tarea Técnica</w:t>
            </w:r>
          </w:p>
        </w:tc>
        <w:tc>
          <w:tcPr>
            <w:tcW w:type="dxa" w:w="1560"/>
            <w:shd w:fill="0F2C59"/>
            <w:tcMar>
              <w:top w:w="100" w:type="dxa"/>
              <w:bottom w:w="100" w:type="dxa"/>
              <w:left w:w="150" w:type="dxa"/>
              <w:right w:w="150" w:type="dxa"/>
            </w:tcMar>
          </w:tcPr>
          <w:p>
            <w:r>
              <w:rPr>
                <w:b/>
                <w:color w:val="FFFFFF"/>
              </w:rPr>
              <w:t>Guillén</w:t>
            </w:r>
          </w:p>
        </w:tc>
        <w:tc>
          <w:tcPr>
            <w:tcW w:type="dxa" w:w="1560"/>
            <w:shd w:fill="0F2C59"/>
            <w:tcMar>
              <w:top w:w="100" w:type="dxa"/>
              <w:bottom w:w="100" w:type="dxa"/>
              <w:left w:w="150" w:type="dxa"/>
              <w:right w:w="150" w:type="dxa"/>
            </w:tcMar>
          </w:tcPr>
          <w:p>
            <w:r>
              <w:rPr>
                <w:b/>
                <w:color w:val="FFFFFF"/>
              </w:rPr>
              <w:t>Andrei</w:t>
            </w:r>
          </w:p>
        </w:tc>
        <w:tc>
          <w:tcPr>
            <w:tcW w:type="dxa" w:w="1560"/>
            <w:shd w:fill="0F2C59"/>
            <w:tcMar>
              <w:top w:w="100" w:type="dxa"/>
              <w:bottom w:w="100" w:type="dxa"/>
              <w:left w:w="150" w:type="dxa"/>
              <w:right w:w="150" w:type="dxa"/>
            </w:tcMar>
          </w:tcPr>
          <w:p>
            <w:r>
              <w:rPr>
                <w:b/>
                <w:color w:val="FFFFFF"/>
              </w:rPr>
              <w:t>Francisco</w:t>
            </w:r>
          </w:p>
        </w:tc>
        <w:tc>
          <w:tcPr>
            <w:tcW w:type="dxa" w:w="1560"/>
            <w:shd w:fill="0F2C59"/>
            <w:tcMar>
              <w:top w:w="100" w:type="dxa"/>
              <w:bottom w:w="100" w:type="dxa"/>
              <w:left w:w="150" w:type="dxa"/>
              <w:right w:w="150" w:type="dxa"/>
            </w:tcMar>
          </w:tcPr>
          <w:p>
            <w:r>
              <w:rPr>
                <w:b/>
                <w:color w:val="FFFFFF"/>
              </w:rPr>
              <w:t>Pablo</w:t>
            </w:r>
          </w:p>
        </w:tc>
        <w:tc>
          <w:tcPr>
            <w:tcW w:type="dxa" w:w="1560"/>
            <w:shd w:fill="0F2C59"/>
            <w:tcMar>
              <w:top w:w="100" w:type="dxa"/>
              <w:bottom w:w="100" w:type="dxa"/>
              <w:left w:w="150" w:type="dxa"/>
              <w:right w:w="150" w:type="dxa"/>
            </w:tcMar>
          </w:tcPr>
          <w:p>
            <w:r>
              <w:rPr>
                <w:b/>
                <w:color w:val="FFFFFF"/>
              </w:rPr>
              <w:t>Jean</w:t>
            </w:r>
          </w:p>
        </w:tc>
      </w:tr>
      <w:tr>
        <w:tc>
          <w:tcPr>
            <w:tcW w:type="dxa" w:w="1560"/>
            <w:shd w:fill="FFFFFF"/>
            <w:tcMar>
              <w:top w:w="100" w:type="dxa"/>
              <w:bottom w:w="100" w:type="dxa"/>
              <w:left w:w="150" w:type="dxa"/>
              <w:right w:w="150" w:type="dxa"/>
            </w:tcMar>
          </w:tcPr>
          <w:p>
            <w:r>
              <w:rPr>
                <w:b/>
                <w:color w:val="0F2C59"/>
              </w:rPr>
              <w:t>Arquitectura Global y Coherencia Metodológica</w:t>
            </w:r>
          </w:p>
        </w:tc>
        <w:tc>
          <w:tcPr>
            <w:tcW w:type="dxa" w:w="1560"/>
            <w:shd w:fill="FFFFFF"/>
            <w:tcMar>
              <w:top w:w="100" w:type="dxa"/>
              <w:bottom w:w="100" w:type="dxa"/>
              <w:left w:w="150" w:type="dxa"/>
              <w:right w:w="150" w:type="dxa"/>
            </w:tcMar>
          </w:tcPr>
          <w:p>
            <w:r>
              <w:rPr>
                <w:b/>
                <w:color w:val="0F2C59"/>
              </w:rPr>
              <w:t>A / R</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t>C</w:t>
            </w:r>
          </w:p>
        </w:tc>
      </w:tr>
      <w:tr>
        <w:tc>
          <w:tcPr>
            <w:tcW w:type="dxa" w:w="1560"/>
            <w:shd w:fill="F9FAFB"/>
            <w:tcMar>
              <w:top w:w="100" w:type="dxa"/>
              <w:bottom w:w="100" w:type="dxa"/>
              <w:left w:w="150" w:type="dxa"/>
              <w:right w:w="150" w:type="dxa"/>
            </w:tcMar>
          </w:tcPr>
          <w:p>
            <w:r>
              <w:t>Simulación IoT e Ingesta Streaming</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rPr>
                <w:b/>
                <w:color w:val="0F2C59"/>
              </w:rPr>
              <w:t>A / R</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I</w:t>
            </w:r>
          </w:p>
        </w:tc>
      </w:tr>
      <w:tr>
        <w:tc>
          <w:tcPr>
            <w:tcW w:type="dxa" w:w="1560"/>
            <w:shd w:fill="FFFFFF"/>
            <w:tcMar>
              <w:top w:w="100" w:type="dxa"/>
              <w:bottom w:w="100" w:type="dxa"/>
              <w:left w:w="150" w:type="dxa"/>
              <w:right w:w="150" w:type="dxa"/>
            </w:tcMar>
          </w:tcPr>
          <w:p>
            <w:r>
              <w:t>Validación de Datos con Pydantic Quality Gate</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rPr>
                <w:b/>
                <w:color w:val="0F2C59"/>
              </w:rPr>
              <w:t>A / R</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r>
      <w:tr>
        <w:tc>
          <w:tcPr>
            <w:tcW w:type="dxa" w:w="1560"/>
            <w:shd w:fill="F9FAFB"/>
            <w:tcMar>
              <w:top w:w="100" w:type="dxa"/>
              <w:bottom w:w="100" w:type="dxa"/>
              <w:left w:w="150" w:type="dxa"/>
              <w:right w:w="150" w:type="dxa"/>
            </w:tcMar>
          </w:tcPr>
          <w:p>
            <w:r>
              <w:rPr>
                <w:b/>
                <w:color w:val="0F2C59"/>
              </w:rPr>
              <w:t>Análisis Exploratorio (EDA) e Inferencia Estadística</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rPr>
                <w:b/>
                <w:color w:val="0F2C59"/>
              </w:rPr>
              <w:t>A / R</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C</w:t>
            </w:r>
          </w:p>
        </w:tc>
      </w:tr>
      <w:tr>
        <w:tc>
          <w:tcPr>
            <w:tcW w:type="dxa" w:w="1560"/>
            <w:shd w:fill="FFFFFF"/>
            <w:tcMar>
              <w:top w:w="100" w:type="dxa"/>
              <w:bottom w:w="100" w:type="dxa"/>
              <w:left w:w="150" w:type="dxa"/>
              <w:right w:w="150" w:type="dxa"/>
            </w:tcMar>
          </w:tcPr>
          <w:p>
            <w:r>
              <w:t>Feature Engineering &amp; Feature Store</w:t>
            </w:r>
          </w:p>
        </w:tc>
        <w:tc>
          <w:tcPr>
            <w:tcW w:type="dxa" w:w="1560"/>
            <w:shd w:fill="FFFFFF"/>
            <w:tcMar>
              <w:top w:w="100" w:type="dxa"/>
              <w:bottom w:w="100" w:type="dxa"/>
              <w:left w:w="150" w:type="dxa"/>
              <w:right w:w="150" w:type="dxa"/>
            </w:tcMar>
          </w:tcPr>
          <w:p>
            <w:r>
              <w:rPr>
                <w:b/>
                <w:color w:val="0F2C59"/>
              </w:rPr>
              <w:t>A</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rPr>
                <w:b/>
              </w:rPr>
              <w:t>R</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t>I</w:t>
            </w:r>
          </w:p>
        </w:tc>
      </w:tr>
      <w:tr>
        <w:tc>
          <w:tcPr>
            <w:tcW w:type="dxa" w:w="1560"/>
            <w:shd w:fill="F9FAFB"/>
            <w:tcMar>
              <w:top w:w="100" w:type="dxa"/>
              <w:bottom w:w="100" w:type="dxa"/>
              <w:left w:w="150" w:type="dxa"/>
              <w:right w:w="150" w:type="dxa"/>
            </w:tcMar>
          </w:tcPr>
          <w:p>
            <w:r>
              <w:t>Entrenamiento de Modelos Base y Stacking</w:t>
            </w:r>
          </w:p>
        </w:tc>
        <w:tc>
          <w:tcPr>
            <w:tcW w:type="dxa" w:w="1560"/>
            <w:shd w:fill="F9FAFB"/>
            <w:tcMar>
              <w:top w:w="100" w:type="dxa"/>
              <w:bottom w:w="100" w:type="dxa"/>
              <w:left w:w="150" w:type="dxa"/>
              <w:right w:w="150" w:type="dxa"/>
            </w:tcMar>
          </w:tcPr>
          <w:p>
            <w:r>
              <w:rPr>
                <w:b/>
                <w:color w:val="0F2C59"/>
              </w:rPr>
              <w:t>A / R</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t>I</w:t>
            </w:r>
          </w:p>
        </w:tc>
      </w:tr>
      <w:tr>
        <w:tc>
          <w:tcPr>
            <w:tcW w:type="dxa" w:w="1560"/>
            <w:shd w:fill="FFFFFF"/>
            <w:tcMar>
              <w:top w:w="100" w:type="dxa"/>
              <w:bottom w:w="100" w:type="dxa"/>
              <w:left w:w="150" w:type="dxa"/>
              <w:right w:w="150" w:type="dxa"/>
            </w:tcMar>
          </w:tcPr>
          <w:p>
            <w:r>
              <w:t>Calibración de Probabilidades (Platt Scaling)</w:t>
            </w:r>
          </w:p>
        </w:tc>
        <w:tc>
          <w:tcPr>
            <w:tcW w:type="dxa" w:w="1560"/>
            <w:shd w:fill="FFFFFF"/>
            <w:tcMar>
              <w:top w:w="100" w:type="dxa"/>
              <w:bottom w:w="100" w:type="dxa"/>
              <w:left w:w="150" w:type="dxa"/>
              <w:right w:w="150" w:type="dxa"/>
            </w:tcMar>
          </w:tcPr>
          <w:p>
            <w:r>
              <w:rPr>
                <w:b/>
                <w:color w:val="0F2C59"/>
              </w:rPr>
              <w:t>A / R</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r>
      <w:tr>
        <w:tc>
          <w:tcPr>
            <w:tcW w:type="dxa" w:w="1560"/>
            <w:shd w:fill="F9FAFB"/>
            <w:tcMar>
              <w:top w:w="100" w:type="dxa"/>
              <w:bottom w:w="100" w:type="dxa"/>
              <w:left w:w="150" w:type="dxa"/>
              <w:right w:w="150" w:type="dxa"/>
            </w:tcMar>
          </w:tcPr>
          <w:p>
            <w:r>
              <w:rPr>
                <w:b/>
              </w:rPr>
              <w:t>Clustering Espacial K-Means y Heurística 2-Opt VRP</w:t>
            </w:r>
          </w:p>
        </w:tc>
        <w:tc>
          <w:tcPr>
            <w:tcW w:type="dxa" w:w="1560"/>
            <w:shd w:fill="F9FAFB"/>
            <w:tcMar>
              <w:top w:w="100" w:type="dxa"/>
              <w:bottom w:w="100" w:type="dxa"/>
              <w:left w:w="150" w:type="dxa"/>
              <w:right w:w="150" w:type="dxa"/>
            </w:tcMar>
          </w:tcPr>
          <w:p>
            <w:r>
              <w:rPr>
                <w:b/>
                <w:color w:val="0F2C59"/>
              </w:rPr>
              <w:t>A</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rPr>
                <w:b/>
              </w:rPr>
              <w:t>R</w:t>
            </w:r>
          </w:p>
        </w:tc>
        <w:tc>
          <w:tcPr>
            <w:tcW w:type="dxa" w:w="1560"/>
            <w:shd w:fill="F9FAFB"/>
            <w:tcMar>
              <w:top w:w="100" w:type="dxa"/>
              <w:bottom w:w="100" w:type="dxa"/>
              <w:left w:w="150" w:type="dxa"/>
              <w:right w:w="150" w:type="dxa"/>
            </w:tcMar>
          </w:tcPr>
          <w:p>
            <w:r>
              <w:t>C</w:t>
            </w:r>
          </w:p>
        </w:tc>
      </w:tr>
      <w:tr>
        <w:tc>
          <w:tcPr>
            <w:tcW w:type="dxa" w:w="1560"/>
            <w:shd w:fill="FFFFFF"/>
            <w:tcMar>
              <w:top w:w="100" w:type="dxa"/>
              <w:bottom w:w="100" w:type="dxa"/>
              <w:left w:w="150" w:type="dxa"/>
              <w:right w:w="150" w:type="dxa"/>
            </w:tcMar>
          </w:tcPr>
          <w:p>
            <w:r>
              <w:rPr>
                <w:b/>
                <w:color w:val="0F2C59"/>
              </w:rPr>
              <w:t>Explicabilidad Causal con TreeSHAP</w:t>
            </w:r>
          </w:p>
        </w:tc>
        <w:tc>
          <w:tcPr>
            <w:tcW w:type="dxa" w:w="1560"/>
            <w:shd w:fill="FFFFFF"/>
            <w:tcMar>
              <w:top w:w="100" w:type="dxa"/>
              <w:bottom w:w="100" w:type="dxa"/>
              <w:left w:w="150" w:type="dxa"/>
              <w:right w:w="150" w:type="dxa"/>
            </w:tcMar>
          </w:tcPr>
          <w:p>
            <w:r>
              <w:rPr>
                <w:b/>
                <w:color w:val="0F2C59"/>
              </w:rPr>
              <w:t>A</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rPr>
                <w:b/>
              </w:rPr>
              <w:t>R</w:t>
            </w:r>
          </w:p>
        </w:tc>
      </w:tr>
      <w:tr>
        <w:tc>
          <w:tcPr>
            <w:tcW w:type="dxa" w:w="1560"/>
            <w:shd w:fill="F9FAFB"/>
            <w:tcMar>
              <w:top w:w="100" w:type="dxa"/>
              <w:bottom w:w="100" w:type="dxa"/>
              <w:left w:w="150" w:type="dxa"/>
              <w:right w:w="150" w:type="dxa"/>
            </w:tcMar>
          </w:tcPr>
          <w:p>
            <w:r>
              <w:rPr>
                <w:b/>
                <w:color w:val="0F2C59"/>
              </w:rPr>
              <w:t>Guarded GenAI Prescriptivo</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rPr>
                <w:b/>
                <w:color w:val="0F2C59"/>
              </w:rPr>
              <w:t>A / R</w:t>
            </w:r>
          </w:p>
        </w:tc>
      </w:tr>
      <w:tr>
        <w:tc>
          <w:tcPr>
            <w:tcW w:type="dxa" w:w="1560"/>
            <w:shd w:fill="FFFFFF"/>
            <w:tcMar>
              <w:top w:w="100" w:type="dxa"/>
              <w:bottom w:w="100" w:type="dxa"/>
              <w:left w:w="150" w:type="dxa"/>
              <w:right w:w="150" w:type="dxa"/>
            </w:tcMar>
          </w:tcPr>
          <w:p>
            <w:r>
              <w:t>Dashboard Streamlit y Visualización Cartográfica</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I</w:t>
            </w:r>
          </w:p>
        </w:tc>
        <w:tc>
          <w:tcPr>
            <w:tcW w:type="dxa" w:w="1560"/>
            <w:shd w:fill="FFFFFF"/>
            <w:tcMar>
              <w:top w:w="100" w:type="dxa"/>
              <w:bottom w:w="100" w:type="dxa"/>
              <w:left w:w="150" w:type="dxa"/>
              <w:right w:w="150" w:type="dxa"/>
            </w:tcMar>
          </w:tcPr>
          <w:p>
            <w:r>
              <w:t>C</w:t>
            </w:r>
          </w:p>
        </w:tc>
        <w:tc>
          <w:tcPr>
            <w:tcW w:type="dxa" w:w="1560"/>
            <w:shd w:fill="FFFFFF"/>
            <w:tcMar>
              <w:top w:w="100" w:type="dxa"/>
              <w:bottom w:w="100" w:type="dxa"/>
              <w:left w:w="150" w:type="dxa"/>
              <w:right w:w="150" w:type="dxa"/>
            </w:tcMar>
          </w:tcPr>
          <w:p>
            <w:r>
              <w:rPr>
                <w:b/>
                <w:color w:val="0F2C59"/>
              </w:rPr>
              <w:t>A / R</w:t>
            </w:r>
          </w:p>
        </w:tc>
      </w:tr>
      <w:tr>
        <w:tc>
          <w:tcPr>
            <w:tcW w:type="dxa" w:w="1560"/>
            <w:shd w:fill="F9FAFB"/>
            <w:tcMar>
              <w:top w:w="100" w:type="dxa"/>
              <w:bottom w:w="100" w:type="dxa"/>
              <w:left w:w="150" w:type="dxa"/>
              <w:right w:w="150" w:type="dxa"/>
            </w:tcMar>
          </w:tcPr>
          <w:p>
            <w:r>
              <w:rPr>
                <w:b/>
              </w:rPr>
              <w:t>MLflow Registry, Docker Compose y Pytest CI/CD</w:t>
            </w:r>
          </w:p>
        </w:tc>
        <w:tc>
          <w:tcPr>
            <w:tcW w:type="dxa" w:w="1560"/>
            <w:shd w:fill="F9FAFB"/>
            <w:tcMar>
              <w:top w:w="100" w:type="dxa"/>
              <w:bottom w:w="100" w:type="dxa"/>
              <w:left w:w="150" w:type="dxa"/>
              <w:right w:w="150" w:type="dxa"/>
            </w:tcMar>
          </w:tcPr>
          <w:p>
            <w:r>
              <w:rPr>
                <w:b/>
                <w:color w:val="0F2C59"/>
              </w:rPr>
              <w:t>A / R</w:t>
            </w:r>
          </w:p>
        </w:tc>
        <w:tc>
          <w:tcPr>
            <w:tcW w:type="dxa" w:w="1560"/>
            <w:shd w:fill="F9FAFB"/>
            <w:tcMar>
              <w:top w:w="100" w:type="dxa"/>
              <w:bottom w:w="100" w:type="dxa"/>
              <w:left w:w="150" w:type="dxa"/>
              <w:right w:w="150" w:type="dxa"/>
            </w:tcMar>
          </w:tcPr>
          <w:p>
            <w:r>
              <w:t>C</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I</w:t>
            </w:r>
          </w:p>
        </w:tc>
        <w:tc>
          <w:tcPr>
            <w:tcW w:type="dxa" w:w="1560"/>
            <w:shd w:fill="F9FAFB"/>
            <w:tcMar>
              <w:top w:w="100" w:type="dxa"/>
              <w:bottom w:w="100" w:type="dxa"/>
              <w:left w:w="150" w:type="dxa"/>
              <w:right w:w="150" w:type="dxa"/>
            </w:tcMar>
          </w:tcPr>
          <w:p>
            <w:r>
              <w:t>I</w:t>
            </w:r>
          </w:p>
        </w:tc>
      </w:tr>
      <w:tr>
        <w:tc>
          <w:tcPr>
            <w:tcW w:type="dxa" w:w="1560"/>
            <w:shd w:fill="FFFFFF"/>
            <w:tcMar>
              <w:top w:w="100" w:type="dxa"/>
              <w:bottom w:w="100" w:type="dxa"/>
              <w:left w:w="150" w:type="dxa"/>
              <w:right w:w="150" w:type="dxa"/>
            </w:tcMar>
          </w:tcPr>
          <w:p>
            <w:r>
              <w:t>Documentación Técnica y Memoria de TFM</w:t>
            </w:r>
          </w:p>
        </w:tc>
        <w:tc>
          <w:tcPr>
            <w:tcW w:type="dxa" w:w="1560"/>
            <w:shd w:fill="FFFFFF"/>
            <w:tcMar>
              <w:top w:w="100" w:type="dxa"/>
              <w:bottom w:w="100" w:type="dxa"/>
              <w:left w:w="150" w:type="dxa"/>
              <w:right w:w="150" w:type="dxa"/>
            </w:tcMar>
          </w:tcPr>
          <w:p>
            <w:r>
              <w:rPr>
                <w:b/>
                <w:color w:val="0F2C59"/>
              </w:rPr>
              <w:t>A / R</w:t>
            </w:r>
          </w:p>
        </w:tc>
        <w:tc>
          <w:tcPr>
            <w:tcW w:type="dxa" w:w="1560"/>
            <w:shd w:fill="FFFFFF"/>
            <w:tcMar>
              <w:top w:w="100" w:type="dxa"/>
              <w:bottom w:w="100" w:type="dxa"/>
              <w:left w:w="150" w:type="dxa"/>
              <w:right w:w="150" w:type="dxa"/>
            </w:tcMar>
          </w:tcPr>
          <w:p>
            <w:r>
              <w:rPr>
                <w:b/>
              </w:rPr>
              <w:t>R</w:t>
            </w:r>
          </w:p>
        </w:tc>
        <w:tc>
          <w:tcPr>
            <w:tcW w:type="dxa" w:w="1560"/>
            <w:shd w:fill="FFFFFF"/>
            <w:tcMar>
              <w:top w:w="100" w:type="dxa"/>
              <w:bottom w:w="100" w:type="dxa"/>
              <w:left w:w="150" w:type="dxa"/>
              <w:right w:w="150" w:type="dxa"/>
            </w:tcMar>
          </w:tcPr>
          <w:p>
            <w:r>
              <w:rPr>
                <w:b/>
              </w:rPr>
              <w:t>R</w:t>
            </w:r>
          </w:p>
        </w:tc>
        <w:tc>
          <w:tcPr>
            <w:tcW w:type="dxa" w:w="1560"/>
            <w:shd w:fill="FFFFFF"/>
            <w:tcMar>
              <w:top w:w="100" w:type="dxa"/>
              <w:bottom w:w="100" w:type="dxa"/>
              <w:left w:w="150" w:type="dxa"/>
              <w:right w:w="150" w:type="dxa"/>
            </w:tcMar>
          </w:tcPr>
          <w:p>
            <w:r>
              <w:rPr>
                <w:b/>
              </w:rPr>
              <w:t>R</w:t>
            </w:r>
          </w:p>
        </w:tc>
        <w:tc>
          <w:tcPr>
            <w:tcW w:type="dxa" w:w="1560"/>
            <w:shd w:fill="FFFFFF"/>
            <w:tcMar>
              <w:top w:w="100" w:type="dxa"/>
              <w:bottom w:w="100" w:type="dxa"/>
              <w:left w:w="150" w:type="dxa"/>
              <w:right w:w="150" w:type="dxa"/>
            </w:tcMar>
          </w:tcPr>
          <w:p>
            <w:r>
              <w:rPr>
                <w:b/>
              </w:rPr>
              <w:t>R</w:t>
            </w:r>
          </w:p>
        </w:tc>
      </w:tr>
    </w:tbl>
    <w:p>
      <w:pPr>
        <w:spacing w:before="120"/>
      </w:pPr>
      <w:r>
        <w:rPr>
          <w:i/>
          <w:sz w:val="19"/>
        </w:rPr>
        <w:t>Leyenda RACI: R = Responsible (Ejecuta), A = Accountable (Aprueba/Responde), C = Consulted (Consulta técnica), I = Informed (Informado)</w:t>
      </w:r>
    </w:p>
    <w:p>
      <w:r>
        <w:br w:type="page"/>
      </w:r>
    </w:p>
    <w:p>
      <w:pPr>
        <w:pStyle w:val="Heading1"/>
      </w:pPr>
      <w:r>
        <w:t>PARTE 4. CRONOGRAMA DETALLADO Y PLANIFICACIÓN DE SPRINTS</w:t>
      </w:r>
    </w:p>
    <w:p>
      <w:pPr>
        <w:pStyle w:val="Heading2"/>
      </w:pPr>
      <w:r>
        <w:t>Sprint 1 (Semanas 1–2): Ingesta Streaming, Quality Gate y Arquitectura Base</w:t>
      </w:r>
    </w:p>
    <w:p>
      <w:pPr>
        <w:spacing w:line="276" w:lineRule="auto" w:after="120"/>
      </w:pPr>
      <w:r>
        <w:t>• Foco: Disponer de los datos crudos y del mecanismo de ingesta streaming validado en SQLite.</w:t>
        <w:br/>
        <w:t>• Tareas Principales:</w:t>
        <w:br/>
        <w:t xml:space="preserve">  - Andrei: Crear simulador IoT de rutas y consumidor asíncrono con Pydantic v2.</w:t>
        <w:br/>
        <w:t xml:space="preserve">  - Guillén: Configurar entorno virtual (uv), estructura de carpetas src/, gestión de dependencias y esqueleto de pruebas.</w:t>
        <w:br/>
        <w:t>• Hito de Salida (Milestone 1): Eventos IoT fluyendo hacia la tabla telemetria_gold con auditoría formal de calidad (99.95%).</w:t>
      </w:r>
    </w:p>
    <w:p>
      <w:pPr>
        <w:pStyle w:val="Heading2"/>
      </w:pPr>
      <w:r>
        <w:t>Sprint 2 (Semanas 3–4): Inferencia Estadística y Feature Store</w:t>
      </w:r>
    </w:p>
    <w:p>
      <w:pPr>
        <w:spacing w:line="276" w:lineRule="auto" w:after="120"/>
      </w:pPr>
      <w:r>
        <w:t>• Foco: Comprensión matemática rigurosa del 2021 Amazon Last-Mile Routing Research Challenge Dataset y generación de features.</w:t>
        <w:br/>
        <w:t>• Tareas Principales:</w:t>
        <w:br/>
        <w:t xml:space="preserve">  - Francisco: Ejecutar contrastes de hipótesis (t-Student, Mann-Whitney, ANOVA, Kruskal-Wallis, Chi-cuadrado) y documentar hallazgos.</w:t>
        <w:br/>
        <w:t xml:space="preserve">  - Francisco &amp; Andrei: Crear y consolidar las variables de ratio de urgencia, congestión y dinámica térmica en data/processed/.</w:t>
        <w:br/>
        <w:t>• Hito de Salida (Milestone 2): Documento analítico de EDA aprobado y matriz de features lista para modelado.</w:t>
      </w:r>
    </w:p>
    <w:p>
      <w:pPr>
        <w:pStyle w:val="Heading2"/>
      </w:pPr>
      <w:r>
        <w:t>Sprint 3 (Semanas 5–6): Modelado Supervisado, Stacking y Calibración</w:t>
      </w:r>
    </w:p>
    <w:p>
      <w:pPr>
        <w:spacing w:line="276" w:lineRule="auto" w:after="120"/>
      </w:pPr>
      <w:r>
        <w:t>• Foco: Construcción del motor predictivo con garantía de 100% Recall.</w:t>
        <w:br/>
        <w:t>• Tareas Principales:</w:t>
        <w:br/>
        <w:t xml:space="preserve">  - Guillén: Benchmark comparativo de 6 estimadores, ensamble Stacking Super Learner y calibración de probabilidades con Platt Scaling.</w:t>
        <w:br/>
        <w:t xml:space="preserve">  - Pablo: Particionado de zonas de entrega mediante K-Means geoespacial sobre Treasure Valley.</w:t>
        <w:br/>
        <w:t>• Hito de Salida (Milestone 3): Modelo predictivo serializado con 100% Recall en fallos críticos y F1 ≥ 0.96.</w:t>
      </w:r>
    </w:p>
    <w:p>
      <w:pPr>
        <w:pStyle w:val="Heading2"/>
      </w:pPr>
      <w:r>
        <w:t>Sprint 4 (Semanas 7–8): XAI Causal y Optimización VRP/2-Opt</w:t>
      </w:r>
    </w:p>
    <w:p>
      <w:pPr>
        <w:spacing w:line="276" w:lineRule="auto" w:after="120"/>
      </w:pPr>
      <w:r>
        <w:t>• Foco: Explicar el riesgo y prescribir la solución óptima en ruta.</w:t>
        <w:br/>
        <w:t>• Tareas Principales:</w:t>
        <w:br/>
        <w:t xml:space="preserve">  - Pablo: Algoritmo 2-Opt con límite de cómputo &lt; 100 ms y restricción estricta de SLA ≤ 90 min.</w:t>
        <w:br/>
        <w:t xml:space="preserve">  - Jean: Módulo TreeSHAP para atribución local de factores y prototipo de Guarded GenAI para directivas asistenciales.</w:t>
        <w:br/>
        <w:t>• Hito de Salida (Milestone 4): Motor prescriptivo funcional capaz de re-secuenciar paradas y generar explicaciones en lenguaje natural.</w:t>
      </w:r>
    </w:p>
    <w:p>
      <w:pPr>
        <w:pStyle w:val="Heading2"/>
      </w:pPr>
      <w:r>
        <w:t>Sprint 5 (Semanas 9–10): Torre de Control, MLOps y Cierre</w:t>
      </w:r>
    </w:p>
    <w:p>
      <w:pPr>
        <w:spacing w:line="276" w:lineRule="auto" w:after="120"/>
      </w:pPr>
      <w:r>
        <w:t>• Foco: Integración de la interfaz de usuario, empaquetado y defensa.</w:t>
        <w:br/>
        <w:t>• Tareas Principales:</w:t>
        <w:br/>
        <w:t xml:space="preserve">  - Jean: Ensamblaje del dashboard en Streamlit con mapa Folium interactivo.</w:t>
        <w:br/>
        <w:t xml:space="preserve">  - Guillén: Registro formal en MLflow, pruebas automatizadas pytest (24/24) y manifiesto Docker/Podman Compose.</w:t>
        <w:br/>
        <w:t xml:space="preserve">  - Todo el Equipo: Revisión final cruzada de la memoria y simulación de la defensa técnica.</w:t>
        <w:br/>
        <w:t>• Hito de Salida (Milestone 5 - Entregable Final): Solución completa lista para demostración en vivo con un clic (run_dashboard.bat o docker compose up).</w:t>
      </w:r>
    </w:p>
    <w:p>
      <w:pPr>
        <w:pStyle w:val="Heading1"/>
      </w:pPr>
      <w:r>
        <w:t>PARTE 5. NORMAS DE TRABAJO, CONTROL DE VERSIONES Y CALIDAD</w:t>
      </w:r>
    </w:p>
    <w:p>
      <w:pPr>
        <w:spacing w:line="276" w:lineRule="auto"/>
      </w:pPr>
      <w:r>
        <w:t>1. Estrategia de Ramas en Git (GitFlow Simplificado):</w:t>
        <w:br/>
        <w:t xml:space="preserve">   - Rama main: Código de producción estable que siempre debe pasar el 100% de los tests de pytest.</w:t>
        <w:br/>
        <w:t xml:space="preserve">   - Rama develop: Rama de integración donde convergen los módulos aprobados.</w:t>
        <w:br/>
        <w:t xml:space="preserve">   - Ramas funcionales: feature/ingestion-andrei, feature/eda-francisco, feature/stacking-guillen, feature/2opt-pablo, feature/xai-dashboard-jean.</w:t>
        <w:br/>
        <w:br/>
        <w:t>2. Convención de Commits (Conventional Commits):</w:t>
        <w:br/>
        <w:t xml:space="preserve">   - feat(scope): Para nuevas funcionalidades.</w:t>
        <w:br/>
        <w:t xml:space="preserve">   - fix(scope): Para corrección de errores.</w:t>
        <w:br/>
        <w:t xml:space="preserve">   - docs(scope): Para documentación técnica y memoria.</w:t>
        <w:br/>
        <w:t xml:space="preserve">   - test(scope): Para nuevas pruebas en pytest.</w:t>
        <w:br/>
        <w:br/>
        <w:t>3. Criterio de Aceptación de Pull Requests (PRs):</w:t>
        <w:br/>
        <w:t xml:space="preserve">   - Todo PR debe ser revisado y aprobado por al menos un compañero antes de fusionarse a develop.</w:t>
        <w:br/>
        <w:t xml:space="preserve">   - Ningún PR puede romperse: pytest tests/ debe arrojar 24 passed localmente antes de solicitar revisión.</w:t>
        <w:br/>
        <w:br/>
        <w:t>4. Reproducibilidad y Entorno:</w:t>
        <w:br/>
        <w:t xml:space="preserve">   - No se permite instalar dependencias globales con pip. Toda nueva librería debe declararse formalmente en pyproject.toml y requirements.txt.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