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79" w:rsidRDefault="002B2C73" w:rsidP="002B2C73">
      <w:pPr>
        <w:pStyle w:val="Ttulo"/>
        <w:jc w:val="center"/>
      </w:pPr>
      <w:r>
        <w:t>Tarefa_FOL_7_UD02</w:t>
      </w:r>
    </w:p>
    <w:p w:rsidR="002B2C73" w:rsidRPr="002B2C73" w:rsidRDefault="002B2C73" w:rsidP="002B2C73"/>
    <w:p w:rsidR="002B2C73" w:rsidRDefault="002B2C73" w:rsidP="002B2C7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1.</w:t>
      </w:r>
      <w:r>
        <w:rPr>
          <w:rFonts w:ascii="Arial" w:hAnsi="Arial" w:cs="Arial"/>
          <w:color w:val="333333"/>
          <w:sz w:val="22"/>
          <w:szCs w:val="22"/>
        </w:rPr>
        <w:t>-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 xml:space="preserve">Cando se considera un peso como carga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dende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a prevención e cal e a carga máxima en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xeral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, carga máxima para mulleres e menores e carga máxima para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traballadores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adestrados?</w:t>
      </w:r>
      <w:proofErr w:type="gramEnd"/>
    </w:p>
    <w:p w:rsidR="002B2C73" w:rsidRDefault="00313F6B" w:rsidP="002B2C7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El peso se considera carga desde la prevención cuando un trabajador carga &lt;3Kg</w:t>
      </w:r>
    </w:p>
    <w:p w:rsidR="00F54224" w:rsidRDefault="00F54224" w:rsidP="002B2C7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F54224" w:rsidRDefault="00F54224" w:rsidP="002B2C7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Carga general máxima: 25Kg</w:t>
      </w:r>
    </w:p>
    <w:p w:rsidR="002B2C73" w:rsidRDefault="00E84D33" w:rsidP="002B2C7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Carga máxima mujeres y jóvenes: 15Kg</w:t>
      </w:r>
    </w:p>
    <w:p w:rsidR="00F7396C" w:rsidRDefault="00F7396C" w:rsidP="002B2C7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Carga máxima </w:t>
      </w:r>
      <w:r w:rsidR="00F54224">
        <w:rPr>
          <w:rFonts w:ascii="Arial" w:hAnsi="Arial" w:cs="Arial"/>
          <w:color w:val="333333"/>
          <w:sz w:val="22"/>
          <w:szCs w:val="22"/>
        </w:rPr>
        <w:t xml:space="preserve">trabajadores sanos y </w:t>
      </w:r>
      <w:r>
        <w:rPr>
          <w:rFonts w:ascii="Arial" w:hAnsi="Arial" w:cs="Arial"/>
          <w:color w:val="333333"/>
          <w:sz w:val="22"/>
          <w:szCs w:val="22"/>
        </w:rPr>
        <w:t>entrenados:</w:t>
      </w:r>
      <w:r w:rsidR="00F54224">
        <w:rPr>
          <w:rFonts w:ascii="Arial" w:hAnsi="Arial" w:cs="Arial"/>
          <w:color w:val="333333"/>
          <w:sz w:val="22"/>
          <w:szCs w:val="22"/>
        </w:rPr>
        <w:t xml:space="preserve"> 40</w:t>
      </w:r>
      <w:r>
        <w:rPr>
          <w:rFonts w:ascii="Arial" w:hAnsi="Arial" w:cs="Arial"/>
          <w:color w:val="333333"/>
          <w:sz w:val="22"/>
          <w:szCs w:val="22"/>
        </w:rPr>
        <w:t>Kg</w:t>
      </w:r>
    </w:p>
    <w:p w:rsidR="00CD003C" w:rsidRDefault="00CD003C" w:rsidP="002B2C7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2B2C73" w:rsidRDefault="002B2C73" w:rsidP="002B2C7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2.- </w:t>
      </w:r>
      <w:r>
        <w:rPr>
          <w:rFonts w:ascii="Arial" w:hAnsi="Arial" w:cs="Arial"/>
          <w:color w:val="333333"/>
          <w:sz w:val="22"/>
          <w:szCs w:val="22"/>
        </w:rPr>
        <w:t xml:space="preserve">Cales son os danos derivados dos factores de risco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psicosociais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?</w:t>
      </w:r>
    </w:p>
    <w:p w:rsidR="002B2C73" w:rsidRDefault="007525D2" w:rsidP="002B2C7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Insatisfacción laboral</w:t>
      </w:r>
    </w:p>
    <w:p w:rsidR="007525D2" w:rsidRDefault="007525D2" w:rsidP="002B2C7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Síndrome de Burnout</w:t>
      </w:r>
    </w:p>
    <w:p w:rsidR="007525D2" w:rsidRDefault="007525D2" w:rsidP="002B2C7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Estrés laboral</w:t>
      </w:r>
    </w:p>
    <w:p w:rsidR="007525D2" w:rsidRDefault="007525D2" w:rsidP="002B2C7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color w:val="333333"/>
          <w:sz w:val="22"/>
          <w:szCs w:val="22"/>
        </w:rPr>
        <w:t>Mobbing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o acoso</w:t>
      </w:r>
    </w:p>
    <w:p w:rsidR="002B2C73" w:rsidRDefault="002B2C73" w:rsidP="002B2C7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3.- </w:t>
      </w:r>
      <w:r>
        <w:rPr>
          <w:rFonts w:ascii="Arial" w:hAnsi="Arial" w:cs="Arial"/>
          <w:color w:val="333333"/>
          <w:sz w:val="22"/>
          <w:szCs w:val="22"/>
        </w:rPr>
        <w:t xml:space="preserve">Que é 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mobbing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e que é o síndrome de Burnout?</w:t>
      </w:r>
    </w:p>
    <w:p w:rsidR="00854556" w:rsidRDefault="00854556" w:rsidP="002B2C7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color w:val="333333"/>
          <w:sz w:val="22"/>
          <w:szCs w:val="22"/>
        </w:rPr>
        <w:t>Mobbing</w:t>
      </w:r>
      <w:proofErr w:type="spellEnd"/>
      <w:r>
        <w:rPr>
          <w:rFonts w:ascii="Arial" w:hAnsi="Arial" w:cs="Arial"/>
          <w:color w:val="333333"/>
          <w:sz w:val="22"/>
          <w:szCs w:val="22"/>
        </w:rPr>
        <w:t>:</w:t>
      </w:r>
      <w:r w:rsidR="001B0293">
        <w:rPr>
          <w:rFonts w:ascii="Arial" w:hAnsi="Arial" w:cs="Arial"/>
          <w:color w:val="333333"/>
          <w:sz w:val="22"/>
          <w:szCs w:val="22"/>
        </w:rPr>
        <w:t xml:space="preserve"> </w:t>
      </w:r>
      <w:r w:rsidR="00662CD7">
        <w:rPr>
          <w:rFonts w:ascii="Arial" w:hAnsi="Arial" w:cs="Arial"/>
          <w:color w:val="333333"/>
          <w:sz w:val="22"/>
          <w:szCs w:val="22"/>
        </w:rPr>
        <w:t>Forma de hostigamiento o acoso psicológico sistemático y prolongado en el tiempo por parte de otro trabajadores o superiores de la emp</w:t>
      </w:r>
      <w:bookmarkStart w:id="0" w:name="_GoBack"/>
      <w:bookmarkEnd w:id="0"/>
      <w:r w:rsidR="00662CD7">
        <w:rPr>
          <w:rFonts w:ascii="Arial" w:hAnsi="Arial" w:cs="Arial"/>
          <w:color w:val="333333"/>
          <w:sz w:val="22"/>
          <w:szCs w:val="22"/>
        </w:rPr>
        <w:t>resa.</w:t>
      </w:r>
    </w:p>
    <w:p w:rsidR="00854556" w:rsidRDefault="00854556" w:rsidP="002B2C7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Síndrome Burnout:</w:t>
      </w:r>
      <w:r w:rsidR="001F418F">
        <w:rPr>
          <w:rFonts w:ascii="Arial" w:hAnsi="Arial" w:cs="Arial"/>
          <w:color w:val="333333"/>
          <w:sz w:val="22"/>
          <w:szCs w:val="22"/>
        </w:rPr>
        <w:t xml:space="preserve"> Conocido como el síndrome del desgaste profesional, consiste en el </w:t>
      </w:r>
      <w:r w:rsidR="001F418F" w:rsidRPr="001F418F">
        <w:rPr>
          <w:rFonts w:ascii="Arial" w:hAnsi="Arial" w:cs="Arial"/>
          <w:color w:val="333333"/>
          <w:sz w:val="22"/>
          <w:szCs w:val="22"/>
        </w:rPr>
        <w:t>padecimiento que se caracteriza por una respuesta prolongada de estrés ante los factores estresantes emocionales e interpersonales en el trabajo, que incluye fatiga crónica, ineficacia y negación de lo ocurrido.</w:t>
      </w:r>
    </w:p>
    <w:p w:rsidR="00854556" w:rsidRDefault="00854556" w:rsidP="002B2C73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4B54C8" w:rsidRPr="004B54C8" w:rsidRDefault="004B54C8" w:rsidP="002B2C73">
      <w:pPr>
        <w:pStyle w:val="NormalWeb"/>
        <w:shd w:val="clear" w:color="auto" w:fill="FAFAFA"/>
        <w:spacing w:before="0" w:beforeAutospacing="0" w:after="150" w:afterAutospacing="0"/>
        <w:rPr>
          <w:rFonts w:ascii="Bahnschrift" w:hAnsi="Bahnschrift" w:cs="Arial"/>
          <w:b/>
          <w:color w:val="333333"/>
          <w:sz w:val="28"/>
          <w:szCs w:val="22"/>
        </w:rPr>
      </w:pPr>
      <w:r>
        <w:rPr>
          <w:rFonts w:ascii="Bahnschrift" w:hAnsi="Bahnschrift" w:cs="Arial"/>
          <w:b/>
          <w:color w:val="333333"/>
          <w:sz w:val="28"/>
          <w:szCs w:val="22"/>
        </w:rPr>
        <w:t xml:space="preserve">Guillén Vidal </w:t>
      </w:r>
      <w:proofErr w:type="spellStart"/>
      <w:r>
        <w:rPr>
          <w:rFonts w:ascii="Bahnschrift" w:hAnsi="Bahnschrift" w:cs="Arial"/>
          <w:b/>
          <w:color w:val="333333"/>
          <w:sz w:val="28"/>
          <w:szCs w:val="22"/>
        </w:rPr>
        <w:t>Rodriguez</w:t>
      </w:r>
      <w:proofErr w:type="spellEnd"/>
      <w:r>
        <w:rPr>
          <w:rFonts w:ascii="Bahnschrift" w:hAnsi="Bahnschrift" w:cs="Arial"/>
          <w:b/>
          <w:color w:val="333333"/>
          <w:sz w:val="28"/>
          <w:szCs w:val="22"/>
        </w:rPr>
        <w:t xml:space="preserve"> DAW129</w:t>
      </w:r>
    </w:p>
    <w:p w:rsidR="002B2C73" w:rsidRPr="002B2C73" w:rsidRDefault="002B2C73" w:rsidP="002B2C73"/>
    <w:sectPr w:rsidR="002B2C73" w:rsidRPr="002B2C7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F3F" w:rsidRDefault="00793F3F" w:rsidP="002B2C73">
      <w:pPr>
        <w:spacing w:after="0" w:line="240" w:lineRule="auto"/>
      </w:pPr>
      <w:r>
        <w:separator/>
      </w:r>
    </w:p>
  </w:endnote>
  <w:endnote w:type="continuationSeparator" w:id="0">
    <w:p w:rsidR="00793F3F" w:rsidRDefault="00793F3F" w:rsidP="002B2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C73" w:rsidRDefault="002B2C73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64AF85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662CD7" w:rsidRPr="00662CD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F3F" w:rsidRDefault="00793F3F" w:rsidP="002B2C73">
      <w:pPr>
        <w:spacing w:after="0" w:line="240" w:lineRule="auto"/>
      </w:pPr>
      <w:r>
        <w:separator/>
      </w:r>
    </w:p>
  </w:footnote>
  <w:footnote w:type="continuationSeparator" w:id="0">
    <w:p w:rsidR="00793F3F" w:rsidRDefault="00793F3F" w:rsidP="002B2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C73" w:rsidRDefault="002B2C73">
    <w:pPr>
      <w:pStyle w:val="Encabezado"/>
    </w:pPr>
    <w:r>
      <w:t xml:space="preserve">Guillen Vidal </w:t>
    </w:r>
    <w:proofErr w:type="spellStart"/>
    <w:r>
      <w:t>Rodriguez</w:t>
    </w:r>
    <w:proofErr w:type="spellEnd"/>
    <w:r>
      <w:t xml:space="preserve"> DAW129</w:t>
    </w:r>
  </w:p>
  <w:p w:rsidR="002B2C73" w:rsidRDefault="002B2C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73"/>
    <w:rsid w:val="001B0293"/>
    <w:rsid w:val="001F418F"/>
    <w:rsid w:val="002B2C73"/>
    <w:rsid w:val="00313F6B"/>
    <w:rsid w:val="004B54C8"/>
    <w:rsid w:val="00502779"/>
    <w:rsid w:val="00662CD7"/>
    <w:rsid w:val="007525D2"/>
    <w:rsid w:val="00793F3F"/>
    <w:rsid w:val="00854556"/>
    <w:rsid w:val="00CD003C"/>
    <w:rsid w:val="00E84D33"/>
    <w:rsid w:val="00F54224"/>
    <w:rsid w:val="00F7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EEE5"/>
  <w15:chartTrackingRefBased/>
  <w15:docId w15:val="{0D0D545A-EA9F-464F-A838-B823F85A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2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2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B2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C73"/>
  </w:style>
  <w:style w:type="paragraph" w:styleId="Piedepgina">
    <w:name w:val="footer"/>
    <w:basedOn w:val="Normal"/>
    <w:link w:val="PiedepginaCar"/>
    <w:uiPriority w:val="99"/>
    <w:unhideWhenUsed/>
    <w:rsid w:val="002B2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C73"/>
  </w:style>
  <w:style w:type="paragraph" w:styleId="NormalWeb">
    <w:name w:val="Normal (Web)"/>
    <w:basedOn w:val="Normal"/>
    <w:uiPriority w:val="99"/>
    <w:semiHidden/>
    <w:unhideWhenUsed/>
    <w:rsid w:val="002B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DAW129</dc:creator>
  <cp:keywords/>
  <dc:description/>
  <cp:lastModifiedBy>DAW129</cp:lastModifiedBy>
  <cp:revision>12</cp:revision>
  <dcterms:created xsi:type="dcterms:W3CDTF">2020-11-17T13:00:00Z</dcterms:created>
  <dcterms:modified xsi:type="dcterms:W3CDTF">2020-11-17T13:21:00Z</dcterms:modified>
</cp:coreProperties>
</file>