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Poverty to Gang Involvement: </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 Systemic and Intergenerational Trauma in LA County</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Why Poverty Matters More Than We Think</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by Guillermo Castaneda </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Suzanne Dworak-Peck School of Social Work, University of Southern California </w:t>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Work 350: Adolescent Gang Intervention</w:t>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10, 2025 </w:t>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b w:val="1"/>
          <w:bCs w:val="1"/>
          <w:sz w:val="24"/>
          <w:szCs w:val="24"/>
          <w:rtl w:val="0"/>
        </w:rPr>
        <w:t xml:space="preserve"> INTRODUCTION</w:t>
      </w:r>
    </w:p>
    <w:p w:rsidR="00000000" w:rsidDel="00000000" w:rsidP="00000000" w:rsidRDefault="00000000" w:rsidRPr="00000000" w14:paraId="0000001D">
      <w:pPr>
        <w:spacing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Across Los Angeles County, youth growing up in poverty experience far more than economic hardship. They are shaped by the long-term consequences of discriminatory housing policies, underfunded schools, mass incarceration, and cycles of community violence. These structural conditions do not simply create challenging environments; they produce trauma that is transmitted across generations, affecting how families relate to one another, how youth view institutions, and how they navigate their daily worlds. When trusted systems, including families, schools, and law enforcement, fail to support or protect them, youth learn early that these institutions are unreliable or even harmful as established by the multiple marginality model. This creates a void in belonging, safety, and identity that gangs have historically filled. Thus, gang involvement is not a rational “choice,” but a survival tactic when dealing with chronic stress, fractured family systems, and the absence of stable social support. Los Angeles County youth from impoverished families experience systemic and intergenerational trauma as a result of historic factors, which leads to institutional distrust and increases vulnerability to gang affiliation. This essay addresses this problem by referencing the history, providing recommendations to assist with the issue, discussing a process to evaluate success, and providing potential expenses for recommendations.</w:t>
      </w:r>
      <w:r w:rsidDel="00000000" w:rsidR="00000000" w:rsidRPr="00000000">
        <w:rPr>
          <w:rtl w:val="0"/>
        </w:rPr>
      </w:r>
    </w:p>
    <w:p w:rsidR="00000000" w:rsidDel="00000000" w:rsidP="00000000" w:rsidRDefault="00000000" w:rsidRPr="00000000" w14:paraId="0000001E">
      <w:pPr>
        <w:spacing w:after="120" w:before="120" w:line="480" w:lineRule="auto"/>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II. HISTORY</w:t>
      </w:r>
    </w:p>
    <w:p w:rsidR="00000000" w:rsidDel="00000000" w:rsidP="00000000" w:rsidRDefault="00000000" w:rsidRPr="00000000" w14:paraId="0000001F">
      <w:pPr>
        <w:spacing w:after="120" w:before="120" w:line="480" w:lineRule="auto"/>
        <w:ind w:firstLine="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​Understanding the historical roots of gang affiliation amongst impoverished youth in Los Angeles requires a holistic examination of the decades of structural inequality, institutional failure, and intergenerational trauma that have shaped the conditions youth navigate today. The problem is not the product of isolated choices by youth, but rather the systems that have systematically disadvantaged youth and family systems in impoverished neighborhoods. The historical landscape of Los Angeles County is an evident example of the legacy of </w:t>
      </w:r>
      <w:r w:rsidDel="00000000" w:rsidR="00000000" w:rsidRPr="00000000">
        <w:rPr>
          <w:rFonts w:ascii="Times New Roman" w:cs="Times New Roman" w:eastAsia="Times New Roman" w:hAnsi="Times New Roman"/>
          <w:i w:val="1"/>
          <w:iCs w:val="1"/>
          <w:color w:val="333333"/>
          <w:sz w:val="24"/>
          <w:szCs w:val="24"/>
          <w:rtl w:val="0"/>
        </w:rPr>
        <w:t xml:space="preserve">Redlining (1930s-1960s)</w:t>
      </w:r>
      <w:r w:rsidDel="00000000" w:rsidR="00000000" w:rsidRPr="00000000">
        <w:rPr>
          <w:rFonts w:ascii="Times New Roman" w:cs="Times New Roman" w:eastAsia="Times New Roman" w:hAnsi="Times New Roman"/>
          <w:color w:val="333333"/>
          <w:sz w:val="24"/>
          <w:szCs w:val="24"/>
          <w:rtl w:val="0"/>
        </w:rPr>
        <w:t xml:space="preserve">, which confined Black and Latino families to high-poverty and under-resourced neighborhoods. Although redlining was outlawed, the consequences of it persist through a lack of educational funding, stable housing, and economic investment, all contributing to the influx of youth gang affiliation.</w:t>
      </w:r>
    </w:p>
    <w:p w:rsidR="00000000" w:rsidDel="00000000" w:rsidP="00000000" w:rsidRDefault="00000000" w:rsidRPr="00000000" w14:paraId="00000020">
      <w:pPr>
        <w:spacing w:after="120" w:before="120" w:line="480" w:lineRule="auto"/>
        <w:ind w:firstLine="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Recent data from the California Poverty Measure (2023) shows that this structural inequality persists as child poverty rates in Los Angeles reach as high as 68% in cities like East LA and South LA, compared to a 4% rate in coastal communities like Redondo or Manhattan Beach. The study shows that youth in these segregated neighborhoods disproportionately come from families with unemployed parents (29.8%), single-parent families (25.6%), and families where the oldest adult is not a U.S. citizen (24.1%).</w:t>
      </w:r>
    </w:p>
    <w:p w:rsidR="00000000" w:rsidDel="00000000" w:rsidP="00000000" w:rsidRDefault="00000000" w:rsidRPr="00000000" w14:paraId="00000021">
      <w:pPr>
        <w:spacing w:after="120" w:before="120" w:line="480" w:lineRule="auto"/>
        <w:ind w:firstLine="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Additionally, the study, </w:t>
      </w:r>
      <w:r w:rsidDel="00000000" w:rsidR="00000000" w:rsidRPr="00000000">
        <w:rPr>
          <w:rFonts w:ascii="Times New Roman" w:cs="Times New Roman" w:eastAsia="Times New Roman" w:hAnsi="Times New Roman"/>
          <w:i w:val="1"/>
          <w:iCs w:val="1"/>
          <w:color w:val="333333"/>
          <w:sz w:val="24"/>
          <w:szCs w:val="24"/>
          <w:rtl w:val="0"/>
        </w:rPr>
        <w:t xml:space="preserve">Facilitating Violence: A Comparison of Gang-Motivated, Gang-Affiliated, and Nongang Youth Homicides </w:t>
      </w:r>
      <w:r w:rsidDel="00000000" w:rsidR="00000000" w:rsidRPr="00000000">
        <w:rPr>
          <w:rFonts w:ascii="Times New Roman" w:cs="Times New Roman" w:eastAsia="Times New Roman" w:hAnsi="Times New Roman"/>
          <w:color w:val="333333"/>
          <w:sz w:val="24"/>
          <w:szCs w:val="24"/>
          <w:rtl w:val="0"/>
        </w:rPr>
        <w:t xml:space="preserve">by Rosenfeld, Bray, and Egley, finds that poverty and neighborhood disadvantage significantly predict gang-related violence, therefore demonstrating how structural conditions shape youth outcomes. Similarly, James Diego Vigil's multiple marginality framework argues that gangs emerge not merely as criminal organizations but as adaptive responses to structural poverty and social marginalization. Using his framework of multiple marginality, Vigil explains that economic hardship, residential segregation, institutional neglect, and cultural stigma intersect to create conditions where youth turn to gangs for identity, protection, and survival. In this sense, gangs become alternative social structures that fill voids left by historical disinvestment.</w:t>
      </w:r>
    </w:p>
    <w:p w:rsidR="00000000" w:rsidDel="00000000" w:rsidP="00000000" w:rsidRDefault="00000000" w:rsidRPr="00000000" w14:paraId="00000022">
      <w:pPr>
        <w:spacing w:after="120" w:before="120" w:line="480" w:lineRule="auto"/>
        <w:ind w:firstLine="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Consequently, a 2018 National Council on Family Relations report on intergenerational trauma notes that “approximately 5 million U.S. children have experienced the incarceration of a residential parent at some point in their childhood”. The report also states that children of incarcerated parents face increased risks of homelessness, anxiety disorders, attention deficit hyperactivity disorders (ADHD), and behavioral problems, with at least 32% of these incarcerated parents experiencing the incarceration of </w:t>
      </w:r>
      <w:r w:rsidDel="00000000" w:rsidR="00000000" w:rsidRPr="00000000">
        <w:rPr>
          <w:rFonts w:ascii="Times New Roman" w:cs="Times New Roman" w:eastAsia="Times New Roman" w:hAnsi="Times New Roman"/>
          <w:i w:val="1"/>
          <w:iCs w:val="1"/>
          <w:color w:val="333333"/>
          <w:sz w:val="24"/>
          <w:szCs w:val="24"/>
          <w:rtl w:val="0"/>
        </w:rPr>
        <w:t xml:space="preserve">their</w:t>
      </w:r>
      <w:r w:rsidDel="00000000" w:rsidR="00000000" w:rsidRPr="00000000">
        <w:rPr>
          <w:rFonts w:ascii="Times New Roman" w:cs="Times New Roman" w:eastAsia="Times New Roman" w:hAnsi="Times New Roman"/>
          <w:color w:val="333333"/>
          <w:sz w:val="24"/>
          <w:szCs w:val="24"/>
          <w:rtl w:val="0"/>
        </w:rPr>
        <w:t xml:space="preserve"> parents while they were growing up. This ultimately reveals the deeply embedded cycle of institutional separation that damages family systems and causes distrust in public institutions.</w:t>
      </w:r>
    </w:p>
    <w:p w:rsidR="00000000" w:rsidDel="00000000" w:rsidP="00000000" w:rsidRDefault="00000000" w:rsidRPr="00000000" w14:paraId="00000023">
      <w:pPr>
        <w:spacing w:after="120" w:before="120" w:line="480" w:lineRule="auto"/>
        <w:ind w:firstLine="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On top of that, evidence-based research demonstrates </w:t>
      </w:r>
      <w:r w:rsidDel="00000000" w:rsidR="00000000" w:rsidRPr="00000000">
        <w:rPr>
          <w:rFonts w:ascii="Times New Roman" w:cs="Times New Roman" w:eastAsia="Times New Roman" w:hAnsi="Times New Roman"/>
          <w:sz w:val="24"/>
          <w:szCs w:val="24"/>
          <w:rtl w:val="0"/>
        </w:rPr>
        <w:t xml:space="preserve">children living in poor innercity neighborhoods document extremely high rates of exposure to trauma (70-100%) (Dempsey, Overstreet, &amp; Moely, 2000</w:t>
      </w:r>
      <w:r w:rsidDel="00000000" w:rsidR="00000000" w:rsidRPr="00000000">
        <w:rPr>
          <w:rFonts w:ascii="Times New Roman" w:cs="Times New Roman" w:eastAsia="Times New Roman" w:hAnsi="Times New Roman"/>
          <w:color w:val="333333"/>
          <w:sz w:val="24"/>
          <w:szCs w:val="24"/>
          <w:rtl w:val="0"/>
        </w:rPr>
        <w:t xml:space="preserve">). Trauma is defined as an event that, once experienced or witnessed, can be physically or emotionally harmful to an individual (Opara et al. 2020). According to the National Center for Children in Poverty in their 2007 and 2008 reports, 83% of inner-city youth report at least one traumatic event. The consequences are severe, as research conducted in 2008 found that between 24% and 34% of children exposed to urban community violence will develop full PTSD</w:t>
      </w:r>
      <w:r w:rsidDel="00000000" w:rsidR="00000000" w:rsidRPr="00000000">
        <w:rPr>
          <w:rFonts w:ascii="Times New Roman" w:cs="Times New Roman" w:eastAsia="Times New Roman" w:hAnsi="Times New Roman"/>
          <w:sz w:val="24"/>
          <w:szCs w:val="24"/>
          <w:rtl w:val="0"/>
        </w:rPr>
        <w:t xml:space="preserve"> (Wethington et al., 2008)</w:t>
      </w:r>
      <w:r w:rsidDel="00000000" w:rsidR="00000000" w:rsidRPr="00000000">
        <w:rPr>
          <w:rFonts w:ascii="Times New Roman" w:cs="Times New Roman" w:eastAsia="Times New Roman" w:hAnsi="Times New Roman"/>
          <w:color w:val="333333"/>
          <w:sz w:val="24"/>
          <w:szCs w:val="24"/>
          <w:rtl w:val="0"/>
        </w:rPr>
        <w:t xml:space="preserve">. Groves, in a 2002 study, found that 1 out of every 10 children under the age of six living in a major American city reports witnessing a shooting or stabbing (Groves, 2002). This data tells the story of real people and children who haven't even started elementary school, who would have already witnessed life-threatening violence, and this is the daily reality for youth in low-income communities.</w:t>
      </w:r>
    </w:p>
    <w:p w:rsidR="00000000" w:rsidDel="00000000" w:rsidP="00000000" w:rsidRDefault="00000000" w:rsidRPr="00000000" w14:paraId="00000024">
      <w:pPr>
        <w:spacing w:after="120" w:before="120" w:line="480" w:lineRule="auto"/>
        <w:ind w:firstLine="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Dr. Immordino-Yang at USC's Brain and Creativity Institute found that growing up in poverty changes your brain structure. As Dr. Immordino-Yang notes, ''You don’t need to see anyone take a bullet to the chest to be affected by violence.” These reductions occur specifically in three critical areas: the hippocampus, which is involved in memory; the frontal lobe, which handles decision-making, problem-solving, impulse control, judgment, and social and emotional behavior; and the temporal lobe, which is involved in language, visual and auditory processing, and self-awareness. Working together, these brain areas are crucial for following instructions, paying attention, and overall learning, and are keys to academic success (JAMA Pediatrics, 2015; Nature Neuroscience, 2015). This chronic level of stress in violent neighborhoods impairs the ability to set goals, regulate emotions, which are critical skills for long-term success.</w:t>
      </w:r>
    </w:p>
    <w:p w:rsidR="00000000" w:rsidDel="00000000" w:rsidP="00000000" w:rsidRDefault="00000000" w:rsidRPr="00000000" w14:paraId="00000025">
      <w:pPr>
        <w:spacing w:after="120" w:before="120" w:line="480" w:lineRule="auto"/>
        <w:ind w:firstLine="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Some historical responses, such as practices and programs attempting to address the issue, include the </w:t>
      </w:r>
      <w:r w:rsidDel="00000000" w:rsidR="00000000" w:rsidRPr="00000000">
        <w:rPr>
          <w:rFonts w:ascii="Times New Roman" w:cs="Times New Roman" w:eastAsia="Times New Roman" w:hAnsi="Times New Roman"/>
          <w:i w:val="1"/>
          <w:iCs w:val="1"/>
          <w:color w:val="333333"/>
          <w:sz w:val="24"/>
          <w:szCs w:val="24"/>
          <w:rtl w:val="0"/>
        </w:rPr>
        <w:t xml:space="preserve">Los Angeles City’s GRYD (Gang Reduction &amp; Youth Development) </w:t>
      </w:r>
      <w:r w:rsidDel="00000000" w:rsidR="00000000" w:rsidRPr="00000000">
        <w:rPr>
          <w:rFonts w:ascii="Times New Roman" w:cs="Times New Roman" w:eastAsia="Times New Roman" w:hAnsi="Times New Roman"/>
          <w:color w:val="333333"/>
          <w:sz w:val="24"/>
          <w:szCs w:val="24"/>
          <w:rtl w:val="0"/>
        </w:rPr>
        <w:t xml:space="preserve">program. Rooted in a prevention and intervention model, GRYD provides mentorship, mental health services, family case management, and “credible messenger” interventions. While this program is highly recognized for its strengths in emphasizing a trauma-informed care model, it also faces weaknesses such as high caseloads that reduce consistency, and selective implementation to specific “GRYD zones” (not LA County-wide). GRYD also relies on historic gang-data mapping, which reinforces the geographic inequities created by redlining, making its impact constrained by scale.</w:t>
      </w:r>
    </w:p>
    <w:p w:rsidR="00000000" w:rsidDel="00000000" w:rsidP="00000000" w:rsidRDefault="00000000" w:rsidRPr="00000000" w14:paraId="00000026">
      <w:pPr>
        <w:spacing w:after="120" w:before="120" w:line="480" w:lineRule="auto"/>
        <w:ind w:firstLine="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Furthermore, in 2020, LA County adopted the </w:t>
      </w:r>
      <w:r w:rsidDel="00000000" w:rsidR="00000000" w:rsidRPr="00000000">
        <w:rPr>
          <w:rFonts w:ascii="Times New Roman" w:cs="Times New Roman" w:eastAsia="Times New Roman" w:hAnsi="Times New Roman"/>
          <w:i w:val="1"/>
          <w:iCs w:val="1"/>
          <w:color w:val="333333"/>
          <w:sz w:val="24"/>
          <w:szCs w:val="24"/>
          <w:rtl w:val="0"/>
        </w:rPr>
        <w:t xml:space="preserve">Care First, Jails Last </w:t>
      </w:r>
      <w:r w:rsidDel="00000000" w:rsidR="00000000" w:rsidRPr="00000000">
        <w:rPr>
          <w:rFonts w:ascii="Times New Roman" w:cs="Times New Roman" w:eastAsia="Times New Roman" w:hAnsi="Times New Roman"/>
          <w:color w:val="333333"/>
          <w:sz w:val="24"/>
          <w:szCs w:val="24"/>
          <w:rtl w:val="0"/>
        </w:rPr>
        <w:t xml:space="preserve">policy plan, with the goal of reimaging public safety by prioritizing community-based treatment as alternatives to incarceration. This plan includes reducing reliance on cash bail, expanding harm reduction programs, increasing access to mental health services, and providing transitional housing to individuals upon their release from jail. While this plan has had an impact by investing in community care rather than punishment, it continues to face political resistance, inconsistent funding, and implementation gaps, which limit its effectiveness in addressing the needs of youth. Thus, this policy signals a shift toward addressing the historical roots of structural inequalities.</w:t>
      </w:r>
    </w:p>
    <w:p w:rsidR="00000000" w:rsidDel="00000000" w:rsidP="00000000" w:rsidRDefault="00000000" w:rsidRPr="00000000" w14:paraId="00000027">
      <w:pPr>
        <w:spacing w:after="120" w:before="120" w:line="480" w:lineRule="auto"/>
        <w:ind w:firstLine="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addition, Los Angeles County launched the </w:t>
      </w:r>
      <w:r w:rsidDel="00000000" w:rsidR="00000000" w:rsidRPr="00000000">
        <w:rPr>
          <w:rFonts w:ascii="Times New Roman" w:cs="Times New Roman" w:eastAsia="Times New Roman" w:hAnsi="Times New Roman"/>
          <w:i w:val="1"/>
          <w:iCs w:val="1"/>
          <w:color w:val="333333"/>
          <w:sz w:val="24"/>
          <w:szCs w:val="24"/>
          <w:rtl w:val="0"/>
        </w:rPr>
        <w:t xml:space="preserve">Trauma Prevention Initiative</w:t>
      </w:r>
      <w:r w:rsidDel="00000000" w:rsidR="00000000" w:rsidRPr="00000000">
        <w:rPr>
          <w:rFonts w:ascii="Times New Roman" w:cs="Times New Roman" w:eastAsia="Times New Roman" w:hAnsi="Times New Roman"/>
          <w:color w:val="333333"/>
          <w:sz w:val="24"/>
          <w:szCs w:val="24"/>
          <w:rtl w:val="0"/>
        </w:rPr>
        <w:t xml:space="preserve"> in 2015, the most comprehensive response to violence and trauma in our target communities, which uses a public health approach operating in the four highest disparity communities: Westmont/West Athens, Willowbrook, Florence-Firestone, and Unincorporated Compton. It has three components: intervention, through hospital-based programs and street outreach; capacity building through training grassroots organizations; and prevention through community engagement and childhood services.</w:t>
      </w:r>
    </w:p>
    <w:p w:rsidR="00000000" w:rsidDel="00000000" w:rsidP="00000000" w:rsidRDefault="00000000" w:rsidRPr="00000000" w14:paraId="00000028">
      <w:pPr>
        <w:spacing w:after="120" w:before="120" w:line="480" w:lineRule="auto"/>
        <w:ind w:firstLine="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Its greatest strength is the collaboration between departments across the county, including the Mental Health Department, Sheriff's Department, Parks and Recreation, Child Welfare, and others. The initiative acknowledges that violence causes trauma, this trauma, in turn, is intergenerational, and that communities need to focus on this aspect. Coordination with schools and child welfare can be improved by mandating trauma-informed practices in schools. Kids are not learning how to handle emotions early on, as backed by research, the brain is already impacted starting in infancy, robust early childhood intervention is needed. It can focus on addressing economic root causes though it provides job training, it doesn't create large-scale economic opportunity, guarantee housing stability, or address the poverty that research shows is fundamental to brain development. </w:t>
      </w:r>
    </w:p>
    <w:p w:rsidR="00000000" w:rsidDel="00000000" w:rsidP="00000000" w:rsidRDefault="00000000" w:rsidRPr="00000000" w14:paraId="0000002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RECOMMENDATIONS</w:t>
      </w:r>
    </w:p>
    <w:p w:rsidR="00000000" w:rsidDel="00000000" w:rsidP="00000000" w:rsidRDefault="00000000" w:rsidRPr="00000000" w14:paraId="0000002A">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following recommendations build upon established Los Angeles County systems, including the Gang Reduction and Youth Development (GRYD) program, Youth Diversion and Development (YDD), the Los Angeles County Department of Mental Health (DMH), the Los Angeles Homeless Services Authority (LAHSA), and the Alternatives to Incarceration (ATI) Initiative. All three recommendations align with the ATI Intercept Roadmap (Intercept 0 and Intercept 1), which emphasizes trauma-informed, community-based care at the earliest point of contact (Alternatives to Incarceration Work Group, 2019). Each recommendation directly targets early-stage adolescent gang involvement.</w:t>
      </w: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Micro-Level Recommendation</w:t>
      </w: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Trauma-Informed Family Therapy in Family Shelters</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Adolescents experiencing homelessness or severe economic instability often exhibit trauma-related behaviors, hypervigilance, emotional dysregulation, irritability, and detachment that elevate vulnerability to gang involvement. Family shelters supported by LAHSA and DMH offer limited mental health resources; however, these services are not consistently family-centered or trauma-informed (Los Angeles Homeless Services Authority, n.d.; Los Angeles County Department of Mental Health, n.d.). This recommendation strengthens and expands existing partnerships between the Department of Mental Health and the Los Angeles Homeless Services Authority (LAHSA) so that all family shelters serving adolescents offer trauma-informed, family-focused clinical services. This model aligns with the ATI Intercept Roadmap’s call for “decentralized teams to coordinate behavioral health needs before booking, prioritizing warm handoffs and early intervention” (Alternatives to Incarceration Work Group, 2019, p. 6).</w:t>
      </w:r>
    </w:p>
    <w:p w:rsidR="00000000" w:rsidDel="00000000" w:rsidP="00000000" w:rsidRDefault="00000000" w:rsidRPr="00000000" w14:paraId="0000002E">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Key Components</w:t>
      </w:r>
    </w:p>
    <w:p w:rsidR="00000000" w:rsidDel="00000000" w:rsidP="00000000" w:rsidRDefault="00000000" w:rsidRPr="00000000" w14:paraId="0000002F">
      <w:pPr>
        <w:numPr>
          <w:ilvl w:val="0"/>
          <w:numId w:val="2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 and Family Functioning Screening</w:t>
      </w:r>
    </w:p>
    <w:p w:rsidR="00000000" w:rsidDel="00000000" w:rsidP="00000000" w:rsidRDefault="00000000" w:rsidRPr="00000000" w14:paraId="00000030">
      <w:pPr>
        <w:numPr>
          <w:ilvl w:val="0"/>
          <w:numId w:val="1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Shelter clinicians conduct standardized screenings for trauma exposure, emotional and behavioral symptoms, caregiver stress and resilience, and family safety and communication patterns. This ensures early identification of trauma symptoms and family conflict before they escalate into school disengagement, behavioral crises, or gang involvement.</w:t>
      </w:r>
    </w:p>
    <w:p w:rsidR="00000000" w:rsidDel="00000000" w:rsidP="00000000" w:rsidRDefault="00000000" w:rsidRPr="00000000" w14:paraId="00000031">
      <w:pPr>
        <w:numPr>
          <w:ilvl w:val="0"/>
          <w:numId w:val="2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Short-Term Trauma-Informed Family Therapy</w:t>
      </w:r>
    </w:p>
    <w:p w:rsidR="00000000" w:rsidDel="00000000" w:rsidP="00000000" w:rsidRDefault="00000000" w:rsidRPr="00000000" w14:paraId="00000032">
      <w:pPr>
        <w:numPr>
          <w:ilvl w:val="0"/>
          <w:numId w:val="1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ATI recommends expanding family-based and reunification models to stabilize youth (Alternatives to Incarceration Work Group, 2019, p. 6). Clinicians embedded in shelters would offer 6–12 weeks of:</w:t>
      </w:r>
    </w:p>
    <w:p w:rsidR="00000000" w:rsidDel="00000000" w:rsidP="00000000" w:rsidRDefault="00000000" w:rsidRPr="00000000" w14:paraId="00000033">
      <w:pPr>
        <w:numPr>
          <w:ilvl w:val="0"/>
          <w:numId w:val="6"/>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de-escalation and communication coaching</w:t>
      </w:r>
    </w:p>
    <w:p w:rsidR="00000000" w:rsidDel="00000000" w:rsidP="00000000" w:rsidRDefault="00000000" w:rsidRPr="00000000" w14:paraId="00000034">
      <w:pPr>
        <w:numPr>
          <w:ilvl w:val="0"/>
          <w:numId w:val="6"/>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psychoeducation on trauma responses (“survival mode vs. misbehavior”)</w:t>
      </w:r>
    </w:p>
    <w:p w:rsidR="00000000" w:rsidDel="00000000" w:rsidP="00000000" w:rsidRDefault="00000000" w:rsidRPr="00000000" w14:paraId="00000035">
      <w:pPr>
        <w:numPr>
          <w:ilvl w:val="0"/>
          <w:numId w:val="6"/>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regulation skills for youth and caregivers</w:t>
      </w:r>
    </w:p>
    <w:p w:rsidR="00000000" w:rsidDel="00000000" w:rsidP="00000000" w:rsidRDefault="00000000" w:rsidRPr="00000000" w14:paraId="00000036">
      <w:pPr>
        <w:numPr>
          <w:ilvl w:val="0"/>
          <w:numId w:val="6"/>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strengthening attachment, routine, and consistent caregiving</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improves relational safety within the family, one of the strongest protective factors against gang involvement.</w:t>
      </w:r>
    </w:p>
    <w:p w:rsidR="00000000" w:rsidDel="00000000" w:rsidP="00000000" w:rsidRDefault="00000000" w:rsidRPr="00000000" w14:paraId="00000038">
      <w:pPr>
        <w:numPr>
          <w:ilvl w:val="0"/>
          <w:numId w:val="2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Handoffs to Credible Messengers and GRYD Workers</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with ATI’s multidisciplinary coordination framework (Alternatives to Incarceration Work Group, 2019), clinicians would connect youth to:</w:t>
      </w:r>
    </w:p>
    <w:p w:rsidR="00000000" w:rsidDel="00000000" w:rsidP="00000000" w:rsidRDefault="00000000" w:rsidRPr="00000000" w14:paraId="0000003A">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GRYD intervention staff (City of Los Angeles Mayor’s Office, n.d.)</w:t>
      </w:r>
    </w:p>
    <w:p w:rsidR="00000000" w:rsidDel="00000000" w:rsidP="00000000" w:rsidRDefault="00000000" w:rsidRPr="00000000" w14:paraId="0000003B">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credible messengers</w:t>
      </w:r>
    </w:p>
    <w:p w:rsidR="00000000" w:rsidDel="00000000" w:rsidP="00000000" w:rsidRDefault="00000000" w:rsidRPr="00000000" w14:paraId="0000003C">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Diversion and Development (YDD) case managers</w:t>
      </w:r>
    </w:p>
    <w:p w:rsidR="00000000" w:rsidDel="00000000" w:rsidP="00000000" w:rsidRDefault="00000000" w:rsidRPr="00000000" w14:paraId="0000003D">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school-based counselors</w:t>
      </w:r>
    </w:p>
    <w:p w:rsidR="00000000" w:rsidDel="00000000" w:rsidP="00000000" w:rsidRDefault="00000000" w:rsidRPr="00000000" w14:paraId="0000003E">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mental-health providers</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continuity of care across systems and prevents adolescents from navigating complex crises alone.</w:t>
      </w:r>
    </w:p>
    <w:p w:rsidR="00000000" w:rsidDel="00000000" w:rsidP="00000000" w:rsidRDefault="00000000" w:rsidRPr="00000000" w14:paraId="0000004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Mezzo-Level Recommendation</w:t>
      </w:r>
    </w:p>
    <w:p w:rsidR="00000000" w:rsidDel="00000000" w:rsidP="00000000" w:rsidRDefault="00000000" w:rsidRPr="00000000" w14:paraId="0000004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Family Resilience Hubs in GRYD Zones</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Family Resilience Hub is a trauma-informed, community-based center located in GRYD zones that co-locates youth development programs, mental health services, credible messenger intervention, and benefits navigation in one coordinated space. This model builds upon existing Los Angeles County structures, including Care First Community Investment (CFCI) hubs, climate resilience hubs, GRYD service centers, and DMH-funded community mental health programs (Los Angeles County Chief Executive Office, 2023). By centralizing supports that families usually must access separately, Family Resilience Hubs foster protective factors belonging, stability, routine, and prosocial identity, which directly counter drivers of gang recruitment. The ATI Intercept Roadmap explicitly recommends creating “decentralized, coordinated service hubs” with trauma-informed supports (Alternatives to Incarceration Work Group, 2019, p. 6), making this model both feasible and aligned with existing County frameworks.</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Components</w:t>
      </w:r>
    </w:p>
    <w:p w:rsidR="00000000" w:rsidDel="00000000" w:rsidP="00000000" w:rsidRDefault="00000000" w:rsidRPr="00000000" w14:paraId="00000044">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Co-Located Youth and Family Services</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hub would provide:</w:t>
      </w:r>
    </w:p>
    <w:p w:rsidR="00000000" w:rsidDel="00000000" w:rsidP="00000000" w:rsidRDefault="00000000" w:rsidRPr="00000000" w14:paraId="00000046">
      <w:pPr>
        <w:numPr>
          <w:ilvl w:val="0"/>
          <w:numId w:val="14"/>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development programs (tutoring, mentoring, sports, arts, job readiness)</w:t>
      </w:r>
    </w:p>
    <w:p w:rsidR="00000000" w:rsidDel="00000000" w:rsidP="00000000" w:rsidRDefault="00000000" w:rsidRPr="00000000" w14:paraId="00000047">
      <w:pPr>
        <w:numPr>
          <w:ilvl w:val="0"/>
          <w:numId w:val="14"/>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mental-health services (on-site clinicians, counseling, crisis support)</w:t>
      </w:r>
    </w:p>
    <w:p w:rsidR="00000000" w:rsidDel="00000000" w:rsidP="00000000" w:rsidRDefault="00000000" w:rsidRPr="00000000" w14:paraId="00000048">
      <w:pPr>
        <w:numPr>
          <w:ilvl w:val="0"/>
          <w:numId w:val="14"/>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navigation (Section 8, CalWORKs, General Relief, Medi-Cal, SNAP)</w:t>
      </w:r>
    </w:p>
    <w:p w:rsidR="00000000" w:rsidDel="00000000" w:rsidP="00000000" w:rsidRDefault="00000000" w:rsidRPr="00000000" w14:paraId="00000049">
      <w:pPr>
        <w:numPr>
          <w:ilvl w:val="0"/>
          <w:numId w:val="14"/>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gang intervention staff (GRYD workers, credible messengers)</w:t>
      </w:r>
    </w:p>
    <w:p w:rsidR="00000000" w:rsidDel="00000000" w:rsidP="00000000" w:rsidRDefault="00000000" w:rsidRPr="00000000" w14:paraId="0000004A">
      <w:pPr>
        <w:numPr>
          <w:ilvl w:val="0"/>
          <w:numId w:val="14"/>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support groups (trauma education, stress reduction, mutual aid networks)</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coordinated services address trauma, instability, lack of belonging, and limited opportunities that push youth toward gang affiliation.</w:t>
      </w:r>
    </w:p>
    <w:p w:rsidR="00000000" w:rsidDel="00000000" w:rsidP="00000000" w:rsidRDefault="00000000" w:rsidRPr="00000000" w14:paraId="0000004C">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Feasibility and Alignment with County Systems</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leverages:</w:t>
      </w:r>
    </w:p>
    <w:p w:rsidR="00000000" w:rsidDel="00000000" w:rsidP="00000000" w:rsidRDefault="00000000" w:rsidRPr="00000000" w14:paraId="0000004E">
      <w:pPr>
        <w:numPr>
          <w:ilvl w:val="0"/>
          <w:numId w:val="4"/>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GRYD community centers</w:t>
      </w:r>
    </w:p>
    <w:p w:rsidR="00000000" w:rsidDel="00000000" w:rsidP="00000000" w:rsidRDefault="00000000" w:rsidRPr="00000000" w14:paraId="0000004F">
      <w:pPr>
        <w:numPr>
          <w:ilvl w:val="0"/>
          <w:numId w:val="4"/>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DMH community mental-health allocations</w:t>
      </w:r>
    </w:p>
    <w:p w:rsidR="00000000" w:rsidDel="00000000" w:rsidP="00000000" w:rsidRDefault="00000000" w:rsidRPr="00000000" w14:paraId="00000050">
      <w:pPr>
        <w:numPr>
          <w:ilvl w:val="0"/>
          <w:numId w:val="4"/>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CFCI (Measure J) funding</w:t>
      </w:r>
    </w:p>
    <w:p w:rsidR="00000000" w:rsidDel="00000000" w:rsidP="00000000" w:rsidRDefault="00000000" w:rsidRPr="00000000" w14:paraId="00000051">
      <w:pPr>
        <w:numPr>
          <w:ilvl w:val="0"/>
          <w:numId w:val="4"/>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climate resilience hub infrastructure has already been implemented in parks and libraries</w:t>
      </w:r>
    </w:p>
    <w:p w:rsidR="00000000" w:rsidDel="00000000" w:rsidP="00000000" w:rsidRDefault="00000000" w:rsidRPr="00000000" w14:paraId="00000052">
      <w:pPr>
        <w:numPr>
          <w:ilvl w:val="0"/>
          <w:numId w:val="4"/>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YDD’s multidisciplinary coordination model</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infrastructure already exists, Family Resilience Hubs require expansion, not creation from scratch.</w:t>
      </w:r>
    </w:p>
    <w:p w:rsidR="00000000" w:rsidDel="00000000" w:rsidP="00000000" w:rsidRDefault="00000000" w:rsidRPr="00000000" w14:paraId="00000054">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on Early-Stage Gang Involvement</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Resilience Hubs provide the same experiences gangs exploit: identity, routine, belonging, mentorship, but through safe, prosocial, trauma-informed structures. This reduces youth contact with gang-associated peers and offers alternative sources of empowerment.</w:t>
      </w:r>
    </w:p>
    <w:p w:rsidR="00000000" w:rsidDel="00000000" w:rsidP="00000000" w:rsidRDefault="00000000" w:rsidRPr="00000000" w14:paraId="0000005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Macro-Level Recommendations</w:t>
      </w:r>
    </w:p>
    <w:p w:rsidR="00000000" w:rsidDel="00000000" w:rsidP="00000000" w:rsidRDefault="00000000" w:rsidRPr="00000000" w14:paraId="00000057">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Reallocate Funding Through the CFCI Framework</w:t>
      </w:r>
    </w:p>
    <w:p w:rsidR="00000000" w:rsidDel="00000000" w:rsidP="00000000" w:rsidRDefault="00000000" w:rsidRPr="00000000" w14:paraId="00000058">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ATI Progress Report emphasizes redirecting funds “away from punitive systems and toward community-based, trauma-informed supports” (Los Angeles County Chief Executive Office, 2023, pp. 1–2). Through CFCI, Youth Diversion and Development (YDD), and DMH allocations, Los Angeles County should:</w:t>
      </w:r>
    </w:p>
    <w:p w:rsidR="00000000" w:rsidDel="00000000" w:rsidP="00000000" w:rsidRDefault="00000000" w:rsidRPr="00000000" w14:paraId="00000059">
      <w:pPr>
        <w:numPr>
          <w:ilvl w:val="0"/>
          <w:numId w:val="2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trauma-informed staffing in shelters</w:t>
      </w:r>
    </w:p>
    <w:p w:rsidR="00000000" w:rsidDel="00000000" w:rsidP="00000000" w:rsidRDefault="00000000" w:rsidRPr="00000000" w14:paraId="0000005A">
      <w:pPr>
        <w:numPr>
          <w:ilvl w:val="0"/>
          <w:numId w:val="2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GRYD centers into Family Resilience Hubs</w:t>
      </w:r>
    </w:p>
    <w:p w:rsidR="00000000" w:rsidDel="00000000" w:rsidP="00000000" w:rsidRDefault="00000000" w:rsidRPr="00000000" w14:paraId="0000005B">
      <w:pPr>
        <w:numPr>
          <w:ilvl w:val="0"/>
          <w:numId w:val="2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 in long-term youth programming and employment pipelines</w:t>
      </w:r>
    </w:p>
    <w:p w:rsidR="00000000" w:rsidDel="00000000" w:rsidP="00000000" w:rsidRDefault="00000000" w:rsidRPr="00000000" w14:paraId="0000005C">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Cross-System Coordination Among Schools, Shelters, GRYD, and County Departments</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ATI stresses the need for interagency coordination across DMH, DHS, Probation, schools, and community organizations (Alternatives to Incarceration Work Group, 2019, p. 3). The County should implement:</w:t>
      </w:r>
    </w:p>
    <w:p w:rsidR="00000000" w:rsidDel="00000000" w:rsidP="00000000" w:rsidRDefault="00000000" w:rsidRPr="00000000" w14:paraId="0000005E">
      <w:pPr>
        <w:numPr>
          <w:ilvl w:val="0"/>
          <w:numId w:val="20"/>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shared-release protocols</w:t>
      </w:r>
    </w:p>
    <w:p w:rsidR="00000000" w:rsidDel="00000000" w:rsidP="00000000" w:rsidRDefault="00000000" w:rsidRPr="00000000" w14:paraId="0000005F">
      <w:pPr>
        <w:numPr>
          <w:ilvl w:val="0"/>
          <w:numId w:val="20"/>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multidisciplinary case conferences</w:t>
      </w:r>
    </w:p>
    <w:p w:rsidR="00000000" w:rsidDel="00000000" w:rsidP="00000000" w:rsidRDefault="00000000" w:rsidRPr="00000000" w14:paraId="00000060">
      <w:pPr>
        <w:numPr>
          <w:ilvl w:val="0"/>
          <w:numId w:val="20"/>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coordinated service plans</w:t>
      </w:r>
    </w:p>
    <w:p w:rsidR="00000000" w:rsidDel="00000000" w:rsidP="00000000" w:rsidRDefault="00000000" w:rsidRPr="00000000" w14:paraId="00000061">
      <w:pPr>
        <w:numPr>
          <w:ilvl w:val="0"/>
          <w:numId w:val="20"/>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referral pathways</w:t>
      </w:r>
    </w:p>
    <w:p w:rsidR="00000000" w:rsidDel="00000000" w:rsidP="00000000" w:rsidRDefault="00000000" w:rsidRPr="00000000" w14:paraId="00000062">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Accountability for Youth Employment and Family Stability</w:t>
      </w:r>
    </w:p>
    <w:p w:rsidR="00000000" w:rsidDel="00000000" w:rsidP="00000000" w:rsidRDefault="00000000" w:rsidRPr="00000000" w14:paraId="00000063">
      <w:pPr>
        <w:numPr>
          <w:ilvl w:val="0"/>
          <w:numId w:val="1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ATI Intercept Roadmap recommends incentivizing employer partnerships to support individuals impacted by the system (Alternatives to Incarceration Work Group, 2019, p. 8). Corporations receiving County contracts should:</w:t>
      </w:r>
    </w:p>
    <w:p w:rsidR="00000000" w:rsidDel="00000000" w:rsidP="00000000" w:rsidRDefault="00000000" w:rsidRPr="00000000" w14:paraId="00000064">
      <w:pPr>
        <w:numPr>
          <w:ilvl w:val="0"/>
          <w:numId w:val="7"/>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paid internships for youth in GRYD zones</w:t>
      </w:r>
    </w:p>
    <w:p w:rsidR="00000000" w:rsidDel="00000000" w:rsidP="00000000" w:rsidRDefault="00000000" w:rsidRPr="00000000" w14:paraId="00000065">
      <w:pPr>
        <w:numPr>
          <w:ilvl w:val="0"/>
          <w:numId w:val="7"/>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 financially to Family Resilience Hub programming</w:t>
      </w:r>
    </w:p>
    <w:p w:rsidR="00000000" w:rsidDel="00000000" w:rsidP="00000000" w:rsidRDefault="00000000" w:rsidRPr="00000000" w14:paraId="00000066">
      <w:pPr>
        <w:numPr>
          <w:ilvl w:val="0"/>
          <w:numId w:val="7"/>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hiring pipelines for youth at risk of gang involvement</w:t>
      </w:r>
    </w:p>
    <w:p w:rsidR="00000000" w:rsidDel="00000000" w:rsidP="00000000" w:rsidRDefault="00000000" w:rsidRPr="00000000" w14:paraId="00000067">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Multi-Year Funding Commitments for Trauma-Informed Practices</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ATI Progress Report recommends adopting multi-year funding cycles to preserve program integrity and staffing consistency (Los Angeles County Chief Executive Office, 2023, p. 8). Multi-year funding supports program stability and improves long-term outcomes.</w:t>
      </w:r>
    </w:p>
    <w:p w:rsidR="00000000" w:rsidDel="00000000" w:rsidP="00000000" w:rsidRDefault="00000000" w:rsidRPr="00000000" w14:paraId="0000006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Cost–Benefit Analysis</w:t>
      </w:r>
    </w:p>
    <w:p w:rsidR="00000000" w:rsidDel="00000000" w:rsidP="00000000" w:rsidRDefault="00000000" w:rsidRPr="00000000" w14:paraId="0000006A">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trauma-informed family therapy in shelters and establishing Family Resilience Hubs in GRYD zones carries short-term costs. However, extensive evidence from Los Angeles County and national research shows substantial long-term savings.</w:t>
      </w:r>
    </w:p>
    <w:p w:rsidR="00000000" w:rsidDel="00000000" w:rsidP="00000000" w:rsidRDefault="00000000" w:rsidRPr="00000000" w14:paraId="0000006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Youth Incarceration Costs</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RAND’s diversion study found that 61% of individuals in the jail mental-health population are appropriate for community-based diversion and that diversion “may save costs without compromising public safety” (Holliday et al., 2020).</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youth incarceration costs exceeding $300,000 per year, prevention becomes fiscally essential.</w:t>
      </w:r>
    </w:p>
    <w:p w:rsidR="00000000" w:rsidDel="00000000" w:rsidP="00000000" w:rsidRDefault="00000000" w:rsidRPr="00000000" w14:paraId="0000006E">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Emergency Service Use and Shelter Turnover</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ATI Progress Report documents reductions in crisis contacts, hospitalizations, ER use, reincarceration, and shelter cycling under trauma-informed, community-based models (Los Angeles County Chief Executive Office, 2023). These reductions generate significant fiscal savings.</w:t>
      </w:r>
    </w:p>
    <w:p w:rsidR="00000000" w:rsidDel="00000000" w:rsidP="00000000" w:rsidRDefault="00000000" w:rsidRPr="00000000" w14:paraId="00000070">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Higher Educational Attainment → Higher Lifetime Earnings</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Lifetim</w:t>
        <w:tab/>
        <w:t xml:space="preserve">e earnings increase substantially with education:</w:t>
      </w:r>
    </w:p>
    <w:p w:rsidR="00000000" w:rsidDel="00000000" w:rsidP="00000000" w:rsidRDefault="00000000" w:rsidRPr="00000000" w14:paraId="00000072">
      <w:pPr>
        <w:numPr>
          <w:ilvl w:val="0"/>
          <w:numId w:val="15"/>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with a bachelor’s degree earn $900,000 more than high-school graduates; women earn $630,000 more (Social Security Administration, 2015).</w:t>
      </w:r>
    </w:p>
    <w:p w:rsidR="00000000" w:rsidDel="00000000" w:rsidP="00000000" w:rsidRDefault="00000000" w:rsidRPr="00000000" w14:paraId="00000073">
      <w:pPr>
        <w:numPr>
          <w:ilvl w:val="0"/>
          <w:numId w:val="15"/>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SSA data show gains of $1.13M (men) and $792k (women) (Tamborini et al., 2015).</w:t>
      </w:r>
    </w:p>
    <w:p w:rsidR="00000000" w:rsidDel="00000000" w:rsidP="00000000" w:rsidRDefault="00000000" w:rsidRPr="00000000" w14:paraId="00000074">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Poverty and Use of Public Assistance</w:t>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Education Pays 2023:</w:t>
      </w:r>
    </w:p>
    <w:p w:rsidR="00000000" w:rsidDel="00000000" w:rsidP="00000000" w:rsidRDefault="00000000" w:rsidRPr="00000000" w14:paraId="00000076">
      <w:pPr>
        <w:numPr>
          <w:ilvl w:val="0"/>
          <w:numId w:val="1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of adults with a BA+ live in poverty</w:t>
      </w:r>
    </w:p>
    <w:p w:rsidR="00000000" w:rsidDel="00000000" w:rsidP="00000000" w:rsidRDefault="00000000" w:rsidRPr="00000000" w14:paraId="00000077">
      <w:pPr>
        <w:numPr>
          <w:ilvl w:val="0"/>
          <w:numId w:val="1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with a high-school diploma</w:t>
      </w:r>
    </w:p>
    <w:p w:rsidR="00000000" w:rsidDel="00000000" w:rsidP="00000000" w:rsidRDefault="00000000" w:rsidRPr="00000000" w14:paraId="00000078">
      <w:pPr>
        <w:numPr>
          <w:ilvl w:val="0"/>
          <w:numId w:val="1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without a diploma</w:t>
      </w:r>
    </w:p>
    <w:p w:rsidR="00000000" w:rsidDel="00000000" w:rsidP="00000000" w:rsidRDefault="00000000" w:rsidRPr="00000000" w14:paraId="00000079">
      <w:pPr>
        <w:numPr>
          <w:ilvl w:val="0"/>
          <w:numId w:val="1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 participation drops from 27% &gt; 3% as education increases</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Board, 2023)</w:t>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Lower Welfare Recidivism Among Vulnerable Families</w:t>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Longitudinal research shows:</w:t>
      </w:r>
    </w:p>
    <w:p w:rsidR="00000000" w:rsidDel="00000000" w:rsidP="00000000" w:rsidRDefault="00000000" w:rsidRPr="00000000" w14:paraId="0000007D">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Welfare recipients who complete college are significantly less likely to return to welfare (London, 2006).</w:t>
      </w:r>
    </w:p>
    <w:p w:rsidR="00000000" w:rsidDel="00000000" w:rsidP="00000000" w:rsidRDefault="00000000" w:rsidRPr="00000000" w14:paraId="0000007E">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Adolescents from welfare families who finish high school are substantially less likely to rely on welfare as young adults (Coelli et al., 2007).</w:t>
      </w:r>
    </w:p>
    <w:p w:rsidR="00000000" w:rsidDel="00000000" w:rsidP="00000000" w:rsidRDefault="00000000" w:rsidRPr="00000000" w14:paraId="0000007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Conclusion of Cost–Benefit Analysis</w:t>
      </w:r>
    </w:p>
    <w:p w:rsidR="00000000" w:rsidDel="00000000" w:rsidP="00000000" w:rsidRDefault="00000000" w:rsidRPr="00000000" w14:paraId="00000080">
      <w:pPr>
        <w:numPr>
          <w:ilvl w:val="0"/>
          <w:numId w:val="2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proposed interventions offer strong, evidence-based fiscal benefits. Trauma-informed family therapy in shelters and Family Resilience Hubs in GRYD zones reduce justice-system involvement, emergency-service use, and shelter turnover, while increasing youth educational attainment, lifetime earnings, and long-term family stability.</w:t>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 EVALUATION </w:t>
      </w: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following analysis outlines the reasoning behind our recommendations through a projected cost breakdown, and an evaluation of both the positive impacts and anticipated challenges across micro, mezzo, and macro levels. </w:t>
      </w:r>
      <w:r w:rsidDel="00000000" w:rsidR="00000000" w:rsidRPr="00000000">
        <w:rPr>
          <w:rtl w:val="0"/>
        </w:rPr>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Budgeting for Intervention: The Cost of a Single Family Resilience Hub</w:t>
      </w:r>
      <w:r w:rsidDel="00000000" w:rsidR="00000000" w:rsidRPr="00000000">
        <w:rPr>
          <w:rtl w:val="0"/>
        </w:rPr>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must first acknowledge the financial demand for a single Family Resilience Hub. We want to preface that the following breakdown is for a smaller scale hub. </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is the largest part of our budget, securing that we have high quality ran hubs:</w:t>
      </w:r>
    </w:p>
    <w:p w:rsidR="00000000" w:rsidDel="00000000" w:rsidP="00000000" w:rsidRDefault="00000000" w:rsidRPr="00000000" w14:paraId="00000086">
      <w:pPr>
        <w:numPr>
          <w:ilvl w:val="0"/>
          <w:numId w:val="17"/>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 Coordinator (1 full-time): $75,000/yr – Oversees all operations and partnerships.</w:t>
      </w:r>
    </w:p>
    <w:p w:rsidR="00000000" w:rsidDel="00000000" w:rsidP="00000000" w:rsidRDefault="00000000" w:rsidRPr="00000000" w14:paraId="00000087">
      <w:pPr>
        <w:numPr>
          <w:ilvl w:val="0"/>
          <w:numId w:val="19"/>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Licensed Mental Health Clinicians (3 full-time): $75,000/yr x 3 = $225,000/yr – Provide therapy, counseling, and trauma screening.</w:t>
      </w:r>
    </w:p>
    <w:p w:rsidR="00000000" w:rsidDel="00000000" w:rsidP="00000000" w:rsidRDefault="00000000" w:rsidRPr="00000000" w14:paraId="00000088">
      <w:pPr>
        <w:numPr>
          <w:ilvl w:val="0"/>
          <w:numId w:val="26"/>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Case Managers (3 full-time): $65,000 x 3 = $195,000 – Connect families to services, manage cases, and ensure follow-up.</w:t>
      </w:r>
    </w:p>
    <w:p w:rsidR="00000000" w:rsidDel="00000000" w:rsidP="00000000" w:rsidRDefault="00000000" w:rsidRPr="00000000" w14:paraId="00000089">
      <w:pPr>
        <w:numPr>
          <w:ilvl w:val="0"/>
          <w:numId w:val="2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Undergrad &amp; Grade Social Worker Student Mentors/Tutors (5 part-time): </w:t>
      </w:r>
    </w:p>
    <w:p w:rsidR="00000000" w:rsidDel="00000000" w:rsidP="00000000" w:rsidRDefault="00000000" w:rsidRPr="00000000" w14:paraId="0000008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$18,000 x 5 = $90,000 – Support academic success and positive youth engagement.</w:t>
      </w:r>
    </w:p>
    <w:p w:rsidR="00000000" w:rsidDel="00000000" w:rsidP="00000000" w:rsidRDefault="00000000" w:rsidRPr="00000000" w14:paraId="0000008B">
      <w:pPr>
        <w:numPr>
          <w:ilvl w:val="0"/>
          <w:numId w:val="8"/>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Assistants/Admin Support (2 part-time): $25,000 x 2 = $50,000 –  Maintain daily operations.</w:t>
      </w:r>
    </w:p>
    <w:p w:rsidR="00000000" w:rsidDel="00000000" w:rsidP="00000000" w:rsidRDefault="00000000" w:rsidRPr="00000000" w14:paraId="0000008C">
      <w:pPr>
        <w:numPr>
          <w:ilvl w:val="0"/>
          <w:numId w:val="25"/>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Arts &amp; Recreation Coordinator (1 full-time): $30,000 –  Facilitates enrichment and recreational programs.</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costs include facilities, programs, materials, partnerships (GRYD, DMH, LAHSA, YDD), and miscellaneous expenses. </w:t>
      </w:r>
    </w:p>
    <w:p w:rsidR="00000000" w:rsidDel="00000000" w:rsidP="00000000" w:rsidRDefault="00000000" w:rsidRPr="00000000" w14:paraId="0000008E">
      <w:pPr>
        <w:numPr>
          <w:ilvl w:val="0"/>
          <w:numId w:val="1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Facilities: $40,000 for rent and utilities.</w:t>
      </w:r>
    </w:p>
    <w:p w:rsidR="00000000" w:rsidDel="00000000" w:rsidP="00000000" w:rsidRDefault="00000000" w:rsidRPr="00000000" w14:paraId="0000008F">
      <w:pPr>
        <w:numPr>
          <w:ilvl w:val="0"/>
          <w:numId w:val="1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Programs/Services: $40,000 for tutoring, mentoring, arts, and counseling.</w:t>
      </w:r>
    </w:p>
    <w:p w:rsidR="00000000" w:rsidDel="00000000" w:rsidP="00000000" w:rsidRDefault="00000000" w:rsidRPr="00000000" w14:paraId="00000090">
      <w:pPr>
        <w:numPr>
          <w:ilvl w:val="0"/>
          <w:numId w:val="1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Materials/Supplies: $25,000 for educational and recreational resources.</w:t>
      </w:r>
    </w:p>
    <w:p w:rsidR="00000000" w:rsidDel="00000000" w:rsidP="00000000" w:rsidRDefault="00000000" w:rsidRPr="00000000" w14:paraId="00000091">
      <w:pPr>
        <w:numPr>
          <w:ilvl w:val="0"/>
          <w:numId w:val="1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Partnerships: $20,000 to support coordination with GRYD, DMH, LAHSA, and YDD.</w:t>
      </w:r>
    </w:p>
    <w:p w:rsidR="00000000" w:rsidDel="00000000" w:rsidP="00000000" w:rsidRDefault="00000000" w:rsidRPr="00000000" w14:paraId="00000092">
      <w:pPr>
        <w:numPr>
          <w:ilvl w:val="0"/>
          <w:numId w:val="1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Miscellaneous: $10,000 for events, transportation, and small emergencies.</w:t>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annual budget of $800,000 is required to run a Family Resilience Hub, enabling the delivery of trauma-informed, family-focused services. </w:t>
      </w:r>
    </w:p>
    <w:p w:rsidR="00000000" w:rsidDel="00000000" w:rsidP="00000000" w:rsidRDefault="00000000" w:rsidRPr="00000000" w14:paraId="0000009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 Positive Outcomes and Potential Downsides </w:t>
      </w:r>
    </w:p>
    <w:p w:rsidR="00000000" w:rsidDel="00000000" w:rsidP="00000000" w:rsidRDefault="00000000" w:rsidRPr="00000000" w14:paraId="00000095">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Micro Level: Strengthening Families Through Trauma-Informed Therapy</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trauma-informed family therapy in family shelters can strengthen family structures because when a parent is informed and trained on how to address trauma their child has gone through, they are better equipped to support their child, which leads to youth relying on their support rather than gangs. However there are challenges such as the cost of hiring enough trauma-informed clinicians, limited shelter capacity, and lack of family engagement due to work schedules, mistrust, or cultural beliefs about counseling. Additionally, cross-system collaboration could be difficult since most agencies work in their own entities because privacy and data-sharing laws </w:t>
      </w:r>
    </w:p>
    <w:p w:rsidR="00000000" w:rsidDel="00000000" w:rsidP="00000000" w:rsidRDefault="00000000" w:rsidRPr="00000000" w14:paraId="00000097">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Mezzo Level: Family Resilience Hubs in GRYD Zones</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proposed hubs could essentially redirect a youth’s need for support from a gang to positive community and social involvement. But challenges do exist like safety concerns for youth traveling to hubs in high-risk areas, the need to respect diverse cultural practices, and potential mistrust from families who may associate GRYD-affiliated hubs with law enforcement or gang intervention. Our Family Resilience Hubs must be culturally responsive and build strong community trust in order to succeed.</w:t>
      </w:r>
    </w:p>
    <w:p w:rsidR="00000000" w:rsidDel="00000000" w:rsidP="00000000" w:rsidRDefault="00000000" w:rsidRPr="00000000" w14:paraId="00000099">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Macro Level: Countywide Trauma-Informed Policy Investments</w:t>
      </w:r>
    </w:p>
    <w:p w:rsidR="00000000" w:rsidDel="00000000" w:rsidP="00000000" w:rsidRDefault="00000000" w:rsidRPr="00000000" w14:paraId="0000009A">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Investing in countywide prevention policies, for programs like our hubs, build stronger, safer communities by expanding trauma-informed services, enhancing collaboration between multiple agencies, creating youth employment, and providing long term support for communities intervention measures like our hubs may limit resources for other essential departments and corporate accountability since employers may not feel equipped to support youth with high levels of trauma, so training will be needed, but this could be seen as time consuming and costly to these employers. Finally, measuring the impact of our recommendation since cross system prevention measures take years to visibly show positive outcomes, one can doubt if our recommendation delivers a clear return of investment.</w:t>
      </w:r>
      <w:r w:rsidDel="00000000" w:rsidR="00000000" w:rsidRPr="00000000">
        <w:rPr>
          <w:rtl w:val="0"/>
        </w:rPr>
      </w:r>
    </w:p>
    <w:p w:rsidR="00000000" w:rsidDel="00000000" w:rsidP="00000000" w:rsidRDefault="00000000" w:rsidRPr="00000000" w14:paraId="0000009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CONCLUSION</w:t>
      </w:r>
    </w:p>
    <w:p w:rsidR="00000000" w:rsidDel="00000000" w:rsidP="00000000" w:rsidRDefault="00000000" w:rsidRPr="00000000" w14:paraId="000000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the cycle of trauma and systematic inequality gang involved youth from impoverished Los Angeles County communities require essential targeted measures such as trauma-informed intervention programs, like our Family Resilience Hubs, that are alternative support systems than gang involvement. By investing in intervention measures, like our hubs, Los Angeles County can break the cycle of intergenerational disadvantages and strengthen familial systems and their surrounding communities. </w:t>
      </w:r>
    </w:p>
    <w:p w:rsidR="00000000" w:rsidDel="00000000" w:rsidP="00000000" w:rsidRDefault="00000000" w:rsidRPr="00000000" w14:paraId="0000009D">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9E">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9F">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A0">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A1">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A2">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A3">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A4">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A5">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A6">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A7">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A8">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A9">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AA">
      <w:pPr>
        <w:spacing w:line="480" w:lineRule="auto"/>
        <w:ind w:left="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AB">
      <w:pPr>
        <w:spacing w:line="480" w:lineRule="auto"/>
        <w:ind w:left="0" w:firstLine="0"/>
        <w:jc w:val="center"/>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Bibliography </w:t>
      </w:r>
    </w:p>
    <w:p w:rsidR="00000000" w:rsidDel="00000000" w:rsidP="00000000" w:rsidRDefault="00000000" w:rsidRPr="00000000" w14:paraId="000000AC">
      <w:pPr>
        <w:spacing w:after="240" w:before="240" w:line="480" w:lineRule="auto"/>
        <w:ind w:left="720" w:hanging="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Alternatives to Incarceration Work Group. (2019). </w:t>
      </w:r>
      <w:r w:rsidDel="00000000" w:rsidR="00000000" w:rsidRPr="00000000">
        <w:rPr>
          <w:rFonts w:ascii="Times New Roman" w:cs="Times New Roman" w:eastAsia="Times New Roman" w:hAnsi="Times New Roman"/>
          <w:i w:val="1"/>
          <w:iCs w:val="1"/>
          <w:color w:val="333333"/>
          <w:sz w:val="24"/>
          <w:szCs w:val="24"/>
          <w:rtl w:val="0"/>
        </w:rPr>
        <w:t xml:space="preserve">Final recommendations: Care first, jails last</w:t>
      </w:r>
      <w:r w:rsidDel="00000000" w:rsidR="00000000" w:rsidRPr="00000000">
        <w:rPr>
          <w:rFonts w:ascii="Times New Roman" w:cs="Times New Roman" w:eastAsia="Times New Roman" w:hAnsi="Times New Roman"/>
          <w:color w:val="333333"/>
          <w:sz w:val="24"/>
          <w:szCs w:val="24"/>
          <w:rtl w:val="0"/>
        </w:rPr>
        <w:t xml:space="preserve">. Los Angeles County.</w:t>
      </w:r>
    </w:p>
    <w:p w:rsidR="00000000" w:rsidDel="00000000" w:rsidP="00000000" w:rsidRDefault="00000000" w:rsidRPr="00000000" w14:paraId="000000AD">
      <w:pPr>
        <w:spacing w:after="240" w:before="240" w:line="480" w:lineRule="auto"/>
        <w:ind w:left="720" w:hanging="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Alternatives to Incarceration Work Group. (2019). </w:t>
      </w:r>
      <w:r w:rsidDel="00000000" w:rsidR="00000000" w:rsidRPr="00000000">
        <w:rPr>
          <w:rFonts w:ascii="Times New Roman" w:cs="Times New Roman" w:eastAsia="Times New Roman" w:hAnsi="Times New Roman"/>
          <w:i w:val="1"/>
          <w:iCs w:val="1"/>
          <w:color w:val="333333"/>
          <w:sz w:val="24"/>
          <w:szCs w:val="24"/>
          <w:rtl w:val="0"/>
        </w:rPr>
        <w:t xml:space="preserve">Intercept roadmap for alternatives to incarceration</w:t>
      </w:r>
      <w:r w:rsidDel="00000000" w:rsidR="00000000" w:rsidRPr="00000000">
        <w:rPr>
          <w:rFonts w:ascii="Times New Roman" w:cs="Times New Roman" w:eastAsia="Times New Roman" w:hAnsi="Times New Roman"/>
          <w:color w:val="333333"/>
          <w:sz w:val="24"/>
          <w:szCs w:val="24"/>
          <w:rtl w:val="0"/>
        </w:rPr>
        <w:t xml:space="preserve">. Los Angeles County.</w:t>
      </w:r>
    </w:p>
    <w:p w:rsidR="00000000" w:rsidDel="00000000" w:rsidP="00000000" w:rsidRDefault="00000000" w:rsidRPr="00000000" w14:paraId="000000AE">
      <w:pPr>
        <w:spacing w:after="240" w:before="240" w:line="480" w:lineRule="auto"/>
        <w:ind w:left="720" w:hanging="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Bohn, S., Danielson, C., Thorman, T., &amp; Levin, M. (2025). </w:t>
      </w:r>
      <w:r w:rsidDel="00000000" w:rsidR="00000000" w:rsidRPr="00000000">
        <w:rPr>
          <w:rFonts w:ascii="Times New Roman" w:cs="Times New Roman" w:eastAsia="Times New Roman" w:hAnsi="Times New Roman"/>
          <w:i w:val="1"/>
          <w:iCs w:val="1"/>
          <w:color w:val="333333"/>
          <w:sz w:val="24"/>
          <w:szCs w:val="24"/>
          <w:rtl w:val="0"/>
        </w:rPr>
        <w:t xml:space="preserve">Poverty in California</w:t>
      </w:r>
      <w:r w:rsidDel="00000000" w:rsidR="00000000" w:rsidRPr="00000000">
        <w:rPr>
          <w:rFonts w:ascii="Times New Roman" w:cs="Times New Roman" w:eastAsia="Times New Roman" w:hAnsi="Times New Roman"/>
          <w:color w:val="333333"/>
          <w:sz w:val="24"/>
          <w:szCs w:val="24"/>
          <w:rtl w:val="0"/>
        </w:rPr>
        <w:t xml:space="preserve">. Public Policy Institute of California.</w:t>
      </w:r>
      <w:hyperlink r:id="rId6">
        <w:r w:rsidDel="00000000" w:rsidR="00000000" w:rsidRPr="00000000">
          <w:rPr>
            <w:rFonts w:ascii="Times New Roman" w:cs="Times New Roman" w:eastAsia="Times New Roman" w:hAnsi="Times New Roman"/>
            <w:color w:val="333333"/>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https://www.ppic.org/publication/poverty-in-california/</w:t>
        </w:r>
      </w:hyperlink>
      <w:r w:rsidDel="00000000" w:rsidR="00000000" w:rsidRPr="00000000">
        <w:rPr>
          <w:rtl w:val="0"/>
        </w:rPr>
      </w:r>
    </w:p>
    <w:p w:rsidR="00000000" w:rsidDel="00000000" w:rsidP="00000000" w:rsidRDefault="00000000" w:rsidRPr="00000000" w14:paraId="000000AF">
      <w:pPr>
        <w:spacing w:after="240" w:before="240" w:line="480" w:lineRule="auto"/>
        <w:ind w:left="720" w:hanging="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Chief Executive Office. (2020). </w:t>
      </w:r>
      <w:r w:rsidDel="00000000" w:rsidR="00000000" w:rsidRPr="00000000">
        <w:rPr>
          <w:rFonts w:ascii="Times New Roman" w:cs="Times New Roman" w:eastAsia="Times New Roman" w:hAnsi="Times New Roman"/>
          <w:i w:val="1"/>
          <w:iCs w:val="1"/>
          <w:color w:val="333333"/>
          <w:sz w:val="24"/>
          <w:szCs w:val="24"/>
          <w:rtl w:val="0"/>
        </w:rPr>
        <w:t xml:space="preserve">Care first, jails last: Health and racial justice strategies</w:t>
      </w:r>
      <w:r w:rsidDel="00000000" w:rsidR="00000000" w:rsidRPr="00000000">
        <w:rPr>
          <w:rFonts w:ascii="Times New Roman" w:cs="Times New Roman" w:eastAsia="Times New Roman" w:hAnsi="Times New Roman"/>
          <w:color w:val="333333"/>
          <w:sz w:val="24"/>
          <w:szCs w:val="24"/>
          <w:rtl w:val="0"/>
        </w:rPr>
        <w:t xml:space="preserve"> (Alternatives to Incarceration Work Group final report). Los Angeles County.</w:t>
      </w:r>
      <w:hyperlink r:id="rId8">
        <w:r w:rsidDel="00000000" w:rsidR="00000000" w:rsidRPr="00000000">
          <w:rPr>
            <w:rFonts w:ascii="Times New Roman" w:cs="Times New Roman" w:eastAsia="Times New Roman" w:hAnsi="Times New Roman"/>
            <w:color w:val="333333"/>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https://ceo.lacounty.gov/wp-content/uploads/2020/10/1077045_AlternativestoIncarcerationWorkGroupFinalReport.pdf</w:t>
        </w:r>
      </w:hyperlink>
      <w:r w:rsidDel="00000000" w:rsidR="00000000" w:rsidRPr="00000000">
        <w:rPr>
          <w:rtl w:val="0"/>
        </w:rPr>
      </w:r>
    </w:p>
    <w:p w:rsidR="00000000" w:rsidDel="00000000" w:rsidP="00000000" w:rsidRDefault="00000000" w:rsidRPr="00000000" w14:paraId="000000B0">
      <w:pPr>
        <w:spacing w:after="240" w:before="240" w:line="480" w:lineRule="auto"/>
        <w:ind w:left="720" w:hanging="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City of Los Angeles Mayor’s Office. (n.d.). </w:t>
      </w:r>
      <w:r w:rsidDel="00000000" w:rsidR="00000000" w:rsidRPr="00000000">
        <w:rPr>
          <w:rFonts w:ascii="Times New Roman" w:cs="Times New Roman" w:eastAsia="Times New Roman" w:hAnsi="Times New Roman"/>
          <w:i w:val="1"/>
          <w:iCs w:val="1"/>
          <w:color w:val="333333"/>
          <w:sz w:val="24"/>
          <w:szCs w:val="24"/>
          <w:rtl w:val="0"/>
        </w:rPr>
        <w:t xml:space="preserve">Gang Reduction and Youth Development (GRYD)</w:t>
      </w:r>
      <w:r w:rsidDel="00000000" w:rsidR="00000000" w:rsidRPr="00000000">
        <w:rPr>
          <w:rFonts w:ascii="Times New Roman" w:cs="Times New Roman" w:eastAsia="Times New Roman" w:hAnsi="Times New Roman"/>
          <w:color w:val="333333"/>
          <w:sz w:val="24"/>
          <w:szCs w:val="24"/>
          <w:rtl w:val="0"/>
        </w:rPr>
        <w:t xml:space="preserve">.</w:t>
      </w:r>
      <w:hyperlink r:id="rId10">
        <w:r w:rsidDel="00000000" w:rsidR="00000000" w:rsidRPr="00000000">
          <w:rPr>
            <w:rFonts w:ascii="Times New Roman" w:cs="Times New Roman" w:eastAsia="Times New Roman" w:hAnsi="Times New Roman"/>
            <w:color w:val="333333"/>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https://gryd.lacity.org/</w:t>
        </w:r>
      </w:hyperlink>
      <w:r w:rsidDel="00000000" w:rsidR="00000000" w:rsidRPr="00000000">
        <w:rPr>
          <w:rtl w:val="0"/>
        </w:rPr>
      </w:r>
    </w:p>
    <w:p w:rsidR="00000000" w:rsidDel="00000000" w:rsidP="00000000" w:rsidRDefault="00000000" w:rsidRPr="00000000" w14:paraId="000000B1">
      <w:pPr>
        <w:spacing w:after="240" w:before="240" w:line="480" w:lineRule="auto"/>
        <w:ind w:left="720" w:hanging="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Coelli, M. B., Green, D. A., &amp; Warburton, W. P. (2007). Breaking the cycle? The effect of education on welfare receipt among children of welfare recipients. </w:t>
      </w:r>
      <w:r w:rsidDel="00000000" w:rsidR="00000000" w:rsidRPr="00000000">
        <w:rPr>
          <w:rFonts w:ascii="Times New Roman" w:cs="Times New Roman" w:eastAsia="Times New Roman" w:hAnsi="Times New Roman"/>
          <w:i w:val="1"/>
          <w:iCs w:val="1"/>
          <w:color w:val="333333"/>
          <w:sz w:val="24"/>
          <w:szCs w:val="24"/>
          <w:rtl w:val="0"/>
        </w:rPr>
        <w:t xml:space="preserve">Journal of Public Economics, 92</w:t>
      </w:r>
      <w:r w:rsidDel="00000000" w:rsidR="00000000" w:rsidRPr="00000000">
        <w:rPr>
          <w:rFonts w:ascii="Times New Roman" w:cs="Times New Roman" w:eastAsia="Times New Roman" w:hAnsi="Times New Roman"/>
          <w:color w:val="333333"/>
          <w:sz w:val="24"/>
          <w:szCs w:val="24"/>
          <w:rtl w:val="0"/>
        </w:rPr>
        <w:t xml:space="preserve">(3–4), 684–695.</w:t>
      </w:r>
      <w:hyperlink r:id="rId12">
        <w:r w:rsidDel="00000000" w:rsidR="00000000" w:rsidRPr="00000000">
          <w:rPr>
            <w:rFonts w:ascii="Times New Roman" w:cs="Times New Roman" w:eastAsia="Times New Roman" w:hAnsi="Times New Roman"/>
            <w:color w:val="333333"/>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https://doi.org/10.1016/j.jpubeco.2006.11.009</w:t>
        </w:r>
      </w:hyperlink>
      <w:r w:rsidDel="00000000" w:rsidR="00000000" w:rsidRPr="00000000">
        <w:rPr>
          <w:rtl w:val="0"/>
        </w:rPr>
      </w:r>
    </w:p>
    <w:p w:rsidR="00000000" w:rsidDel="00000000" w:rsidP="00000000" w:rsidRDefault="00000000" w:rsidRPr="00000000" w14:paraId="000000B2">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333333"/>
          <w:sz w:val="24"/>
          <w:szCs w:val="24"/>
          <w:rtl w:val="0"/>
        </w:rPr>
        <w:t xml:space="preserve">College Board. (2023). </w:t>
      </w:r>
      <w:r w:rsidDel="00000000" w:rsidR="00000000" w:rsidRPr="00000000">
        <w:rPr>
          <w:rFonts w:ascii="Times New Roman" w:cs="Times New Roman" w:eastAsia="Times New Roman" w:hAnsi="Times New Roman"/>
          <w:i w:val="1"/>
          <w:iCs w:val="1"/>
          <w:color w:val="333333"/>
          <w:sz w:val="24"/>
          <w:szCs w:val="24"/>
          <w:rtl w:val="0"/>
        </w:rPr>
        <w:t xml:space="preserve">Education pays 2023: The benefits of higher education for individuals and society</w:t>
      </w:r>
      <w:r w:rsidDel="00000000" w:rsidR="00000000" w:rsidRPr="00000000">
        <w:rPr>
          <w:rFonts w:ascii="Times New Roman" w:cs="Times New Roman" w:eastAsia="Times New Roman" w:hAnsi="Times New Roman"/>
          <w:color w:val="333333"/>
          <w:sz w:val="24"/>
          <w:szCs w:val="24"/>
          <w:rtl w:val="0"/>
        </w:rPr>
        <w:t xml:space="preserve">.</w:t>
      </w:r>
      <w:hyperlink r:id="rId14">
        <w:r w:rsidDel="00000000" w:rsidR="00000000" w:rsidRPr="00000000">
          <w:rPr>
            <w:rFonts w:ascii="Times New Roman" w:cs="Times New Roman" w:eastAsia="Times New Roman" w:hAnsi="Times New Roman"/>
            <w:color w:val="333333"/>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https://research.collegeboard.org/media/pdf/education-pays-2023.pdf</w:t>
        </w:r>
      </w:hyperlink>
      <w:r w:rsidDel="00000000" w:rsidR="00000000" w:rsidRPr="00000000">
        <w:rPr>
          <w:rtl w:val="0"/>
        </w:rPr>
      </w:r>
    </w:p>
    <w:p w:rsidR="00000000" w:rsidDel="00000000" w:rsidP="00000000" w:rsidRDefault="00000000" w:rsidRPr="00000000" w14:paraId="000000B3">
      <w:pPr>
        <w:spacing w:line="48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Franklin, L. (2023). </w:t>
      </w:r>
      <w:r w:rsidDel="00000000" w:rsidR="00000000" w:rsidRPr="00000000">
        <w:rPr>
          <w:rFonts w:ascii="Times New Roman" w:cs="Times New Roman" w:eastAsia="Times New Roman" w:hAnsi="Times New Roman"/>
          <w:i w:val="1"/>
          <w:iCs w:val="1"/>
          <w:color w:val="333333"/>
          <w:sz w:val="24"/>
          <w:szCs w:val="24"/>
          <w:rtl w:val="0"/>
        </w:rPr>
        <w:t xml:space="preserve">The Influence of Community Trauma and the Behaviors of Gang MembersProQuest</w:t>
      </w:r>
      <w:r w:rsidDel="00000000" w:rsidR="00000000" w:rsidRPr="00000000">
        <w:rPr>
          <w:rFonts w:ascii="Times New Roman" w:cs="Times New Roman" w:eastAsia="Times New Roman" w:hAnsi="Times New Roman"/>
          <w:color w:val="333333"/>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Proquest.com</w:t>
        </w:r>
      </w:hyperlink>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0B4">
      <w:pPr>
        <w:spacing w:line="480" w:lineRule="auto"/>
        <w:ind w:left="0" w:firstLine="0"/>
        <w:rPr>
          <w:rFonts w:ascii="Times New Roman" w:cs="Times New Roman" w:eastAsia="Times New Roman" w:hAnsi="Times New Roman"/>
          <w:color w:val="333333"/>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https://www.proquest.com/openview/74d28b29415e8422bcea23d8682d9d41/1?pq-origsite=gscholar&amp;cbl=18750&amp;diss=y</w:t>
        </w:r>
      </w:hyperlink>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B5">
      <w:pPr>
        <w:spacing w:line="480" w:lineRule="auto"/>
        <w:ind w:left="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Hanson, J. L., Hair, N., Shen, D. G., Shi, F., Gilmore, J. H., Wolfe, B. L., &amp; Pollak, S. D. (2013). Family Poverty Affects the Rate of Human Infant Brain Growth. </w:t>
      </w:r>
      <w:r w:rsidDel="00000000" w:rsidR="00000000" w:rsidRPr="00000000">
        <w:rPr>
          <w:rFonts w:ascii="Times New Roman" w:cs="Times New Roman" w:eastAsia="Times New Roman" w:hAnsi="Times New Roman"/>
          <w:i w:val="1"/>
          <w:iCs w:val="1"/>
          <w:color w:val="333333"/>
          <w:sz w:val="24"/>
          <w:szCs w:val="24"/>
          <w:rtl w:val="0"/>
        </w:rPr>
        <w:t xml:space="preserve">PLoS ONE</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i w:val="1"/>
          <w:iCs w:val="1"/>
          <w:color w:val="333333"/>
          <w:sz w:val="24"/>
          <w:szCs w:val="24"/>
          <w:rtl w:val="0"/>
        </w:rPr>
        <w:t xml:space="preserve">8</w:t>
      </w:r>
      <w:r w:rsidDel="00000000" w:rsidR="00000000" w:rsidRPr="00000000">
        <w:rPr>
          <w:rFonts w:ascii="Times New Roman" w:cs="Times New Roman" w:eastAsia="Times New Roman" w:hAnsi="Times New Roman"/>
          <w:color w:val="333333"/>
          <w:sz w:val="24"/>
          <w:szCs w:val="24"/>
          <w:rtl w:val="0"/>
        </w:rPr>
        <w:t xml:space="preserve">(12), e80954.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https://doi.org/10.1371/journal.pone.0080954</w:t>
        </w:r>
      </w:hyperlink>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B6">
      <w:pPr>
        <w:spacing w:line="480" w:lineRule="auto"/>
        <w:ind w:left="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Hayasaki, E. (2016, August 25). </w:t>
      </w:r>
      <w:r w:rsidDel="00000000" w:rsidR="00000000" w:rsidRPr="00000000">
        <w:rPr>
          <w:rFonts w:ascii="Times New Roman" w:cs="Times New Roman" w:eastAsia="Times New Roman" w:hAnsi="Times New Roman"/>
          <w:i w:val="1"/>
          <w:iCs w:val="1"/>
          <w:color w:val="333333"/>
          <w:sz w:val="24"/>
          <w:szCs w:val="24"/>
          <w:rtl w:val="0"/>
        </w:rPr>
        <w:t xml:space="preserve">How Poverty Affects the Brain</w:t>
      </w:r>
      <w:r w:rsidDel="00000000" w:rsidR="00000000" w:rsidRPr="00000000">
        <w:rPr>
          <w:rFonts w:ascii="Times New Roman" w:cs="Times New Roman" w:eastAsia="Times New Roman" w:hAnsi="Times New Roman"/>
          <w:color w:val="333333"/>
          <w:sz w:val="24"/>
          <w:szCs w:val="24"/>
          <w:rtl w:val="0"/>
        </w:rPr>
        <w:t xml:space="preserve">. Newsweek. </w:t>
      </w:r>
      <w:hyperlink r:id="rId19">
        <w:r w:rsidDel="00000000" w:rsidR="00000000" w:rsidRPr="00000000">
          <w:rPr>
            <w:rFonts w:ascii="Times New Roman" w:cs="Times New Roman" w:eastAsia="Times New Roman" w:hAnsi="Times New Roman"/>
            <w:color w:val="1155cc"/>
            <w:sz w:val="24"/>
            <w:szCs w:val="24"/>
            <w:u w:val="single"/>
            <w:rtl w:val="0"/>
          </w:rPr>
          <w:t xml:space="preserve">https://www.newsweek.com/2016/09/02/how-poverty-affects-brains-493239.html</w:t>
        </w:r>
      </w:hyperlink>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B7">
      <w:pPr>
        <w:spacing w:line="480" w:lineRule="auto"/>
        <w:ind w:left="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Holliday, S. B., Pace, N. M., Gowensmith, N., Packer, I., Murrie, D., Virani, A., Han, B., &amp; Hunter, S. B. (2020). </w:t>
      </w:r>
      <w:r w:rsidDel="00000000" w:rsidR="00000000" w:rsidRPr="00000000">
        <w:rPr>
          <w:rFonts w:ascii="Times New Roman" w:cs="Times New Roman" w:eastAsia="Times New Roman" w:hAnsi="Times New Roman"/>
          <w:i w:val="1"/>
          <w:iCs w:val="1"/>
          <w:color w:val="333333"/>
          <w:sz w:val="24"/>
          <w:szCs w:val="24"/>
          <w:rtl w:val="0"/>
        </w:rPr>
        <w:t xml:space="preserve">Estimating the size of the Los Angeles County jail mental health population appropriate for release into community services</w:t>
      </w:r>
      <w:r w:rsidDel="00000000" w:rsidR="00000000" w:rsidRPr="00000000">
        <w:rPr>
          <w:rFonts w:ascii="Times New Roman" w:cs="Times New Roman" w:eastAsia="Times New Roman" w:hAnsi="Times New Roman"/>
          <w:color w:val="333333"/>
          <w:sz w:val="24"/>
          <w:szCs w:val="24"/>
          <w:rtl w:val="0"/>
        </w:rPr>
        <w:t xml:space="preserve">. RAND Corporation.</w:t>
      </w:r>
    </w:p>
    <w:p w:rsidR="00000000" w:rsidDel="00000000" w:rsidP="00000000" w:rsidRDefault="00000000" w:rsidRPr="00000000" w14:paraId="000000B8">
      <w:pPr>
        <w:spacing w:line="480" w:lineRule="auto"/>
        <w:ind w:left="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Kiser, L. J., Nurse, W., Lucksted, A., &amp; Collins, K. S. (2008). Understanding the Impact of Trauma on Family Life From the Viewpoint of Female Caregivers Living in Urban Poverty. </w:t>
      </w:r>
      <w:r w:rsidDel="00000000" w:rsidR="00000000" w:rsidRPr="00000000">
        <w:rPr>
          <w:rFonts w:ascii="Times New Roman" w:cs="Times New Roman" w:eastAsia="Times New Roman" w:hAnsi="Times New Roman"/>
          <w:i w:val="1"/>
          <w:iCs w:val="1"/>
          <w:color w:val="333333"/>
          <w:sz w:val="24"/>
          <w:szCs w:val="24"/>
          <w:rtl w:val="0"/>
        </w:rPr>
        <w:t xml:space="preserve">Traumatology (Tallahassee, Fla.)</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i w:val="1"/>
          <w:iCs w:val="1"/>
          <w:color w:val="333333"/>
          <w:sz w:val="24"/>
          <w:szCs w:val="24"/>
          <w:rtl w:val="0"/>
        </w:rPr>
        <w:t xml:space="preserve">14</w:t>
      </w:r>
      <w:r w:rsidDel="00000000" w:rsidR="00000000" w:rsidRPr="00000000">
        <w:rPr>
          <w:rFonts w:ascii="Times New Roman" w:cs="Times New Roman" w:eastAsia="Times New Roman" w:hAnsi="Times New Roman"/>
          <w:color w:val="333333"/>
          <w:sz w:val="24"/>
          <w:szCs w:val="24"/>
          <w:rtl w:val="0"/>
        </w:rPr>
        <w:t xml:space="preserve">(3), 77–90.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https://doi.org/10.1177/1534765608320329</w:t>
        </w:r>
      </w:hyperlink>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B9">
      <w:pPr>
        <w:spacing w:line="480" w:lineRule="auto"/>
        <w:ind w:left="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London, R. A. (2006). The role of postsecondary education in welfare recipients’ paths to self-sufficiency. </w:t>
      </w:r>
      <w:r w:rsidDel="00000000" w:rsidR="00000000" w:rsidRPr="00000000">
        <w:rPr>
          <w:rFonts w:ascii="Times New Roman" w:cs="Times New Roman" w:eastAsia="Times New Roman" w:hAnsi="Times New Roman"/>
          <w:i w:val="1"/>
          <w:iCs w:val="1"/>
          <w:color w:val="333333"/>
          <w:sz w:val="24"/>
          <w:szCs w:val="24"/>
          <w:rtl w:val="0"/>
        </w:rPr>
        <w:t xml:space="preserve">The Journal of Higher Education, 77</w:t>
      </w:r>
      <w:r w:rsidDel="00000000" w:rsidR="00000000" w:rsidRPr="00000000">
        <w:rPr>
          <w:rFonts w:ascii="Times New Roman" w:cs="Times New Roman" w:eastAsia="Times New Roman" w:hAnsi="Times New Roman"/>
          <w:color w:val="333333"/>
          <w:sz w:val="24"/>
          <w:szCs w:val="24"/>
          <w:rtl w:val="0"/>
        </w:rPr>
        <w:t xml:space="preserve">(3), 472–496.</w:t>
      </w:r>
      <w:hyperlink r:id="rId21">
        <w:r w:rsidDel="00000000" w:rsidR="00000000" w:rsidRPr="00000000">
          <w:rPr>
            <w:rFonts w:ascii="Times New Roman" w:cs="Times New Roman" w:eastAsia="Times New Roman" w:hAnsi="Times New Roman"/>
            <w:color w:val="333333"/>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https://doi.org/10.1080/00221546.2006.11772367</w:t>
        </w:r>
      </w:hyperlink>
      <w:r w:rsidDel="00000000" w:rsidR="00000000" w:rsidRPr="00000000">
        <w:rPr>
          <w:rtl w:val="0"/>
        </w:rPr>
      </w:r>
    </w:p>
    <w:p w:rsidR="00000000" w:rsidDel="00000000" w:rsidP="00000000" w:rsidRDefault="00000000" w:rsidRPr="00000000" w14:paraId="000000BA">
      <w:pPr>
        <w:spacing w:line="480" w:lineRule="auto"/>
        <w:ind w:left="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Los Angeles County Chief Executive Office. (2023). </w:t>
      </w:r>
      <w:r w:rsidDel="00000000" w:rsidR="00000000" w:rsidRPr="00000000">
        <w:rPr>
          <w:rFonts w:ascii="Times New Roman" w:cs="Times New Roman" w:eastAsia="Times New Roman" w:hAnsi="Times New Roman"/>
          <w:i w:val="1"/>
          <w:iCs w:val="1"/>
          <w:color w:val="333333"/>
          <w:sz w:val="24"/>
          <w:szCs w:val="24"/>
          <w:rtl w:val="0"/>
        </w:rPr>
        <w:t xml:space="preserve">Progress report on scaling up diversion and reentry efforts for people with serious clinical needs</w:t>
      </w:r>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0BB">
      <w:pPr>
        <w:spacing w:line="480" w:lineRule="auto"/>
        <w:ind w:left="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Los Angeles County Department of Mental Health. (n.d.). </w:t>
      </w:r>
      <w:r w:rsidDel="00000000" w:rsidR="00000000" w:rsidRPr="00000000">
        <w:rPr>
          <w:rFonts w:ascii="Times New Roman" w:cs="Times New Roman" w:eastAsia="Times New Roman" w:hAnsi="Times New Roman"/>
          <w:i w:val="1"/>
          <w:iCs w:val="1"/>
          <w:color w:val="333333"/>
          <w:sz w:val="24"/>
          <w:szCs w:val="24"/>
          <w:rtl w:val="0"/>
        </w:rPr>
        <w:t xml:space="preserve">Programs and services</w:t>
      </w:r>
      <w:r w:rsidDel="00000000" w:rsidR="00000000" w:rsidRPr="00000000">
        <w:rPr>
          <w:rFonts w:ascii="Times New Roman" w:cs="Times New Roman" w:eastAsia="Times New Roman" w:hAnsi="Times New Roman"/>
          <w:color w:val="333333"/>
          <w:sz w:val="24"/>
          <w:szCs w:val="24"/>
          <w:rtl w:val="0"/>
        </w:rPr>
        <w:t xml:space="preserve">.</w:t>
      </w:r>
      <w:hyperlink r:id="rId23">
        <w:r w:rsidDel="00000000" w:rsidR="00000000" w:rsidRPr="00000000">
          <w:rPr>
            <w:rFonts w:ascii="Times New Roman" w:cs="Times New Roman" w:eastAsia="Times New Roman" w:hAnsi="Times New Roman"/>
            <w:color w:val="333333"/>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https://dmh.lacounty.gov/</w:t>
        </w:r>
      </w:hyperlink>
      <w:r w:rsidDel="00000000" w:rsidR="00000000" w:rsidRPr="00000000">
        <w:rPr>
          <w:rtl w:val="0"/>
        </w:rPr>
      </w:r>
    </w:p>
    <w:p w:rsidR="00000000" w:rsidDel="00000000" w:rsidP="00000000" w:rsidRDefault="00000000" w:rsidRPr="00000000" w14:paraId="000000BC">
      <w:pPr>
        <w:spacing w:line="480" w:lineRule="auto"/>
        <w:ind w:left="720"/>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Los Angeles Homeless Services Authority. (n.d.). </w:t>
      </w:r>
      <w:r w:rsidDel="00000000" w:rsidR="00000000" w:rsidRPr="00000000">
        <w:rPr>
          <w:rFonts w:ascii="Times New Roman" w:cs="Times New Roman" w:eastAsia="Times New Roman" w:hAnsi="Times New Roman"/>
          <w:i w:val="1"/>
          <w:iCs w:val="1"/>
          <w:color w:val="333333"/>
          <w:sz w:val="24"/>
          <w:szCs w:val="24"/>
          <w:rtl w:val="0"/>
        </w:rPr>
        <w:t xml:space="preserve">LAHSA program overview and youth services</w:t>
      </w:r>
      <w:r w:rsidDel="00000000" w:rsidR="00000000" w:rsidRPr="00000000">
        <w:rPr>
          <w:rFonts w:ascii="Times New Roman" w:cs="Times New Roman" w:eastAsia="Times New Roman" w:hAnsi="Times New Roman"/>
          <w:color w:val="333333"/>
          <w:sz w:val="24"/>
          <w:szCs w:val="24"/>
          <w:rtl w:val="0"/>
        </w:rPr>
        <w:t xml:space="preserve">.</w:t>
      </w:r>
      <w:hyperlink r:id="rId25">
        <w:r w:rsidDel="00000000" w:rsidR="00000000" w:rsidRPr="00000000">
          <w:rPr>
            <w:rFonts w:ascii="Times New Roman" w:cs="Times New Roman" w:eastAsia="Times New Roman" w:hAnsi="Times New Roman"/>
            <w:color w:val="333333"/>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https://lahsa.org/</w:t>
        </w:r>
      </w:hyperlink>
      <w:r w:rsidDel="00000000" w:rsidR="00000000" w:rsidRPr="00000000">
        <w:rPr>
          <w:rtl w:val="0"/>
        </w:rPr>
      </w:r>
    </w:p>
    <w:p w:rsidR="00000000" w:rsidDel="00000000" w:rsidP="00000000" w:rsidRDefault="00000000" w:rsidRPr="00000000" w14:paraId="000000BD">
      <w:pPr>
        <w:spacing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color w:val="333333"/>
          <w:sz w:val="24"/>
          <w:szCs w:val="24"/>
          <w:rtl w:val="0"/>
        </w:rPr>
        <w:t xml:space="preserve">Los Angeles County Trauma Prevention Initiative</w:t>
      </w:r>
      <w:r w:rsidDel="00000000" w:rsidR="00000000" w:rsidRPr="00000000">
        <w:rPr>
          <w:rFonts w:ascii="Times New Roman" w:cs="Times New Roman" w:eastAsia="Times New Roman" w:hAnsi="Times New Roman"/>
          <w:color w:val="333333"/>
          <w:sz w:val="24"/>
          <w:szCs w:val="24"/>
          <w:rtl w:val="0"/>
        </w:rPr>
        <w:t xml:space="preserve">. (2015). Lacounty.gov. </w:t>
      </w:r>
      <w:hyperlink r:id="rId27">
        <w:r w:rsidDel="00000000" w:rsidR="00000000" w:rsidRPr="00000000">
          <w:rPr>
            <w:rFonts w:ascii="Times New Roman" w:cs="Times New Roman" w:eastAsia="Times New Roman" w:hAnsi="Times New Roman"/>
            <w:color w:val="1155cc"/>
            <w:sz w:val="24"/>
            <w:szCs w:val="24"/>
            <w:u w:val="single"/>
            <w:rtl w:val="0"/>
          </w:rPr>
          <w:t xml:space="preserve">http://www.publichealth.lacounty.gov/ovp/TPI.htm</w:t>
        </w:r>
      </w:hyperlink>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tl w:val="0"/>
        </w:rPr>
      </w:r>
    </w:p>
    <w:p w:rsidR="00000000" w:rsidDel="00000000" w:rsidP="00000000" w:rsidRDefault="00000000" w:rsidRPr="00000000" w14:paraId="000000BE">
      <w:pPr>
        <w:spacing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333333"/>
          <w:sz w:val="24"/>
          <w:szCs w:val="24"/>
          <w:rtl w:val="0"/>
        </w:rPr>
        <w:t xml:space="preserve">Mayor Karen Bass and community safety partners highlight success of community programs reducing violence in L.A. (2025, March). </w:t>
      </w:r>
      <w:r w:rsidDel="00000000" w:rsidR="00000000" w:rsidRPr="00000000">
        <w:rPr>
          <w:rFonts w:ascii="Times New Roman" w:cs="Times New Roman" w:eastAsia="Times New Roman" w:hAnsi="Times New Roman"/>
          <w:i w:val="1"/>
          <w:iCs w:val="1"/>
          <w:color w:val="333333"/>
          <w:sz w:val="24"/>
          <w:szCs w:val="24"/>
          <w:rtl w:val="0"/>
        </w:rPr>
        <w:t xml:space="preserve">Mayor Karen Bass, City of Los Angeles</w:t>
      </w:r>
      <w:r w:rsidDel="00000000" w:rsidR="00000000" w:rsidRPr="00000000">
        <w:rPr>
          <w:rFonts w:ascii="Times New Roman" w:cs="Times New Roman" w:eastAsia="Times New Roman" w:hAnsi="Times New Roman"/>
          <w:color w:val="333333"/>
          <w:sz w:val="24"/>
          <w:szCs w:val="24"/>
          <w:rtl w:val="0"/>
        </w:rPr>
        <w:t xml:space="preserve">.</w:t>
      </w:r>
      <w:hyperlink r:id="rId28">
        <w:r w:rsidDel="00000000" w:rsidR="00000000" w:rsidRPr="00000000">
          <w:rPr>
            <w:rFonts w:ascii="Times New Roman" w:cs="Times New Roman" w:eastAsia="Times New Roman" w:hAnsi="Times New Roman"/>
            <w:color w:val="333333"/>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https://mayor.lacity.gov/news/mayor-karen-bass-and-community-safety-partners-highlight-success-community-programs-reducing</w:t>
        </w:r>
      </w:hyperlink>
      <w:r w:rsidDel="00000000" w:rsidR="00000000" w:rsidRPr="00000000">
        <w:rPr>
          <w:rFonts w:ascii="Times New Roman" w:cs="Times New Roman" w:eastAsia="Times New Roman" w:hAnsi="Times New Roman"/>
          <w:color w:val="1155cc"/>
          <w:sz w:val="24"/>
          <w:szCs w:val="24"/>
          <w:u w:val="single"/>
          <w:rtl w:val="0"/>
        </w:rPr>
        <w:t xml:space="preserve"> </w:t>
      </w:r>
    </w:p>
    <w:p w:rsidR="00000000" w:rsidDel="00000000" w:rsidP="00000000" w:rsidRDefault="00000000" w:rsidRPr="00000000" w14:paraId="000000BF">
      <w:pPr>
        <w:spacing w:line="480" w:lineRule="auto"/>
        <w:ind w:left="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Paredes, N. (2020). </w:t>
      </w:r>
      <w:r w:rsidDel="00000000" w:rsidR="00000000" w:rsidRPr="00000000">
        <w:rPr>
          <w:rFonts w:ascii="Times New Roman" w:cs="Times New Roman" w:eastAsia="Times New Roman" w:hAnsi="Times New Roman"/>
          <w:i w:val="1"/>
          <w:iCs w:val="1"/>
          <w:color w:val="333333"/>
          <w:sz w:val="24"/>
          <w:szCs w:val="24"/>
          <w:rtl w:val="0"/>
        </w:rPr>
        <w:t xml:space="preserve">Ensure Healthy Development for All Youth: Homelessness Is Trauma Connecting with the Invisible Families: Fostering the Parent-Child Bond - ProQuest</w:t>
      </w:r>
      <w:r w:rsidDel="00000000" w:rsidR="00000000" w:rsidRPr="00000000">
        <w:rPr>
          <w:rFonts w:ascii="Times New Roman" w:cs="Times New Roman" w:eastAsia="Times New Roman" w:hAnsi="Times New Roman"/>
          <w:color w:val="333333"/>
          <w:sz w:val="24"/>
          <w:szCs w:val="24"/>
          <w:rtl w:val="0"/>
        </w:rPr>
        <w:t xml:space="preserve">. Proquest.com. </w:t>
      </w:r>
      <w:hyperlink r:id="rId30">
        <w:r w:rsidDel="00000000" w:rsidR="00000000" w:rsidRPr="00000000">
          <w:rPr>
            <w:rFonts w:ascii="Times New Roman" w:cs="Times New Roman" w:eastAsia="Times New Roman" w:hAnsi="Times New Roman"/>
            <w:color w:val="1155cc"/>
            <w:sz w:val="24"/>
            <w:szCs w:val="24"/>
            <w:u w:val="single"/>
            <w:rtl w:val="0"/>
          </w:rPr>
          <w:t xml:space="preserve">https://www.proquest.com/openview/7b9e805416e0ff3f5598ff53b5bf699c/1?pq-origsite=gscholar&amp;cbl=44156</w:t>
        </w:r>
      </w:hyperlink>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C0">
      <w:pPr>
        <w:spacing w:line="480" w:lineRule="auto"/>
        <w:ind w:left="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Rosenfeld, R., Bray, T. M., &amp; Egley, A. (1999). Facilitating violence: A comparison of gang-motivated, gang-affiliated, and nongang youth homicides. </w:t>
      </w:r>
      <w:r w:rsidDel="00000000" w:rsidR="00000000" w:rsidRPr="00000000">
        <w:rPr>
          <w:rFonts w:ascii="Times New Roman" w:cs="Times New Roman" w:eastAsia="Times New Roman" w:hAnsi="Times New Roman"/>
          <w:i w:val="1"/>
          <w:iCs w:val="1"/>
          <w:color w:val="333333"/>
          <w:sz w:val="24"/>
          <w:szCs w:val="24"/>
          <w:rtl w:val="0"/>
        </w:rPr>
        <w:t xml:space="preserve">Journal of Quantitative Criminology, 15</w:t>
      </w:r>
      <w:r w:rsidDel="00000000" w:rsidR="00000000" w:rsidRPr="00000000">
        <w:rPr>
          <w:rFonts w:ascii="Times New Roman" w:cs="Times New Roman" w:eastAsia="Times New Roman" w:hAnsi="Times New Roman"/>
          <w:color w:val="333333"/>
          <w:sz w:val="24"/>
          <w:szCs w:val="24"/>
          <w:rtl w:val="0"/>
        </w:rPr>
        <w:t xml:space="preserve">(4), 495–516.</w:t>
      </w:r>
      <w:hyperlink r:id="rId31">
        <w:r w:rsidDel="00000000" w:rsidR="00000000" w:rsidRPr="00000000">
          <w:rPr>
            <w:rFonts w:ascii="Times New Roman" w:cs="Times New Roman" w:eastAsia="Times New Roman" w:hAnsi="Times New Roman"/>
            <w:color w:val="333333"/>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http://www.jstor.org/stable/23366753</w:t>
        </w:r>
      </w:hyperlink>
      <w:r w:rsidDel="00000000" w:rsidR="00000000" w:rsidRPr="00000000">
        <w:rPr>
          <w:rtl w:val="0"/>
        </w:rPr>
      </w:r>
    </w:p>
    <w:p w:rsidR="00000000" w:rsidDel="00000000" w:rsidP="00000000" w:rsidRDefault="00000000" w:rsidRPr="00000000" w14:paraId="000000C1">
      <w:pPr>
        <w:spacing w:line="480" w:lineRule="auto"/>
        <w:ind w:left="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Social Security Administration. (2015). </w:t>
      </w:r>
      <w:r w:rsidDel="00000000" w:rsidR="00000000" w:rsidRPr="00000000">
        <w:rPr>
          <w:rFonts w:ascii="Times New Roman" w:cs="Times New Roman" w:eastAsia="Times New Roman" w:hAnsi="Times New Roman"/>
          <w:i w:val="1"/>
          <w:iCs w:val="1"/>
          <w:color w:val="333333"/>
          <w:sz w:val="24"/>
          <w:szCs w:val="24"/>
          <w:rtl w:val="0"/>
        </w:rPr>
        <w:t xml:space="preserve">Education and lifetime earnings</w:t>
      </w:r>
      <w:r w:rsidDel="00000000" w:rsidR="00000000" w:rsidRPr="00000000">
        <w:rPr>
          <w:rFonts w:ascii="Times New Roman" w:cs="Times New Roman" w:eastAsia="Times New Roman" w:hAnsi="Times New Roman"/>
          <w:color w:val="333333"/>
          <w:sz w:val="24"/>
          <w:szCs w:val="24"/>
          <w:rtl w:val="0"/>
        </w:rPr>
        <w:t xml:space="preserve">.</w:t>
      </w:r>
      <w:hyperlink r:id="rId33">
        <w:r w:rsidDel="00000000" w:rsidR="00000000" w:rsidRPr="00000000">
          <w:rPr>
            <w:rFonts w:ascii="Times New Roman" w:cs="Times New Roman" w:eastAsia="Times New Roman" w:hAnsi="Times New Roman"/>
            <w:color w:val="333333"/>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https://www.ssa.gov/policy/docs/research-summaries/education-earnings.html</w:t>
        </w:r>
      </w:hyperlink>
      <w:r w:rsidDel="00000000" w:rsidR="00000000" w:rsidRPr="00000000">
        <w:rPr>
          <w:rtl w:val="0"/>
        </w:rPr>
      </w:r>
    </w:p>
    <w:p w:rsidR="00000000" w:rsidDel="00000000" w:rsidP="00000000" w:rsidRDefault="00000000" w:rsidRPr="00000000" w14:paraId="000000C2">
      <w:pPr>
        <w:spacing w:line="480" w:lineRule="auto"/>
        <w:ind w:left="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Tamborini, C. R., Kim, C., &amp; Sakamoto, A. (2015). Education and lifetime earnings in the United States. </w:t>
      </w:r>
      <w:r w:rsidDel="00000000" w:rsidR="00000000" w:rsidRPr="00000000">
        <w:rPr>
          <w:rFonts w:ascii="Times New Roman" w:cs="Times New Roman" w:eastAsia="Times New Roman" w:hAnsi="Times New Roman"/>
          <w:i w:val="1"/>
          <w:iCs w:val="1"/>
          <w:color w:val="333333"/>
          <w:sz w:val="24"/>
          <w:szCs w:val="24"/>
          <w:rtl w:val="0"/>
        </w:rPr>
        <w:t xml:space="preserve">Demography, 52</w:t>
      </w:r>
      <w:r w:rsidDel="00000000" w:rsidR="00000000" w:rsidRPr="00000000">
        <w:rPr>
          <w:rFonts w:ascii="Times New Roman" w:cs="Times New Roman" w:eastAsia="Times New Roman" w:hAnsi="Times New Roman"/>
          <w:color w:val="333333"/>
          <w:sz w:val="24"/>
          <w:szCs w:val="24"/>
          <w:rtl w:val="0"/>
        </w:rPr>
        <w:t xml:space="preserve">(4), 1383–1407.</w:t>
      </w:r>
      <w:hyperlink r:id="rId35">
        <w:r w:rsidDel="00000000" w:rsidR="00000000" w:rsidRPr="00000000">
          <w:rPr>
            <w:rFonts w:ascii="Times New Roman" w:cs="Times New Roman" w:eastAsia="Times New Roman" w:hAnsi="Times New Roman"/>
            <w:color w:val="333333"/>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https://doi.org/10.1007/s13524-015-0407-0</w:t>
        </w:r>
      </w:hyperlink>
      <w:r w:rsidDel="00000000" w:rsidR="00000000" w:rsidRPr="00000000">
        <w:rPr>
          <w:rtl w:val="0"/>
        </w:rPr>
      </w:r>
    </w:p>
    <w:p w:rsidR="00000000" w:rsidDel="00000000" w:rsidP="00000000" w:rsidRDefault="00000000" w:rsidRPr="00000000" w14:paraId="000000C3">
      <w:pPr>
        <w:spacing w:line="480" w:lineRule="auto"/>
        <w:ind w:left="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Vigil, J. D. (2020). </w:t>
      </w:r>
      <w:r w:rsidDel="00000000" w:rsidR="00000000" w:rsidRPr="00000000">
        <w:rPr>
          <w:rFonts w:ascii="Times New Roman" w:cs="Times New Roman" w:eastAsia="Times New Roman" w:hAnsi="Times New Roman"/>
          <w:i w:val="1"/>
          <w:iCs w:val="1"/>
          <w:color w:val="333333"/>
          <w:sz w:val="24"/>
          <w:szCs w:val="24"/>
          <w:rtl w:val="0"/>
        </w:rPr>
        <w:t xml:space="preserve">Multiple marginality and gangs: Through a prism darkly</w:t>
      </w:r>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0C4">
      <w:pPr>
        <w:spacing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333333"/>
          <w:sz w:val="24"/>
          <w:szCs w:val="24"/>
          <w:rtl w:val="0"/>
        </w:rPr>
        <w:t xml:space="preserve">Wakefield, S., &amp; Wildeman, C. (2018). </w:t>
      </w:r>
      <w:r w:rsidDel="00000000" w:rsidR="00000000" w:rsidRPr="00000000">
        <w:rPr>
          <w:rFonts w:ascii="Times New Roman" w:cs="Times New Roman" w:eastAsia="Times New Roman" w:hAnsi="Times New Roman"/>
          <w:i w:val="1"/>
          <w:iCs w:val="1"/>
          <w:color w:val="333333"/>
          <w:sz w:val="24"/>
          <w:szCs w:val="24"/>
          <w:rtl w:val="0"/>
        </w:rPr>
        <w:t xml:space="preserve">How parental incarceration harms children and what to do about it</w:t>
      </w:r>
      <w:r w:rsidDel="00000000" w:rsidR="00000000" w:rsidRPr="00000000">
        <w:rPr>
          <w:rFonts w:ascii="Times New Roman" w:cs="Times New Roman" w:eastAsia="Times New Roman" w:hAnsi="Times New Roman"/>
          <w:color w:val="333333"/>
          <w:sz w:val="24"/>
          <w:szCs w:val="24"/>
          <w:rtl w:val="0"/>
        </w:rPr>
        <w:t xml:space="preserve"> (NCFR Policy Brief). National Council on Family Relations. </w:t>
      </w:r>
      <w:hyperlink r:id="rId37">
        <w:r w:rsidDel="00000000" w:rsidR="00000000" w:rsidRPr="00000000">
          <w:rPr>
            <w:rFonts w:ascii="Times New Roman" w:cs="Times New Roman" w:eastAsia="Times New Roman" w:hAnsi="Times New Roman"/>
            <w:color w:val="1155cc"/>
            <w:sz w:val="24"/>
            <w:szCs w:val="24"/>
            <w:u w:val="single"/>
            <w:rtl w:val="0"/>
          </w:rPr>
          <w:t xml:space="preserve">https://www.ncfr.org/sites/default/files/2018-01/How%20Parental%20Incarceration%20Harms%20Children%20NCFR%20Policy_Full%20Brief_Jan.%202018_0.pdf</w:t>
        </w:r>
      </w:hyperlink>
      <w:r w:rsidDel="00000000" w:rsidR="00000000" w:rsidRPr="00000000">
        <w:rPr>
          <w:rtl w:val="0"/>
        </w:rPr>
      </w:r>
    </w:p>
    <w:p w:rsidR="00000000" w:rsidDel="00000000" w:rsidP="00000000" w:rsidRDefault="00000000" w:rsidRPr="00000000" w14:paraId="000000C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Yoder, K. A., Whitbeck, L. B., &amp; Hoyt, D. R. (2003). Gang Involvement and Membership among Homeless and Runaway Youth. </w:t>
      </w:r>
      <w:r w:rsidDel="00000000" w:rsidR="00000000" w:rsidRPr="00000000">
        <w:rPr>
          <w:rFonts w:ascii="Times New Roman" w:cs="Times New Roman" w:eastAsia="Times New Roman" w:hAnsi="Times New Roman"/>
          <w:i w:val="1"/>
          <w:iCs w:val="1"/>
          <w:sz w:val="24"/>
          <w:szCs w:val="24"/>
          <w:rtl w:val="0"/>
        </w:rPr>
        <w:t xml:space="preserve">Youth &amp;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(4), 441–467. </w:t>
      </w:r>
      <w:hyperlink r:id="rId38">
        <w:r w:rsidDel="00000000" w:rsidR="00000000" w:rsidRPr="00000000">
          <w:rPr>
            <w:rFonts w:ascii="Times New Roman" w:cs="Times New Roman" w:eastAsia="Times New Roman" w:hAnsi="Times New Roman"/>
            <w:color w:val="1155cc"/>
            <w:sz w:val="24"/>
            <w:szCs w:val="24"/>
            <w:u w:val="single"/>
            <w:rtl w:val="0"/>
          </w:rPr>
          <w:t xml:space="preserve">https://doi.org/10.1177/0044118x03034004003</w:t>
        </w:r>
      </w:hyperlink>
      <w:r w:rsidDel="00000000" w:rsidR="00000000" w:rsidRPr="00000000">
        <w:rPr>
          <w:rFonts w:ascii="Times New Roman" w:cs="Times New Roman" w:eastAsia="Times New Roman" w:hAnsi="Times New Roman"/>
          <w:sz w:val="24"/>
          <w:szCs w:val="24"/>
          <w:rtl w:val="0"/>
        </w:rPr>
        <w:t xml:space="preserve"> </w:t>
      </w:r>
    </w:p>
    <w:sectPr>
      <w:head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77/1534765608320329" TargetMode="External"/><Relationship Id="rId22" Type="http://schemas.openxmlformats.org/officeDocument/2006/relationships/hyperlink" Target="https://doi.org/10.1080/00221546.2006.11772367" TargetMode="External"/><Relationship Id="rId21" Type="http://schemas.openxmlformats.org/officeDocument/2006/relationships/hyperlink" Target="https://doi.org/10.1080/00221546.2006.11772367" TargetMode="External"/><Relationship Id="rId24" Type="http://schemas.openxmlformats.org/officeDocument/2006/relationships/hyperlink" Target="https://dmh.lacounty.gov/" TargetMode="External"/><Relationship Id="rId23" Type="http://schemas.openxmlformats.org/officeDocument/2006/relationships/hyperlink" Target="https://dmh.lacounty.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o.lacounty.gov/wp-content/uploads/2020/10/1077045_AlternativestoIncarcerationWorkGroupFinalReport.pdf" TargetMode="External"/><Relationship Id="rId26" Type="http://schemas.openxmlformats.org/officeDocument/2006/relationships/hyperlink" Target="https://lahsa.org/" TargetMode="External"/><Relationship Id="rId25" Type="http://schemas.openxmlformats.org/officeDocument/2006/relationships/hyperlink" Target="https://lahsa.org/" TargetMode="External"/><Relationship Id="rId28" Type="http://schemas.openxmlformats.org/officeDocument/2006/relationships/hyperlink" Target="https://mayor.lacity.gov/news/mayor-karen-bass-and-community-safety-partners-highlight-success-community-programs-reducing" TargetMode="External"/><Relationship Id="rId27" Type="http://schemas.openxmlformats.org/officeDocument/2006/relationships/hyperlink" Target="http://www.publichealth.lacounty.gov/ovp/TPI.htm" TargetMode="External"/><Relationship Id="rId5" Type="http://schemas.openxmlformats.org/officeDocument/2006/relationships/styles" Target="styles.xml"/><Relationship Id="rId6" Type="http://schemas.openxmlformats.org/officeDocument/2006/relationships/hyperlink" Target="https://www.ppic.org/publication/poverty-in-california/" TargetMode="External"/><Relationship Id="rId29" Type="http://schemas.openxmlformats.org/officeDocument/2006/relationships/hyperlink" Target="https://mayor.lacity.gov/news/mayor-karen-bass-and-community-safety-partners-highlight-success-community-programs-reducing" TargetMode="External"/><Relationship Id="rId7" Type="http://schemas.openxmlformats.org/officeDocument/2006/relationships/hyperlink" Target="https://www.ppic.org/publication/poverty-in-california/" TargetMode="External"/><Relationship Id="rId8" Type="http://schemas.openxmlformats.org/officeDocument/2006/relationships/hyperlink" Target="https://ceo.lacounty.gov/wp-content/uploads/2020/10/1077045_AlternativestoIncarcerationWorkGroupFinalReport.pdf" TargetMode="External"/><Relationship Id="rId31" Type="http://schemas.openxmlformats.org/officeDocument/2006/relationships/hyperlink" Target="http://www.jstor.org/stable/23366753" TargetMode="External"/><Relationship Id="rId30" Type="http://schemas.openxmlformats.org/officeDocument/2006/relationships/hyperlink" Target="https://www.proquest.com/openview/7b9e805416e0ff3f5598ff53b5bf699c/1?pq-origsite=gscholar&amp;cbl=44156" TargetMode="External"/><Relationship Id="rId11" Type="http://schemas.openxmlformats.org/officeDocument/2006/relationships/hyperlink" Target="https://gryd.lacity.org/" TargetMode="External"/><Relationship Id="rId33" Type="http://schemas.openxmlformats.org/officeDocument/2006/relationships/hyperlink" Target="https://www.ssa.gov/policy/docs/research-summaries/education-earnings.html" TargetMode="External"/><Relationship Id="rId10" Type="http://schemas.openxmlformats.org/officeDocument/2006/relationships/hyperlink" Target="https://gryd.lacity.org/" TargetMode="External"/><Relationship Id="rId32" Type="http://schemas.openxmlformats.org/officeDocument/2006/relationships/hyperlink" Target="http://www.jstor.org/stable/23366753" TargetMode="External"/><Relationship Id="rId13" Type="http://schemas.openxmlformats.org/officeDocument/2006/relationships/hyperlink" Target="https://doi.org/10.1016/j.jpubeco.2006.11.009" TargetMode="External"/><Relationship Id="rId35" Type="http://schemas.openxmlformats.org/officeDocument/2006/relationships/hyperlink" Target="https://doi.org/10.1007/s13524-015-0407-0" TargetMode="External"/><Relationship Id="rId12" Type="http://schemas.openxmlformats.org/officeDocument/2006/relationships/hyperlink" Target="https://doi.org/10.1016/j.jpubeco.2006.11.009" TargetMode="External"/><Relationship Id="rId34" Type="http://schemas.openxmlformats.org/officeDocument/2006/relationships/hyperlink" Target="https://www.ssa.gov/policy/docs/research-summaries/education-earnings.html" TargetMode="External"/><Relationship Id="rId15" Type="http://schemas.openxmlformats.org/officeDocument/2006/relationships/hyperlink" Target="https://research.collegeboard.org/media/pdf/education-pays-2023.pdf" TargetMode="External"/><Relationship Id="rId37" Type="http://schemas.openxmlformats.org/officeDocument/2006/relationships/hyperlink" Target="https://www.ncfr.org/sites/default/files/2018-01/How%20Parental%20Incarceration%20Harms%20Children%20NCFR%20Policy_Full%20Brief_Jan.%202018_0.pdf" TargetMode="External"/><Relationship Id="rId14" Type="http://schemas.openxmlformats.org/officeDocument/2006/relationships/hyperlink" Target="https://research.collegeboard.org/media/pdf/education-pays-2023.pdf" TargetMode="External"/><Relationship Id="rId36" Type="http://schemas.openxmlformats.org/officeDocument/2006/relationships/hyperlink" Target="https://doi.org/10.1007/s13524-015-0407-0" TargetMode="External"/><Relationship Id="rId17" Type="http://schemas.openxmlformats.org/officeDocument/2006/relationships/hyperlink" Target="https://www.proquest.com/openview/74d28b29415e8422bcea23d8682d9d41/1?pq-origsite=gscholar&amp;cbl=18750&amp;diss=y" TargetMode="External"/><Relationship Id="rId39" Type="http://schemas.openxmlformats.org/officeDocument/2006/relationships/header" Target="header1.xml"/><Relationship Id="rId16" Type="http://schemas.openxmlformats.org/officeDocument/2006/relationships/hyperlink" Target="http://proquest.com" TargetMode="External"/><Relationship Id="rId38" Type="http://schemas.openxmlformats.org/officeDocument/2006/relationships/hyperlink" Target="https://doi.org/10.1177/0044118x03034004003" TargetMode="External"/><Relationship Id="rId19" Type="http://schemas.openxmlformats.org/officeDocument/2006/relationships/hyperlink" Target="https://www.newsweek.com/2016/09/02/how-poverty-affects-brains-493239.html" TargetMode="External"/><Relationship Id="rId18" Type="http://schemas.openxmlformats.org/officeDocument/2006/relationships/hyperlink" Target="https://doi.org/10.1371/journal.pone.00809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