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8C46A" w14:textId="259EF58C" w:rsidR="004B472D" w:rsidRDefault="004B472D" w:rsidP="004B472D">
      <w:pPr>
        <w:spacing w:after="0" w:line="240" w:lineRule="auto"/>
        <w:rPr>
          <w:rFonts w:ascii="Arial" w:hAnsi="Arial" w:cs="Arial"/>
          <w:b/>
          <w:lang w:val="es-ES"/>
        </w:rPr>
      </w:pPr>
      <w:r>
        <w:rPr>
          <w:rFonts w:ascii="Arial" w:hAnsi="Arial" w:cs="Arial"/>
          <w:b/>
          <w:lang w:val="es-ES"/>
        </w:rPr>
        <w:t>Ejercicio 6 del taller</w:t>
      </w:r>
    </w:p>
    <w:p w14:paraId="5E3ED3AC" w14:textId="070F525F" w:rsidR="004B472D" w:rsidRDefault="004B472D" w:rsidP="004B472D">
      <w:pPr>
        <w:spacing w:after="0" w:line="240" w:lineRule="auto"/>
        <w:rPr>
          <w:rFonts w:ascii="Arial" w:hAnsi="Arial" w:cs="Arial"/>
          <w:b/>
          <w:lang w:val="es-ES"/>
        </w:rPr>
      </w:pPr>
    </w:p>
    <w:p w14:paraId="3B419626" w14:textId="77777777" w:rsidR="004B472D" w:rsidRDefault="004B472D" w:rsidP="004B472D">
      <w:pPr>
        <w:spacing w:after="0" w:line="240" w:lineRule="auto"/>
      </w:pPr>
      <w:r>
        <w:t xml:space="preserve">6. (Navarro, J. (1996). La prueba Q de Cochran. Teoría y Aplicaciones en Biología. Educación Matemática, No. 1, </w:t>
      </w:r>
      <w:proofErr w:type="spellStart"/>
      <w:r>
        <w:t>Vol</w:t>
      </w:r>
      <w:proofErr w:type="spellEnd"/>
      <w:r>
        <w:t xml:space="preserve"> VIII: 78-92). Rico-Gray (1993) estudió el </w:t>
      </w:r>
      <w:bookmarkStart w:id="0" w:name="_Hlk81047301"/>
      <w:r>
        <w:t>uso de recursos alimenticios por especie de hormigas</w:t>
      </w:r>
      <w:bookmarkEnd w:id="0"/>
      <w:r>
        <w:t>, las cuales “seleccionan” fuentes alimenticias líquido/energía en la vegetación de la planicie tropical de la costa de Veracruz, México. Las fuentes alimenticias clasificadas por Rico Gray fueron ocho: FL (néctar floral), NER (néctar de otras estructuras reproductivas productivas), E (</w:t>
      </w:r>
      <w:proofErr w:type="spellStart"/>
      <w:r>
        <w:t>elaiosoma</w:t>
      </w:r>
      <w:proofErr w:type="spellEnd"/>
      <w:r>
        <w:t xml:space="preserve">), HOM (Homóptera), LEP (Lepidóptera), NEF (néctar </w:t>
      </w:r>
      <w:proofErr w:type="spellStart"/>
      <w:r>
        <w:t>extrafloral</w:t>
      </w:r>
      <w:proofErr w:type="spellEnd"/>
      <w:r>
        <w:t xml:space="preserve">), FL/S (flores sobre el suelo) y FR/S (frutos sobre el suelo) y de estas ocho, FL, NER, HOM y NEF fueron las fuentes más utilizadas. Un problema de interés ecológico es responder si hay diferencia o no respecto a la preferencia de algunas de estas últimas cuatro fuentes, por parte de las especies de hormiga. Estadísticamente se puede trasladar este problema a probar que las fuentes alimenticias tienen igual porcentaje de selección (por parte de las especies de hormiga). Aquí hay más de dos muestras, pues hay cuatro fuentes utilizables y, de acuerdo con la descripción de cómo se hizo la investigación, saldrá a relucir la aplicación del principio de bloqueo. Método En un tramo de 1 km del área de estudio, Rico-Gray hizo observaciones de campo durante un año en visitas quincenales (que requerían tres días en total por visita), en las cuales registró todas las ocurrencias de hormigas que estuvieran colectando líquidos de diferentes especies de plantas o que estuvieran en contacto con otros insectos que se alimentan del néctar de plantas (como algunos homópteros o lepidópteros), o que estuvieran libando de flores o frutos caídos. Las ocurrencias de las especies de hormigas se hicieron en plantas que visitaron todas ellas durante todo el estudio, y que fueron marcadas para su revisión en cada observación de campo. Las unidades de muestreo fueron las gotas de néctar cuya fuente era alguna estructura que proporciona néctar como, por ejemplo, una planta de las plantas marcadas, o de algún </w:t>
      </w:r>
      <w:proofErr w:type="spellStart"/>
      <w:r>
        <w:t>nectarífago</w:t>
      </w:r>
      <w:proofErr w:type="spellEnd"/>
      <w:r>
        <w:t xml:space="preserve"> asociado a éstas. El análisis Q compararía las proporciones de uso de las 4 fuentes más usadas. Se consideró que una especie de hormiga tenía preferencia por una determinada fuente alimenticia (es decir, se registraba: “usa la fuente”), cuando individuos de la especie en cuestión estaban inmóviles, con sus partes bucales en contacto con los tejidos secretores de néctar o estuvieran palpando con su antena los depósitos de néctar de los Homópteros o Lepidópteros portadores, durante varios minutos. Si esto no sucedía en ninguna de las observaciones de campo, se registraba “no usa la fuente.” Debido a que en el área de estudio cada especie de hormiga difiere en abundancia y comportamiento (etología), biológicamente cada una tiene estrategias diferentes de acceso a las fuentes de néctar (específicamente, a las gotas de néctar que provienen de cada fuente), </w:t>
      </w:r>
      <w:proofErr w:type="gramStart"/>
      <w:r>
        <w:t>y</w:t>
      </w:r>
      <w:proofErr w:type="gramEnd"/>
      <w:r>
        <w:t xml:space="preserve"> por tanto, nos sugiere que las especies sean consideradas como bloques. Claro, aquí se supone que las cuatro fuentes alimenticias estaban disponibles para los individuos de todas las especies de hormiga registradas, para </w:t>
      </w:r>
      <w:proofErr w:type="gramStart"/>
      <w:r>
        <w:t>que</w:t>
      </w:r>
      <w:proofErr w:type="gramEnd"/>
      <w:r>
        <w:t xml:space="preserve"> al tener a las especies de hormiga como bloques, todos los “tratamientos” (fuentes alimenticias) estén representados en cada bloque. Uso de las cuatro fuentes alimenticias líquido/</w:t>
      </w:r>
      <w:proofErr w:type="gramStart"/>
      <w:r>
        <w:t>energía más frecuentadas</w:t>
      </w:r>
      <w:proofErr w:type="gramEnd"/>
      <w:r>
        <w:t xml:space="preserve"> por especies de hormigas en la vegetación de la zona baja tropical seca de la costa de Veracruz (Estación biológica El morro de la Mancha). Los datos fueron obtenidos por Rico-Gray (1993). Los tipos de recursos alimenticios presentados aquí son: FL (néctar floral); NER (néctar de otras estructuras reproductivas); HOM (Homóptera) y NEF (néctar </w:t>
      </w:r>
      <w:proofErr w:type="spellStart"/>
      <w:r>
        <w:t>extrafloral</w:t>
      </w:r>
      <w:proofErr w:type="spellEnd"/>
      <w:r>
        <w:t xml:space="preserve">). </w:t>
      </w:r>
    </w:p>
    <w:p w14:paraId="0DD4EFB6" w14:textId="3CFCD5A9" w:rsidR="004B472D" w:rsidRDefault="004B472D" w:rsidP="004B472D">
      <w:pPr>
        <w:spacing w:after="0" w:line="240" w:lineRule="auto"/>
      </w:pPr>
    </w:p>
    <w:p w14:paraId="4A9D853E" w14:textId="7CD3DCB5" w:rsidR="004B472D" w:rsidRDefault="004B472D" w:rsidP="004B472D">
      <w:pPr>
        <w:spacing w:after="0" w:line="240" w:lineRule="auto"/>
      </w:pPr>
      <w:r>
        <w:rPr>
          <w:noProof/>
        </w:rPr>
        <w:lastRenderedPageBreak/>
        <w:drawing>
          <wp:inline distT="0" distB="0" distL="0" distR="0" wp14:anchorId="66C6F7F3" wp14:editId="7A2317FD">
            <wp:extent cx="5210175" cy="48672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0175" cy="4867275"/>
                    </a:xfrm>
                    <a:prstGeom prst="rect">
                      <a:avLst/>
                    </a:prstGeom>
                  </pic:spPr>
                </pic:pic>
              </a:graphicData>
            </a:graphic>
          </wp:inline>
        </w:drawing>
      </w:r>
    </w:p>
    <w:p w14:paraId="574DE31A" w14:textId="77777777" w:rsidR="004B472D" w:rsidRDefault="004B472D" w:rsidP="004B472D">
      <w:pPr>
        <w:spacing w:after="0" w:line="240" w:lineRule="auto"/>
      </w:pPr>
    </w:p>
    <w:p w14:paraId="71D7CA9E" w14:textId="5E2A0A2B" w:rsidR="004B472D" w:rsidRPr="004B472D" w:rsidRDefault="004B472D" w:rsidP="004B472D">
      <w:pPr>
        <w:spacing w:after="0" w:line="240" w:lineRule="auto"/>
        <w:rPr>
          <w:rFonts w:ascii="Arial" w:hAnsi="Arial" w:cs="Arial"/>
          <w:bCs/>
          <w:lang w:val="es-ES"/>
        </w:rPr>
      </w:pPr>
      <w:r>
        <w:t>Responda si hay diferencia o no respecto a la preferencia de algunas de estas últimas cuatro fuentes, por parte de las especies de hormiga. Estadísticamente se puede trasladar este problema a probar que las fuentes alimenticias tienen igual porcentaje de selección (por parte de las especies de hormiga). Utilice α=10%.</w:t>
      </w:r>
    </w:p>
    <w:p w14:paraId="5258313F" w14:textId="77777777" w:rsidR="004B472D" w:rsidRDefault="004B472D" w:rsidP="004B472D">
      <w:pPr>
        <w:spacing w:after="0" w:line="240" w:lineRule="auto"/>
        <w:rPr>
          <w:rFonts w:ascii="Arial" w:hAnsi="Arial" w:cs="Arial"/>
          <w:b/>
          <w:lang w:val="es-ES"/>
        </w:rPr>
      </w:pPr>
    </w:p>
    <w:p w14:paraId="334175B8" w14:textId="11A3DD2D" w:rsidR="004B472D" w:rsidRPr="004D1C6A" w:rsidRDefault="004B472D" w:rsidP="004B472D">
      <w:pPr>
        <w:spacing w:after="0" w:line="240" w:lineRule="auto"/>
        <w:rPr>
          <w:rFonts w:ascii="Arial" w:hAnsi="Arial" w:cs="Arial"/>
          <w:b/>
          <w:lang w:val="es-ES"/>
        </w:rPr>
      </w:pPr>
      <w:r w:rsidRPr="004D1C6A">
        <w:rPr>
          <w:rFonts w:ascii="Arial" w:hAnsi="Arial" w:cs="Arial"/>
          <w:b/>
          <w:lang w:val="es-ES"/>
        </w:rPr>
        <w:t>prueba Q</w:t>
      </w:r>
      <w:r>
        <w:rPr>
          <w:rFonts w:ascii="Arial" w:hAnsi="Arial" w:cs="Arial"/>
          <w:b/>
          <w:lang w:val="es-ES"/>
        </w:rPr>
        <w:t xml:space="preserve"> de Cochran</w:t>
      </w:r>
      <w:r>
        <w:rPr>
          <w:rFonts w:ascii="Arial" w:hAnsi="Arial" w:cs="Arial"/>
          <w:b/>
          <w:lang w:val="es-ES"/>
        </w:rPr>
        <w:t xml:space="preserve"> </w:t>
      </w:r>
    </w:p>
    <w:p w14:paraId="714DD315" w14:textId="77777777" w:rsidR="004B472D" w:rsidRDefault="004B472D" w:rsidP="004B472D">
      <w:pPr>
        <w:spacing w:after="0" w:line="240" w:lineRule="auto"/>
        <w:rPr>
          <w:rFonts w:ascii="Arial" w:hAnsi="Arial" w:cs="Arial"/>
          <w:lang w:val="es-ES"/>
        </w:rPr>
      </w:pPr>
    </w:p>
    <w:p w14:paraId="51A7B228" w14:textId="77777777" w:rsidR="004B472D" w:rsidRPr="0001594F" w:rsidRDefault="004B472D" w:rsidP="004B472D">
      <w:pPr>
        <w:spacing w:after="0" w:line="240" w:lineRule="auto"/>
        <w:jc w:val="both"/>
        <w:rPr>
          <w:rFonts w:ascii="Arial" w:hAnsi="Arial" w:cs="Arial"/>
          <w:b/>
          <w:lang w:val="es-ES"/>
        </w:rPr>
      </w:pPr>
      <w:r w:rsidRPr="0001594F">
        <w:rPr>
          <w:rFonts w:ascii="Arial" w:hAnsi="Arial" w:cs="Arial"/>
          <w:b/>
          <w:lang w:val="es-ES"/>
        </w:rPr>
        <w:t>Metodología</w:t>
      </w:r>
    </w:p>
    <w:p w14:paraId="296A872B" w14:textId="3C1585E9" w:rsidR="004B472D" w:rsidRDefault="004B472D" w:rsidP="004B472D">
      <w:pPr>
        <w:spacing w:after="0" w:line="240" w:lineRule="auto"/>
        <w:jc w:val="both"/>
        <w:rPr>
          <w:rFonts w:ascii="Arial" w:hAnsi="Arial" w:cs="Arial"/>
          <w:lang w:val="es-ES"/>
        </w:rPr>
      </w:pPr>
      <w:r>
        <w:rPr>
          <w:rFonts w:ascii="Arial" w:hAnsi="Arial" w:cs="Arial"/>
          <w:lang w:val="es-ES"/>
        </w:rPr>
        <w:t xml:space="preserve">Se utilizó la prueba Q de Cochran en la comparación de la </w:t>
      </w:r>
      <w:r w:rsidR="00E74C32" w:rsidRPr="004D1C6A">
        <w:rPr>
          <w:rFonts w:ascii="Arial" w:hAnsi="Arial" w:cs="Arial"/>
          <w:lang w:val="es-ES"/>
        </w:rPr>
        <w:t xml:space="preserve">proporción de </w:t>
      </w:r>
      <w:r w:rsidR="00E74C32">
        <w:rPr>
          <w:rFonts w:ascii="Arial" w:hAnsi="Arial" w:cs="Arial"/>
          <w:lang w:val="es-ES"/>
        </w:rPr>
        <w:t>fuentes</w:t>
      </w:r>
      <w:r w:rsidR="00E74C32" w:rsidRPr="005B0BCD">
        <w:rPr>
          <w:rFonts w:ascii="Arial" w:hAnsi="Arial" w:cs="Arial"/>
          <w:lang w:val="es-ES"/>
        </w:rPr>
        <w:t xml:space="preserve"> alimentici</w:t>
      </w:r>
      <w:r w:rsidR="00E74C32">
        <w:rPr>
          <w:rFonts w:ascii="Arial" w:hAnsi="Arial" w:cs="Arial"/>
          <w:lang w:val="es-ES"/>
        </w:rPr>
        <w:t>a</w:t>
      </w:r>
      <w:r w:rsidR="00E74C32" w:rsidRPr="005B0BCD">
        <w:rPr>
          <w:rFonts w:ascii="Arial" w:hAnsi="Arial" w:cs="Arial"/>
          <w:lang w:val="es-ES"/>
        </w:rPr>
        <w:t>s</w:t>
      </w:r>
      <w:r w:rsidR="00E74C32">
        <w:rPr>
          <w:rFonts w:ascii="Arial" w:hAnsi="Arial" w:cs="Arial"/>
          <w:lang w:val="es-ES"/>
        </w:rPr>
        <w:t xml:space="preserve"> utilizadas</w:t>
      </w:r>
      <w:r w:rsidR="00E74C32" w:rsidRPr="005B0BCD">
        <w:rPr>
          <w:rFonts w:ascii="Arial" w:hAnsi="Arial" w:cs="Arial"/>
          <w:lang w:val="es-ES"/>
        </w:rPr>
        <w:t xml:space="preserve"> por especie</w:t>
      </w:r>
      <w:r w:rsidR="00E74C32">
        <w:rPr>
          <w:rFonts w:ascii="Arial" w:hAnsi="Arial" w:cs="Arial"/>
          <w:lang w:val="es-ES"/>
        </w:rPr>
        <w:t>s</w:t>
      </w:r>
      <w:r w:rsidR="00E74C32" w:rsidRPr="005B0BCD">
        <w:rPr>
          <w:rFonts w:ascii="Arial" w:hAnsi="Arial" w:cs="Arial"/>
          <w:lang w:val="es-ES"/>
        </w:rPr>
        <w:t xml:space="preserve"> de hormigas</w:t>
      </w:r>
      <w:r w:rsidR="00E74C32">
        <w:rPr>
          <w:rFonts w:ascii="Arial" w:hAnsi="Arial" w:cs="Arial"/>
          <w:lang w:val="es-ES"/>
        </w:rPr>
        <w:t xml:space="preserve"> en 4</w:t>
      </w:r>
      <w:r w:rsidR="00E74C32">
        <w:rPr>
          <w:rFonts w:ascii="Arial" w:hAnsi="Arial" w:cs="Arial"/>
          <w:lang w:val="es-ES"/>
        </w:rPr>
        <w:t xml:space="preserve"> fuente</w:t>
      </w:r>
      <w:r w:rsidR="00E74C32">
        <w:rPr>
          <w:rFonts w:ascii="Arial" w:hAnsi="Arial" w:cs="Arial"/>
          <w:lang w:val="es-ES"/>
        </w:rPr>
        <w:t xml:space="preserve">s alimenticias diferentes </w:t>
      </w:r>
      <w:r>
        <w:rPr>
          <w:rFonts w:ascii="Arial" w:hAnsi="Arial" w:cs="Arial"/>
          <w:lang w:val="es-ES"/>
        </w:rPr>
        <w:t xml:space="preserve">(Conover, 1999). En las comparaciones múltiples se utilizó la prueba de </w:t>
      </w:r>
      <w:proofErr w:type="spellStart"/>
      <w:r>
        <w:rPr>
          <w:rFonts w:ascii="Arial" w:hAnsi="Arial" w:cs="Arial"/>
          <w:lang w:val="es-ES"/>
        </w:rPr>
        <w:t>McNemar</w:t>
      </w:r>
      <w:proofErr w:type="spellEnd"/>
      <w:r>
        <w:rPr>
          <w:rFonts w:ascii="Arial" w:hAnsi="Arial" w:cs="Arial"/>
          <w:lang w:val="es-ES"/>
        </w:rPr>
        <w:t xml:space="preserve"> (Conover, 1999). Las pruebas se consideraron significativas cuando P&lt;0.</w:t>
      </w:r>
      <w:r w:rsidR="00E3236F">
        <w:rPr>
          <w:rFonts w:ascii="Arial" w:hAnsi="Arial" w:cs="Arial"/>
          <w:lang w:val="es-ES"/>
        </w:rPr>
        <w:t>10</w:t>
      </w:r>
      <w:r>
        <w:rPr>
          <w:rFonts w:ascii="Arial" w:hAnsi="Arial" w:cs="Arial"/>
          <w:lang w:val="es-ES"/>
        </w:rPr>
        <w:t>, y se utilizó el paquete estadístico R (Referencia).</w:t>
      </w:r>
    </w:p>
    <w:p w14:paraId="76D03FE7" w14:textId="77777777" w:rsidR="004B472D" w:rsidRDefault="004B472D" w:rsidP="004B472D">
      <w:pPr>
        <w:spacing w:after="0" w:line="240" w:lineRule="auto"/>
        <w:jc w:val="both"/>
        <w:rPr>
          <w:rFonts w:ascii="Arial" w:hAnsi="Arial" w:cs="Arial"/>
          <w:lang w:val="es-ES"/>
        </w:rPr>
      </w:pPr>
    </w:p>
    <w:p w14:paraId="2E308578" w14:textId="77777777" w:rsidR="004B472D" w:rsidRPr="0001594F" w:rsidRDefault="004B472D" w:rsidP="004B472D">
      <w:pPr>
        <w:spacing w:after="0" w:line="240" w:lineRule="auto"/>
        <w:jc w:val="both"/>
        <w:rPr>
          <w:rFonts w:ascii="Arial" w:hAnsi="Arial" w:cs="Arial"/>
          <w:b/>
          <w:lang w:val="es-ES"/>
        </w:rPr>
      </w:pPr>
      <w:r w:rsidRPr="0001594F">
        <w:rPr>
          <w:rFonts w:ascii="Arial" w:hAnsi="Arial" w:cs="Arial"/>
          <w:b/>
          <w:lang w:val="es-ES"/>
        </w:rPr>
        <w:t>Resultados</w:t>
      </w:r>
    </w:p>
    <w:p w14:paraId="167D0C83" w14:textId="5479B4BD" w:rsidR="004B472D" w:rsidRDefault="004B472D" w:rsidP="004B472D">
      <w:pPr>
        <w:spacing w:after="0" w:line="240" w:lineRule="auto"/>
        <w:jc w:val="both"/>
        <w:rPr>
          <w:rFonts w:ascii="Arial" w:hAnsi="Arial" w:cs="Arial"/>
          <w:lang w:val="es-ES"/>
        </w:rPr>
      </w:pPr>
      <w:r w:rsidRPr="004D1C6A">
        <w:rPr>
          <w:rFonts w:ascii="Arial" w:hAnsi="Arial" w:cs="Arial"/>
          <w:lang w:val="es-ES"/>
        </w:rPr>
        <w:t xml:space="preserve">La proporción de </w:t>
      </w:r>
      <w:r w:rsidR="005B0BCD">
        <w:rPr>
          <w:rFonts w:ascii="Arial" w:hAnsi="Arial" w:cs="Arial"/>
          <w:lang w:val="es-ES"/>
        </w:rPr>
        <w:t>fuentes</w:t>
      </w:r>
      <w:r w:rsidR="005B0BCD" w:rsidRPr="005B0BCD">
        <w:rPr>
          <w:rFonts w:ascii="Arial" w:hAnsi="Arial" w:cs="Arial"/>
          <w:lang w:val="es-ES"/>
        </w:rPr>
        <w:t xml:space="preserve"> alimentici</w:t>
      </w:r>
      <w:r w:rsidR="005B0BCD">
        <w:rPr>
          <w:rFonts w:ascii="Arial" w:hAnsi="Arial" w:cs="Arial"/>
          <w:lang w:val="es-ES"/>
        </w:rPr>
        <w:t>a</w:t>
      </w:r>
      <w:r w:rsidR="005B0BCD" w:rsidRPr="005B0BCD">
        <w:rPr>
          <w:rFonts w:ascii="Arial" w:hAnsi="Arial" w:cs="Arial"/>
          <w:lang w:val="es-ES"/>
        </w:rPr>
        <w:t>s</w:t>
      </w:r>
      <w:r w:rsidR="005B0BCD">
        <w:rPr>
          <w:rFonts w:ascii="Arial" w:hAnsi="Arial" w:cs="Arial"/>
          <w:lang w:val="es-ES"/>
        </w:rPr>
        <w:t xml:space="preserve"> utilizadas</w:t>
      </w:r>
      <w:r w:rsidR="005B0BCD" w:rsidRPr="005B0BCD">
        <w:rPr>
          <w:rFonts w:ascii="Arial" w:hAnsi="Arial" w:cs="Arial"/>
          <w:lang w:val="es-ES"/>
        </w:rPr>
        <w:t xml:space="preserve"> por especie</w:t>
      </w:r>
      <w:r w:rsidR="005B0BCD">
        <w:rPr>
          <w:rFonts w:ascii="Arial" w:hAnsi="Arial" w:cs="Arial"/>
          <w:lang w:val="es-ES"/>
        </w:rPr>
        <w:t>s</w:t>
      </w:r>
      <w:r w:rsidR="005B0BCD" w:rsidRPr="005B0BCD">
        <w:rPr>
          <w:rFonts w:ascii="Arial" w:hAnsi="Arial" w:cs="Arial"/>
          <w:lang w:val="es-ES"/>
        </w:rPr>
        <w:t xml:space="preserve"> de hormigas</w:t>
      </w:r>
      <w:r w:rsidRPr="004D1C6A">
        <w:rPr>
          <w:rFonts w:ascii="Arial" w:hAnsi="Arial" w:cs="Arial"/>
          <w:lang w:val="es-ES"/>
        </w:rPr>
        <w:t xml:space="preserve"> difiere significativamente según el tipo </w:t>
      </w:r>
      <w:r w:rsidR="005B0BCD">
        <w:rPr>
          <w:rFonts w:ascii="Arial" w:hAnsi="Arial" w:cs="Arial"/>
          <w:lang w:val="es-ES"/>
        </w:rPr>
        <w:t>de fuente</w:t>
      </w:r>
      <w:r w:rsidRPr="004D1C6A">
        <w:rPr>
          <w:rFonts w:ascii="Arial" w:hAnsi="Arial" w:cs="Arial"/>
          <w:lang w:val="es-ES"/>
        </w:rPr>
        <w:t xml:space="preserve"> (Q=</w:t>
      </w:r>
      <w:r w:rsidR="00171D14" w:rsidRPr="00171D14">
        <w:t xml:space="preserve"> </w:t>
      </w:r>
      <w:r w:rsidR="00171D14" w:rsidRPr="00171D14">
        <w:rPr>
          <w:rFonts w:ascii="Arial" w:hAnsi="Arial" w:cs="Arial"/>
          <w:lang w:val="es-ES"/>
        </w:rPr>
        <w:t>8.77358490566038</w:t>
      </w:r>
      <w:r w:rsidRPr="004D1C6A">
        <w:rPr>
          <w:rFonts w:ascii="Arial" w:hAnsi="Arial" w:cs="Arial"/>
          <w:lang w:val="es-ES"/>
        </w:rPr>
        <w:t xml:space="preserve">, </w:t>
      </w:r>
      <w:proofErr w:type="spellStart"/>
      <w:r w:rsidRPr="004D1C6A">
        <w:rPr>
          <w:rFonts w:ascii="Arial" w:hAnsi="Arial" w:cs="Arial"/>
          <w:lang w:val="es-ES"/>
        </w:rPr>
        <w:t>gl</w:t>
      </w:r>
      <w:proofErr w:type="spellEnd"/>
      <w:r w:rsidRPr="004D1C6A">
        <w:rPr>
          <w:rFonts w:ascii="Arial" w:hAnsi="Arial" w:cs="Arial"/>
          <w:lang w:val="es-ES"/>
        </w:rPr>
        <w:t>=</w:t>
      </w:r>
      <w:r w:rsidR="00171D14">
        <w:rPr>
          <w:rFonts w:ascii="Arial" w:hAnsi="Arial" w:cs="Arial"/>
          <w:lang w:val="es-ES"/>
        </w:rPr>
        <w:t>3</w:t>
      </w:r>
      <w:r w:rsidRPr="004D1C6A">
        <w:rPr>
          <w:rFonts w:ascii="Arial" w:hAnsi="Arial" w:cs="Arial"/>
          <w:lang w:val="es-ES"/>
        </w:rPr>
        <w:t>, P=</w:t>
      </w:r>
      <w:r w:rsidR="00171D14" w:rsidRPr="00171D14">
        <w:rPr>
          <w:rFonts w:ascii="Arial" w:hAnsi="Arial" w:cs="Arial"/>
          <w:lang w:val="es-ES"/>
        </w:rPr>
        <w:t xml:space="preserve">0.0324576983975803 </w:t>
      </w:r>
      <w:r w:rsidRPr="004D1C6A">
        <w:rPr>
          <w:rFonts w:ascii="Arial" w:hAnsi="Arial" w:cs="Arial"/>
          <w:lang w:val="es-ES"/>
        </w:rPr>
        <w:t>&lt;0.</w:t>
      </w:r>
      <w:r w:rsidR="00171D14">
        <w:rPr>
          <w:rFonts w:ascii="Arial" w:hAnsi="Arial" w:cs="Arial"/>
          <w:lang w:val="es-ES"/>
        </w:rPr>
        <w:t>10</w:t>
      </w:r>
      <w:r w:rsidRPr="004D1C6A">
        <w:rPr>
          <w:rFonts w:ascii="Arial" w:hAnsi="Arial" w:cs="Arial"/>
          <w:lang w:val="es-ES"/>
        </w:rPr>
        <w:t>). De la comparación múltiple (</w:t>
      </w:r>
      <w:r>
        <w:rPr>
          <w:rFonts w:ascii="Arial" w:hAnsi="Arial" w:cs="Arial"/>
          <w:lang w:val="es-ES"/>
        </w:rPr>
        <w:t>Tabla</w:t>
      </w:r>
      <w:r w:rsidRPr="004D1C6A">
        <w:rPr>
          <w:rFonts w:ascii="Arial" w:hAnsi="Arial" w:cs="Arial"/>
          <w:lang w:val="es-ES"/>
        </w:rPr>
        <w:t xml:space="preserve">) resultó que: 1) </w:t>
      </w:r>
      <w:proofErr w:type="spellStart"/>
      <w:r w:rsidR="00171D14">
        <w:rPr>
          <w:rFonts w:ascii="Arial" w:hAnsi="Arial" w:cs="Arial"/>
          <w:lang w:val="es-ES"/>
        </w:rPr>
        <w:t>fl</w:t>
      </w:r>
      <w:proofErr w:type="spellEnd"/>
      <w:r w:rsidR="00171D14">
        <w:rPr>
          <w:rFonts w:ascii="Arial" w:hAnsi="Arial" w:cs="Arial"/>
          <w:lang w:val="es-ES"/>
        </w:rPr>
        <w:t xml:space="preserve"> y </w:t>
      </w:r>
      <w:proofErr w:type="spellStart"/>
      <w:r w:rsidR="00171D14">
        <w:rPr>
          <w:rFonts w:ascii="Arial" w:hAnsi="Arial" w:cs="Arial"/>
          <w:lang w:val="es-ES"/>
        </w:rPr>
        <w:t>ner</w:t>
      </w:r>
      <w:proofErr w:type="spellEnd"/>
      <w:r w:rsidRPr="004D1C6A">
        <w:rPr>
          <w:rFonts w:ascii="Arial" w:hAnsi="Arial" w:cs="Arial"/>
          <w:lang w:val="es-ES"/>
        </w:rPr>
        <w:t xml:space="preserve"> no difieren (b=</w:t>
      </w:r>
      <w:r w:rsidR="00171D14">
        <w:rPr>
          <w:rFonts w:ascii="Arial" w:hAnsi="Arial" w:cs="Arial"/>
          <w:lang w:val="es-ES"/>
        </w:rPr>
        <w:t>6</w:t>
      </w:r>
      <w:r w:rsidRPr="004D1C6A">
        <w:rPr>
          <w:rFonts w:ascii="Arial" w:hAnsi="Arial" w:cs="Arial"/>
          <w:lang w:val="es-ES"/>
        </w:rPr>
        <w:t>, P=</w:t>
      </w:r>
      <w:r w:rsidR="00171D14" w:rsidRPr="00171D14">
        <w:t xml:space="preserve"> </w:t>
      </w:r>
      <w:r w:rsidR="00171D14" w:rsidRPr="00171D14">
        <w:rPr>
          <w:rFonts w:ascii="Arial" w:hAnsi="Arial" w:cs="Arial"/>
          <w:lang w:val="es-ES"/>
        </w:rPr>
        <w:t>0.7539</w:t>
      </w:r>
      <w:r w:rsidRPr="004D1C6A">
        <w:rPr>
          <w:rFonts w:ascii="Arial" w:hAnsi="Arial" w:cs="Arial"/>
          <w:lang w:val="es-ES"/>
        </w:rPr>
        <w:t xml:space="preserve">), 2) </w:t>
      </w:r>
      <w:proofErr w:type="spellStart"/>
      <w:r w:rsidR="00482A9B">
        <w:rPr>
          <w:rFonts w:ascii="Arial" w:hAnsi="Arial" w:cs="Arial"/>
          <w:lang w:val="es-ES"/>
        </w:rPr>
        <w:t>fl</w:t>
      </w:r>
      <w:proofErr w:type="spellEnd"/>
      <w:r w:rsidR="00482A9B">
        <w:rPr>
          <w:rFonts w:ascii="Arial" w:hAnsi="Arial" w:cs="Arial"/>
          <w:lang w:val="es-ES"/>
        </w:rPr>
        <w:t xml:space="preserve"> y </w:t>
      </w:r>
      <w:proofErr w:type="spellStart"/>
      <w:r w:rsidR="00482A9B">
        <w:rPr>
          <w:rFonts w:ascii="Arial" w:hAnsi="Arial" w:cs="Arial"/>
          <w:lang w:val="es-ES"/>
        </w:rPr>
        <w:t>hom</w:t>
      </w:r>
      <w:proofErr w:type="spellEnd"/>
      <w:r w:rsidR="00482A9B">
        <w:rPr>
          <w:rFonts w:ascii="Arial" w:hAnsi="Arial" w:cs="Arial"/>
          <w:lang w:val="es-ES"/>
        </w:rPr>
        <w:t xml:space="preserve"> no</w:t>
      </w:r>
      <w:r w:rsidRPr="004D1C6A">
        <w:rPr>
          <w:rFonts w:ascii="Arial" w:hAnsi="Arial" w:cs="Arial"/>
          <w:lang w:val="es-ES"/>
        </w:rPr>
        <w:t xml:space="preserve"> difieren (b=</w:t>
      </w:r>
      <w:r w:rsidR="00482A9B">
        <w:rPr>
          <w:rFonts w:ascii="Arial" w:hAnsi="Arial" w:cs="Arial"/>
          <w:lang w:val="es-ES"/>
        </w:rPr>
        <w:t>5</w:t>
      </w:r>
      <w:r w:rsidRPr="004D1C6A">
        <w:rPr>
          <w:rFonts w:ascii="Arial" w:hAnsi="Arial" w:cs="Arial"/>
          <w:lang w:val="es-ES"/>
        </w:rPr>
        <w:t>, P=</w:t>
      </w:r>
      <w:r w:rsidR="00482A9B">
        <w:rPr>
          <w:rFonts w:ascii="Arial" w:hAnsi="Arial" w:cs="Arial"/>
          <w:lang w:val="es-ES"/>
        </w:rPr>
        <w:t>1</w:t>
      </w:r>
      <w:r w:rsidRPr="004D1C6A">
        <w:rPr>
          <w:rFonts w:ascii="Arial" w:hAnsi="Arial" w:cs="Arial"/>
          <w:lang w:val="es-ES"/>
        </w:rPr>
        <w:t>)</w:t>
      </w:r>
      <w:r w:rsidR="00482A9B">
        <w:rPr>
          <w:rFonts w:ascii="Arial" w:hAnsi="Arial" w:cs="Arial"/>
          <w:lang w:val="es-ES"/>
        </w:rPr>
        <w:t>,</w:t>
      </w:r>
      <w:r w:rsidRPr="004D1C6A">
        <w:rPr>
          <w:rFonts w:ascii="Arial" w:hAnsi="Arial" w:cs="Arial"/>
          <w:lang w:val="es-ES"/>
        </w:rPr>
        <w:t xml:space="preserve"> 3) </w:t>
      </w:r>
      <w:proofErr w:type="spellStart"/>
      <w:r w:rsidR="00482A9B">
        <w:rPr>
          <w:rFonts w:ascii="Arial" w:hAnsi="Arial" w:cs="Arial"/>
          <w:lang w:val="es-ES"/>
        </w:rPr>
        <w:t>fl</w:t>
      </w:r>
      <w:proofErr w:type="spellEnd"/>
      <w:r w:rsidR="00482A9B">
        <w:rPr>
          <w:rFonts w:ascii="Arial" w:hAnsi="Arial" w:cs="Arial"/>
          <w:lang w:val="es-ES"/>
        </w:rPr>
        <w:t xml:space="preserve"> y </w:t>
      </w:r>
      <w:proofErr w:type="spellStart"/>
      <w:r w:rsidR="00482A9B">
        <w:rPr>
          <w:rFonts w:ascii="Arial" w:hAnsi="Arial" w:cs="Arial"/>
          <w:lang w:val="es-ES"/>
        </w:rPr>
        <w:t>ne</w:t>
      </w:r>
      <w:r w:rsidR="00482A9B">
        <w:rPr>
          <w:rFonts w:ascii="Arial" w:hAnsi="Arial" w:cs="Arial"/>
          <w:lang w:val="es-ES"/>
        </w:rPr>
        <w:t>f</w:t>
      </w:r>
      <w:proofErr w:type="spellEnd"/>
      <w:r w:rsidR="00482A9B">
        <w:rPr>
          <w:rFonts w:ascii="Arial" w:hAnsi="Arial" w:cs="Arial"/>
          <w:lang w:val="es-ES"/>
        </w:rPr>
        <w:t xml:space="preserve"> no </w:t>
      </w:r>
      <w:r w:rsidRPr="004D1C6A">
        <w:rPr>
          <w:rFonts w:ascii="Arial" w:hAnsi="Arial" w:cs="Arial"/>
          <w:lang w:val="es-ES"/>
        </w:rPr>
        <w:t>difieren (b=</w:t>
      </w:r>
      <w:r w:rsidR="00482A9B" w:rsidRPr="00482A9B">
        <w:t xml:space="preserve"> </w:t>
      </w:r>
      <w:r w:rsidR="00482A9B" w:rsidRPr="00482A9B">
        <w:rPr>
          <w:rFonts w:ascii="Arial" w:hAnsi="Arial" w:cs="Arial"/>
          <w:lang w:val="es-ES"/>
        </w:rPr>
        <w:t>2</w:t>
      </w:r>
      <w:r w:rsidRPr="004D1C6A">
        <w:rPr>
          <w:rFonts w:ascii="Arial" w:hAnsi="Arial" w:cs="Arial"/>
          <w:lang w:val="es-ES"/>
        </w:rPr>
        <w:t xml:space="preserve">, </w:t>
      </w:r>
      <w:r w:rsidRPr="004D1C6A">
        <w:rPr>
          <w:rFonts w:ascii="Arial" w:hAnsi="Arial" w:cs="Arial"/>
          <w:lang w:val="es-ES"/>
        </w:rPr>
        <w:lastRenderedPageBreak/>
        <w:t>P=</w:t>
      </w:r>
      <w:r w:rsidR="00482A9B" w:rsidRPr="00482A9B">
        <w:t xml:space="preserve"> </w:t>
      </w:r>
      <w:r w:rsidR="00482A9B" w:rsidRPr="00482A9B">
        <w:rPr>
          <w:rFonts w:ascii="Arial" w:hAnsi="Arial" w:cs="Arial"/>
          <w:lang w:val="es-ES"/>
        </w:rPr>
        <w:t>0.1094</w:t>
      </w:r>
      <w:r w:rsidRPr="004D1C6A">
        <w:rPr>
          <w:rFonts w:ascii="Arial" w:hAnsi="Arial" w:cs="Arial"/>
          <w:lang w:val="es-ES"/>
        </w:rPr>
        <w:t>)</w:t>
      </w:r>
      <w:r w:rsidR="00482A9B">
        <w:rPr>
          <w:rFonts w:ascii="Arial" w:hAnsi="Arial" w:cs="Arial"/>
          <w:lang w:val="es-ES"/>
        </w:rPr>
        <w:t xml:space="preserve">, 4) </w:t>
      </w:r>
      <w:proofErr w:type="spellStart"/>
      <w:r w:rsidR="00482A9B">
        <w:rPr>
          <w:rFonts w:ascii="Arial" w:hAnsi="Arial" w:cs="Arial"/>
          <w:lang w:val="es-ES"/>
        </w:rPr>
        <w:t>ner</w:t>
      </w:r>
      <w:proofErr w:type="spellEnd"/>
      <w:r w:rsidR="00482A9B">
        <w:rPr>
          <w:rFonts w:ascii="Arial" w:hAnsi="Arial" w:cs="Arial"/>
          <w:lang w:val="es-ES"/>
        </w:rPr>
        <w:t xml:space="preserve"> y </w:t>
      </w:r>
      <w:proofErr w:type="spellStart"/>
      <w:r w:rsidR="00482A9B">
        <w:rPr>
          <w:rFonts w:ascii="Arial" w:hAnsi="Arial" w:cs="Arial"/>
          <w:lang w:val="es-ES"/>
        </w:rPr>
        <w:t>hom</w:t>
      </w:r>
      <w:proofErr w:type="spellEnd"/>
      <w:r w:rsidR="00482A9B">
        <w:rPr>
          <w:rFonts w:ascii="Arial" w:hAnsi="Arial" w:cs="Arial"/>
          <w:lang w:val="es-ES"/>
        </w:rPr>
        <w:t xml:space="preserve"> no </w:t>
      </w:r>
      <w:r w:rsidR="00482A9B" w:rsidRPr="004D1C6A">
        <w:rPr>
          <w:rFonts w:ascii="Arial" w:hAnsi="Arial" w:cs="Arial"/>
          <w:lang w:val="es-ES"/>
        </w:rPr>
        <w:t>difieren (b=</w:t>
      </w:r>
      <w:r w:rsidR="00482A9B" w:rsidRPr="00482A9B">
        <w:t xml:space="preserve"> </w:t>
      </w:r>
      <w:r w:rsidR="00E74C32">
        <w:t>1</w:t>
      </w:r>
      <w:r w:rsidR="00482A9B" w:rsidRPr="004D1C6A">
        <w:rPr>
          <w:rFonts w:ascii="Arial" w:hAnsi="Arial" w:cs="Arial"/>
          <w:lang w:val="es-ES"/>
        </w:rPr>
        <w:t>, P=</w:t>
      </w:r>
      <w:r w:rsidR="00482A9B" w:rsidRPr="00482A9B">
        <w:t xml:space="preserve"> </w:t>
      </w:r>
      <w:r w:rsidR="00E74C32">
        <w:rPr>
          <w:rFonts w:ascii="Arial" w:hAnsi="Arial" w:cs="Arial"/>
          <w:lang w:val="es-ES"/>
        </w:rPr>
        <w:t>1</w:t>
      </w:r>
      <w:r w:rsidR="00482A9B" w:rsidRPr="004D1C6A">
        <w:rPr>
          <w:rFonts w:ascii="Arial" w:hAnsi="Arial" w:cs="Arial"/>
          <w:lang w:val="es-ES"/>
        </w:rPr>
        <w:t>)</w:t>
      </w:r>
      <w:r w:rsidR="00482A9B">
        <w:rPr>
          <w:rFonts w:ascii="Arial" w:hAnsi="Arial" w:cs="Arial"/>
          <w:lang w:val="es-ES"/>
        </w:rPr>
        <w:t>,</w:t>
      </w:r>
      <w:r w:rsidR="00482A9B">
        <w:rPr>
          <w:rFonts w:ascii="Arial" w:hAnsi="Arial" w:cs="Arial"/>
          <w:lang w:val="es-ES"/>
        </w:rPr>
        <w:t xml:space="preserve"> 5) </w:t>
      </w:r>
      <w:proofErr w:type="spellStart"/>
      <w:r w:rsidR="00482A9B">
        <w:rPr>
          <w:rFonts w:ascii="Arial" w:hAnsi="Arial" w:cs="Arial"/>
          <w:lang w:val="es-ES"/>
        </w:rPr>
        <w:t>ner</w:t>
      </w:r>
      <w:proofErr w:type="spellEnd"/>
      <w:r w:rsidR="00482A9B">
        <w:rPr>
          <w:rFonts w:ascii="Arial" w:hAnsi="Arial" w:cs="Arial"/>
          <w:lang w:val="es-ES"/>
        </w:rPr>
        <w:t xml:space="preserve"> y </w:t>
      </w:r>
      <w:proofErr w:type="spellStart"/>
      <w:r w:rsidR="00482A9B">
        <w:rPr>
          <w:rFonts w:ascii="Arial" w:hAnsi="Arial" w:cs="Arial"/>
          <w:lang w:val="es-ES"/>
        </w:rPr>
        <w:t>nef</w:t>
      </w:r>
      <w:proofErr w:type="spellEnd"/>
      <w:r w:rsidR="00482A9B">
        <w:rPr>
          <w:rFonts w:ascii="Arial" w:hAnsi="Arial" w:cs="Arial"/>
          <w:lang w:val="es-ES"/>
        </w:rPr>
        <w:t xml:space="preserve"> difieren (</w:t>
      </w:r>
      <w:r w:rsidR="00482A9B" w:rsidRPr="00482A9B">
        <w:rPr>
          <w:rFonts w:ascii="Arial" w:hAnsi="Arial" w:cs="Arial"/>
          <w:lang w:val="es-ES"/>
        </w:rPr>
        <w:t xml:space="preserve">b = </w:t>
      </w:r>
      <w:r w:rsidR="00482A9B">
        <w:rPr>
          <w:rFonts w:ascii="Arial" w:hAnsi="Arial" w:cs="Arial"/>
          <w:lang w:val="es-ES"/>
        </w:rPr>
        <w:t>2</w:t>
      </w:r>
      <w:r w:rsidR="00482A9B" w:rsidRPr="00482A9B">
        <w:rPr>
          <w:rFonts w:ascii="Arial" w:hAnsi="Arial" w:cs="Arial"/>
          <w:lang w:val="es-ES"/>
        </w:rPr>
        <w:t>,</w:t>
      </w:r>
      <w:r w:rsidR="00482A9B">
        <w:rPr>
          <w:rFonts w:ascii="Arial" w:hAnsi="Arial" w:cs="Arial"/>
          <w:lang w:val="es-ES"/>
        </w:rPr>
        <w:t xml:space="preserve"> </w:t>
      </w:r>
      <w:r w:rsidR="0043005E">
        <w:rPr>
          <w:rFonts w:ascii="Arial" w:hAnsi="Arial" w:cs="Arial"/>
          <w:lang w:val="es-ES"/>
        </w:rPr>
        <w:t>P</w:t>
      </w:r>
      <w:r w:rsidR="00482A9B" w:rsidRPr="00482A9B">
        <w:rPr>
          <w:rFonts w:ascii="Arial" w:hAnsi="Arial" w:cs="Arial"/>
          <w:lang w:val="es-ES"/>
        </w:rPr>
        <w:t xml:space="preserve"> = 0.02148</w:t>
      </w:r>
      <w:r w:rsidR="00482A9B">
        <w:rPr>
          <w:rFonts w:ascii="Arial" w:hAnsi="Arial" w:cs="Arial"/>
          <w:lang w:val="es-ES"/>
        </w:rPr>
        <w:t xml:space="preserve">), 6) </w:t>
      </w:r>
      <w:proofErr w:type="spellStart"/>
      <w:r w:rsidR="00482A9B">
        <w:rPr>
          <w:rFonts w:ascii="Arial" w:hAnsi="Arial" w:cs="Arial"/>
          <w:lang w:val="es-ES"/>
        </w:rPr>
        <w:t>hom</w:t>
      </w:r>
      <w:proofErr w:type="spellEnd"/>
      <w:r w:rsidR="00482A9B">
        <w:rPr>
          <w:rFonts w:ascii="Arial" w:hAnsi="Arial" w:cs="Arial"/>
          <w:lang w:val="es-ES"/>
        </w:rPr>
        <w:t xml:space="preserve"> y </w:t>
      </w:r>
      <w:proofErr w:type="spellStart"/>
      <w:r w:rsidR="00482A9B">
        <w:rPr>
          <w:rFonts w:ascii="Arial" w:hAnsi="Arial" w:cs="Arial"/>
          <w:lang w:val="es-ES"/>
        </w:rPr>
        <w:t>nef</w:t>
      </w:r>
      <w:proofErr w:type="spellEnd"/>
      <w:r w:rsidR="00482A9B">
        <w:rPr>
          <w:rFonts w:ascii="Arial" w:hAnsi="Arial" w:cs="Arial"/>
          <w:lang w:val="es-ES"/>
        </w:rPr>
        <w:t xml:space="preserve"> difieren (</w:t>
      </w:r>
      <w:r w:rsidR="00482A9B" w:rsidRPr="00482A9B">
        <w:rPr>
          <w:rFonts w:ascii="Arial" w:hAnsi="Arial" w:cs="Arial"/>
          <w:lang w:val="es-ES"/>
        </w:rPr>
        <w:t xml:space="preserve">b = 2, </w:t>
      </w:r>
      <w:r w:rsidR="00482A9B">
        <w:rPr>
          <w:rFonts w:ascii="Arial" w:hAnsi="Arial" w:cs="Arial"/>
          <w:lang w:val="es-ES"/>
        </w:rPr>
        <w:t>P</w:t>
      </w:r>
      <w:r w:rsidR="00482A9B" w:rsidRPr="00482A9B">
        <w:rPr>
          <w:rFonts w:ascii="Arial" w:hAnsi="Arial" w:cs="Arial"/>
          <w:lang w:val="es-ES"/>
        </w:rPr>
        <w:t xml:space="preserve"> = 0.06543</w:t>
      </w:r>
      <w:r w:rsidR="00482A9B">
        <w:rPr>
          <w:rFonts w:ascii="Arial" w:hAnsi="Arial" w:cs="Arial"/>
          <w:lang w:val="es-ES"/>
        </w:rPr>
        <w:t>)</w:t>
      </w:r>
      <w:r w:rsidRPr="004D1C6A">
        <w:rPr>
          <w:rFonts w:ascii="Arial" w:hAnsi="Arial" w:cs="Arial"/>
          <w:lang w:val="es-ES"/>
        </w:rPr>
        <w:t>.</w:t>
      </w:r>
    </w:p>
    <w:p w14:paraId="5655AEBE" w14:textId="126ADF07" w:rsidR="004B472D" w:rsidRDefault="004B472D" w:rsidP="004B472D">
      <w:pPr>
        <w:spacing w:after="0" w:line="240" w:lineRule="auto"/>
        <w:jc w:val="both"/>
        <w:rPr>
          <w:rFonts w:ascii="Arial" w:hAnsi="Arial" w:cs="Arial"/>
          <w:lang w:val="es-ES"/>
        </w:rPr>
      </w:pPr>
      <w:r>
        <w:rPr>
          <w:rFonts w:ascii="Arial" w:hAnsi="Arial" w:cs="Arial"/>
          <w:lang w:val="es-ES"/>
        </w:rPr>
        <w:t xml:space="preserve">En resumen, con </w:t>
      </w:r>
      <w:proofErr w:type="spellStart"/>
      <w:r w:rsidR="00123D99">
        <w:rPr>
          <w:rFonts w:ascii="Arial" w:hAnsi="Arial" w:cs="Arial"/>
          <w:lang w:val="es-ES"/>
        </w:rPr>
        <w:t>nef</w:t>
      </w:r>
      <w:proofErr w:type="spellEnd"/>
      <w:r>
        <w:rPr>
          <w:rFonts w:ascii="Arial" w:hAnsi="Arial" w:cs="Arial"/>
          <w:lang w:val="es-ES"/>
        </w:rPr>
        <w:t xml:space="preserve"> la </w:t>
      </w:r>
      <w:r w:rsidR="00123D99" w:rsidRPr="004D1C6A">
        <w:rPr>
          <w:rFonts w:ascii="Arial" w:hAnsi="Arial" w:cs="Arial"/>
          <w:lang w:val="es-ES"/>
        </w:rPr>
        <w:t xml:space="preserve">proporción de </w:t>
      </w:r>
      <w:r w:rsidR="00123D99">
        <w:rPr>
          <w:rFonts w:ascii="Arial" w:hAnsi="Arial" w:cs="Arial"/>
          <w:lang w:val="es-ES"/>
        </w:rPr>
        <w:t>fuentes</w:t>
      </w:r>
      <w:r w:rsidR="00123D99" w:rsidRPr="005B0BCD">
        <w:rPr>
          <w:rFonts w:ascii="Arial" w:hAnsi="Arial" w:cs="Arial"/>
          <w:lang w:val="es-ES"/>
        </w:rPr>
        <w:t xml:space="preserve"> alimentici</w:t>
      </w:r>
      <w:r w:rsidR="00123D99">
        <w:rPr>
          <w:rFonts w:ascii="Arial" w:hAnsi="Arial" w:cs="Arial"/>
          <w:lang w:val="es-ES"/>
        </w:rPr>
        <w:t>a</w:t>
      </w:r>
      <w:r w:rsidR="00123D99" w:rsidRPr="005B0BCD">
        <w:rPr>
          <w:rFonts w:ascii="Arial" w:hAnsi="Arial" w:cs="Arial"/>
          <w:lang w:val="es-ES"/>
        </w:rPr>
        <w:t>s</w:t>
      </w:r>
      <w:r w:rsidR="00123D99">
        <w:rPr>
          <w:rFonts w:ascii="Arial" w:hAnsi="Arial" w:cs="Arial"/>
          <w:lang w:val="es-ES"/>
        </w:rPr>
        <w:t xml:space="preserve"> utilizadas</w:t>
      </w:r>
      <w:r w:rsidR="00123D99" w:rsidRPr="005B0BCD">
        <w:rPr>
          <w:rFonts w:ascii="Arial" w:hAnsi="Arial" w:cs="Arial"/>
          <w:lang w:val="es-ES"/>
        </w:rPr>
        <w:t xml:space="preserve"> por especie</w:t>
      </w:r>
      <w:r w:rsidR="00123D99">
        <w:rPr>
          <w:rFonts w:ascii="Arial" w:hAnsi="Arial" w:cs="Arial"/>
          <w:lang w:val="es-ES"/>
        </w:rPr>
        <w:t>s</w:t>
      </w:r>
      <w:r w:rsidR="00123D99" w:rsidRPr="005B0BCD">
        <w:rPr>
          <w:rFonts w:ascii="Arial" w:hAnsi="Arial" w:cs="Arial"/>
          <w:lang w:val="es-ES"/>
        </w:rPr>
        <w:t xml:space="preserve"> de hormigas</w:t>
      </w:r>
      <w:r>
        <w:rPr>
          <w:rFonts w:ascii="Arial" w:hAnsi="Arial" w:cs="Arial"/>
          <w:lang w:val="es-ES"/>
        </w:rPr>
        <w:t xml:space="preserve"> es significativamente menor que con </w:t>
      </w:r>
      <w:proofErr w:type="spellStart"/>
      <w:r w:rsidR="00123D99">
        <w:rPr>
          <w:rFonts w:ascii="Arial" w:hAnsi="Arial" w:cs="Arial"/>
          <w:lang w:val="es-ES"/>
        </w:rPr>
        <w:t>ner</w:t>
      </w:r>
      <w:proofErr w:type="spellEnd"/>
      <w:r>
        <w:rPr>
          <w:rFonts w:ascii="Arial" w:hAnsi="Arial" w:cs="Arial"/>
          <w:lang w:val="es-ES"/>
        </w:rPr>
        <w:t xml:space="preserve"> y </w:t>
      </w:r>
      <w:proofErr w:type="spellStart"/>
      <w:r w:rsidR="00123D99">
        <w:rPr>
          <w:rFonts w:ascii="Arial" w:hAnsi="Arial" w:cs="Arial"/>
          <w:lang w:val="es-ES"/>
        </w:rPr>
        <w:t>hom</w:t>
      </w:r>
      <w:proofErr w:type="spellEnd"/>
      <w:r>
        <w:rPr>
          <w:rFonts w:ascii="Arial" w:hAnsi="Arial" w:cs="Arial"/>
          <w:lang w:val="es-ES"/>
        </w:rPr>
        <w:t xml:space="preserve">, además </w:t>
      </w:r>
      <w:r w:rsidR="00123D99">
        <w:rPr>
          <w:rFonts w:ascii="Arial" w:hAnsi="Arial" w:cs="Arial"/>
          <w:lang w:val="es-ES"/>
        </w:rPr>
        <w:t xml:space="preserve">la proporción no difirió entre </w:t>
      </w:r>
      <w:proofErr w:type="spellStart"/>
      <w:r w:rsidR="00123D99">
        <w:rPr>
          <w:rFonts w:ascii="Arial" w:hAnsi="Arial" w:cs="Arial"/>
          <w:lang w:val="es-ES"/>
        </w:rPr>
        <w:t>ner</w:t>
      </w:r>
      <w:proofErr w:type="spellEnd"/>
      <w:r w:rsidR="00123D99">
        <w:rPr>
          <w:rFonts w:ascii="Arial" w:hAnsi="Arial" w:cs="Arial"/>
          <w:lang w:val="es-ES"/>
        </w:rPr>
        <w:t xml:space="preserve">, </w:t>
      </w:r>
      <w:proofErr w:type="spellStart"/>
      <w:r w:rsidR="00123D99">
        <w:rPr>
          <w:rFonts w:ascii="Arial" w:hAnsi="Arial" w:cs="Arial"/>
          <w:lang w:val="es-ES"/>
        </w:rPr>
        <w:t>hom</w:t>
      </w:r>
      <w:proofErr w:type="spellEnd"/>
      <w:r w:rsidR="00123D99">
        <w:rPr>
          <w:rFonts w:ascii="Arial" w:hAnsi="Arial" w:cs="Arial"/>
          <w:lang w:val="es-ES"/>
        </w:rPr>
        <w:t xml:space="preserve"> y </w:t>
      </w:r>
      <w:proofErr w:type="spellStart"/>
      <w:proofErr w:type="gramStart"/>
      <w:r w:rsidR="00123D99">
        <w:rPr>
          <w:rFonts w:ascii="Arial" w:hAnsi="Arial" w:cs="Arial"/>
          <w:lang w:val="es-ES"/>
        </w:rPr>
        <w:t>fl</w:t>
      </w:r>
      <w:proofErr w:type="spellEnd"/>
      <w:proofErr w:type="gramEnd"/>
      <w:r w:rsidR="00123D99">
        <w:rPr>
          <w:rFonts w:ascii="Arial" w:hAnsi="Arial" w:cs="Arial"/>
          <w:lang w:val="es-ES"/>
        </w:rPr>
        <w:t xml:space="preserve"> así como no difirió entre </w:t>
      </w:r>
      <w:proofErr w:type="spellStart"/>
      <w:r w:rsidR="00123D99">
        <w:rPr>
          <w:rFonts w:ascii="Arial" w:hAnsi="Arial" w:cs="Arial"/>
          <w:lang w:val="es-ES"/>
        </w:rPr>
        <w:t>fl</w:t>
      </w:r>
      <w:proofErr w:type="spellEnd"/>
      <w:r w:rsidR="00123D99">
        <w:rPr>
          <w:rFonts w:ascii="Arial" w:hAnsi="Arial" w:cs="Arial"/>
          <w:lang w:val="es-ES"/>
        </w:rPr>
        <w:t xml:space="preserve"> y </w:t>
      </w:r>
      <w:proofErr w:type="spellStart"/>
      <w:r w:rsidR="00123D99">
        <w:rPr>
          <w:rFonts w:ascii="Arial" w:hAnsi="Arial" w:cs="Arial"/>
          <w:lang w:val="es-ES"/>
        </w:rPr>
        <w:t>nef</w:t>
      </w:r>
      <w:proofErr w:type="spellEnd"/>
      <w:r>
        <w:rPr>
          <w:rFonts w:ascii="Arial" w:hAnsi="Arial" w:cs="Arial"/>
          <w:lang w:val="es-ES"/>
        </w:rPr>
        <w:t>.</w:t>
      </w:r>
    </w:p>
    <w:p w14:paraId="301D8EDC" w14:textId="77777777" w:rsidR="004B472D" w:rsidRDefault="004B472D" w:rsidP="004B472D">
      <w:pPr>
        <w:spacing w:after="0" w:line="240" w:lineRule="auto"/>
        <w:jc w:val="both"/>
        <w:rPr>
          <w:rFonts w:ascii="Arial" w:hAnsi="Arial" w:cs="Arial"/>
          <w:lang w:val="es-ES"/>
        </w:rPr>
      </w:pPr>
    </w:p>
    <w:p w14:paraId="78FE4D9C" w14:textId="7EE93D3F" w:rsidR="004B472D" w:rsidRDefault="004B472D" w:rsidP="004B472D">
      <w:pPr>
        <w:spacing w:after="0" w:line="240" w:lineRule="auto"/>
        <w:jc w:val="both"/>
        <w:rPr>
          <w:rFonts w:ascii="Arial" w:hAnsi="Arial" w:cs="Arial"/>
          <w:lang w:val="es-ES"/>
        </w:rPr>
      </w:pPr>
      <w:r>
        <w:rPr>
          <w:rFonts w:ascii="Arial" w:hAnsi="Arial" w:cs="Arial"/>
          <w:lang w:val="es-ES"/>
        </w:rPr>
        <w:t xml:space="preserve">Tabla 1. </w:t>
      </w:r>
      <w:r w:rsidR="005B0BCD" w:rsidRPr="004D1C6A">
        <w:rPr>
          <w:rFonts w:ascii="Arial" w:hAnsi="Arial" w:cs="Arial"/>
          <w:lang w:val="es-ES"/>
        </w:rPr>
        <w:t xml:space="preserve">proporción de </w:t>
      </w:r>
      <w:r w:rsidR="005B0BCD">
        <w:rPr>
          <w:rFonts w:ascii="Arial" w:hAnsi="Arial" w:cs="Arial"/>
          <w:lang w:val="es-ES"/>
        </w:rPr>
        <w:t>fuentes</w:t>
      </w:r>
      <w:r w:rsidR="005B0BCD" w:rsidRPr="005B0BCD">
        <w:rPr>
          <w:rFonts w:ascii="Arial" w:hAnsi="Arial" w:cs="Arial"/>
          <w:lang w:val="es-ES"/>
        </w:rPr>
        <w:t xml:space="preserve"> alimentici</w:t>
      </w:r>
      <w:r w:rsidR="005B0BCD">
        <w:rPr>
          <w:rFonts w:ascii="Arial" w:hAnsi="Arial" w:cs="Arial"/>
          <w:lang w:val="es-ES"/>
        </w:rPr>
        <w:t>a</w:t>
      </w:r>
      <w:r w:rsidR="005B0BCD" w:rsidRPr="005B0BCD">
        <w:rPr>
          <w:rFonts w:ascii="Arial" w:hAnsi="Arial" w:cs="Arial"/>
          <w:lang w:val="es-ES"/>
        </w:rPr>
        <w:t>s</w:t>
      </w:r>
      <w:r w:rsidR="005B0BCD">
        <w:rPr>
          <w:rFonts w:ascii="Arial" w:hAnsi="Arial" w:cs="Arial"/>
          <w:lang w:val="es-ES"/>
        </w:rPr>
        <w:t xml:space="preserve"> utilizadas</w:t>
      </w:r>
      <w:r w:rsidR="005B0BCD" w:rsidRPr="005B0BCD">
        <w:rPr>
          <w:rFonts w:ascii="Arial" w:hAnsi="Arial" w:cs="Arial"/>
          <w:lang w:val="es-ES"/>
        </w:rPr>
        <w:t xml:space="preserve"> por especie</w:t>
      </w:r>
      <w:r w:rsidR="005B0BCD">
        <w:rPr>
          <w:rFonts w:ascii="Arial" w:hAnsi="Arial" w:cs="Arial"/>
          <w:lang w:val="es-ES"/>
        </w:rPr>
        <w:t>s</w:t>
      </w:r>
      <w:r w:rsidR="005B0BCD" w:rsidRPr="005B0BCD">
        <w:rPr>
          <w:rFonts w:ascii="Arial" w:hAnsi="Arial" w:cs="Arial"/>
          <w:lang w:val="es-ES"/>
        </w:rPr>
        <w:t xml:space="preserve"> de hormigas</w:t>
      </w:r>
      <w:r w:rsidR="005B0BCD" w:rsidRPr="004D1C6A">
        <w:rPr>
          <w:rFonts w:ascii="Arial" w:hAnsi="Arial" w:cs="Arial"/>
          <w:lang w:val="es-ES"/>
        </w:rPr>
        <w:t xml:space="preserve"> según el tipo </w:t>
      </w:r>
      <w:r w:rsidR="005B0BCD">
        <w:rPr>
          <w:rFonts w:ascii="Arial" w:hAnsi="Arial" w:cs="Arial"/>
          <w:lang w:val="es-ES"/>
        </w:rPr>
        <w:t>de fuente</w:t>
      </w:r>
      <w:r>
        <w:rPr>
          <w:rFonts w:ascii="Arial" w:hAnsi="Arial" w:cs="Arial"/>
          <w:lang w:val="es-ES"/>
        </w:rPr>
        <w:t>.</w:t>
      </w:r>
    </w:p>
    <w:tbl>
      <w:tblPr>
        <w:tblStyle w:val="Tablaconcuadrcula"/>
        <w:tblW w:w="0" w:type="auto"/>
        <w:tblLook w:val="04A0" w:firstRow="1" w:lastRow="0" w:firstColumn="1" w:lastColumn="0" w:noHBand="0" w:noVBand="1"/>
      </w:tblPr>
      <w:tblGrid>
        <w:gridCol w:w="2160"/>
        <w:gridCol w:w="2320"/>
      </w:tblGrid>
      <w:tr w:rsidR="00123D99" w:rsidRPr="00123D99" w14:paraId="45C6B696" w14:textId="77777777" w:rsidTr="00123D99">
        <w:trPr>
          <w:trHeight w:val="825"/>
        </w:trPr>
        <w:tc>
          <w:tcPr>
            <w:tcW w:w="2160" w:type="dxa"/>
            <w:noWrap/>
            <w:hideMark/>
          </w:tcPr>
          <w:p w14:paraId="232BF5B6" w14:textId="77777777" w:rsidR="00123D99" w:rsidRPr="00123D99" w:rsidRDefault="00123D99" w:rsidP="00123D99">
            <w:pPr>
              <w:jc w:val="both"/>
              <w:rPr>
                <w:rFonts w:ascii="Arial" w:hAnsi="Arial" w:cs="Arial"/>
              </w:rPr>
            </w:pPr>
            <w:r w:rsidRPr="00123D99">
              <w:rPr>
                <w:rFonts w:ascii="Arial" w:hAnsi="Arial" w:cs="Arial"/>
              </w:rPr>
              <w:t xml:space="preserve">tipo de fuente </w:t>
            </w:r>
          </w:p>
        </w:tc>
        <w:tc>
          <w:tcPr>
            <w:tcW w:w="2320" w:type="dxa"/>
            <w:hideMark/>
          </w:tcPr>
          <w:p w14:paraId="687E065B" w14:textId="77777777" w:rsidR="00123D99" w:rsidRPr="00123D99" w:rsidRDefault="00123D99" w:rsidP="00123D99">
            <w:pPr>
              <w:jc w:val="both"/>
              <w:rPr>
                <w:rFonts w:ascii="Arial" w:hAnsi="Arial" w:cs="Arial"/>
              </w:rPr>
            </w:pPr>
            <w:r w:rsidRPr="00123D99">
              <w:rPr>
                <w:rFonts w:ascii="Arial" w:hAnsi="Arial" w:cs="Arial"/>
              </w:rPr>
              <w:t xml:space="preserve">proporción de fuentes </w:t>
            </w:r>
            <w:r w:rsidRPr="00123D99">
              <w:rPr>
                <w:rFonts w:ascii="Arial" w:hAnsi="Arial" w:cs="Arial"/>
              </w:rPr>
              <w:br/>
              <w:t xml:space="preserve">alimenticias utilizadas </w:t>
            </w:r>
            <w:r w:rsidRPr="00123D99">
              <w:rPr>
                <w:rFonts w:ascii="Arial" w:hAnsi="Arial" w:cs="Arial"/>
              </w:rPr>
              <w:br/>
              <w:t xml:space="preserve">por especies de hormigas </w:t>
            </w:r>
          </w:p>
        </w:tc>
      </w:tr>
      <w:tr w:rsidR="00123D99" w:rsidRPr="00123D99" w14:paraId="0EA521CD" w14:textId="77777777" w:rsidTr="00123D99">
        <w:trPr>
          <w:trHeight w:val="300"/>
        </w:trPr>
        <w:tc>
          <w:tcPr>
            <w:tcW w:w="2160" w:type="dxa"/>
            <w:noWrap/>
            <w:hideMark/>
          </w:tcPr>
          <w:p w14:paraId="7357770D" w14:textId="77777777" w:rsidR="00123D99" w:rsidRPr="00123D99" w:rsidRDefault="00123D99" w:rsidP="00123D99">
            <w:pPr>
              <w:jc w:val="both"/>
              <w:rPr>
                <w:rFonts w:ascii="Arial" w:hAnsi="Arial" w:cs="Arial"/>
              </w:rPr>
            </w:pPr>
            <w:proofErr w:type="spellStart"/>
            <w:r w:rsidRPr="00123D99">
              <w:rPr>
                <w:rFonts w:ascii="Arial" w:hAnsi="Arial" w:cs="Arial"/>
              </w:rPr>
              <w:t>ner</w:t>
            </w:r>
            <w:proofErr w:type="spellEnd"/>
          </w:p>
        </w:tc>
        <w:tc>
          <w:tcPr>
            <w:tcW w:w="2320" w:type="dxa"/>
            <w:noWrap/>
            <w:hideMark/>
          </w:tcPr>
          <w:p w14:paraId="7D7F1066" w14:textId="77777777" w:rsidR="00123D99" w:rsidRPr="00123D99" w:rsidRDefault="00123D99" w:rsidP="00123D99">
            <w:pPr>
              <w:jc w:val="both"/>
              <w:rPr>
                <w:rFonts w:ascii="Arial" w:hAnsi="Arial" w:cs="Arial"/>
              </w:rPr>
            </w:pPr>
            <w:r w:rsidRPr="00123D99">
              <w:rPr>
                <w:rFonts w:ascii="Arial" w:hAnsi="Arial" w:cs="Arial"/>
              </w:rPr>
              <w:t xml:space="preserve">0.7 a </w:t>
            </w:r>
          </w:p>
        </w:tc>
      </w:tr>
      <w:tr w:rsidR="00123D99" w:rsidRPr="00123D99" w14:paraId="6ACA6AE5" w14:textId="77777777" w:rsidTr="00123D99">
        <w:trPr>
          <w:trHeight w:val="300"/>
        </w:trPr>
        <w:tc>
          <w:tcPr>
            <w:tcW w:w="2160" w:type="dxa"/>
            <w:noWrap/>
            <w:hideMark/>
          </w:tcPr>
          <w:p w14:paraId="700E7BFA" w14:textId="77777777" w:rsidR="00123D99" w:rsidRPr="00123D99" w:rsidRDefault="00123D99" w:rsidP="00123D99">
            <w:pPr>
              <w:jc w:val="both"/>
              <w:rPr>
                <w:rFonts w:ascii="Arial" w:hAnsi="Arial" w:cs="Arial"/>
              </w:rPr>
            </w:pPr>
            <w:proofErr w:type="spellStart"/>
            <w:r w:rsidRPr="00123D99">
              <w:rPr>
                <w:rFonts w:ascii="Arial" w:hAnsi="Arial" w:cs="Arial"/>
              </w:rPr>
              <w:t>hom</w:t>
            </w:r>
            <w:proofErr w:type="spellEnd"/>
          </w:p>
        </w:tc>
        <w:tc>
          <w:tcPr>
            <w:tcW w:w="2320" w:type="dxa"/>
            <w:noWrap/>
            <w:hideMark/>
          </w:tcPr>
          <w:p w14:paraId="76B72319" w14:textId="77777777" w:rsidR="00123D99" w:rsidRPr="00123D99" w:rsidRDefault="00123D99" w:rsidP="00123D99">
            <w:pPr>
              <w:jc w:val="both"/>
              <w:rPr>
                <w:rFonts w:ascii="Arial" w:hAnsi="Arial" w:cs="Arial"/>
              </w:rPr>
            </w:pPr>
            <w:r w:rsidRPr="00123D99">
              <w:rPr>
                <w:rFonts w:ascii="Arial" w:hAnsi="Arial" w:cs="Arial"/>
              </w:rPr>
              <w:t>0.6666667 a</w:t>
            </w:r>
          </w:p>
        </w:tc>
      </w:tr>
      <w:tr w:rsidR="00123D99" w:rsidRPr="00123D99" w14:paraId="7BAF3E0A" w14:textId="77777777" w:rsidTr="00123D99">
        <w:trPr>
          <w:trHeight w:val="300"/>
        </w:trPr>
        <w:tc>
          <w:tcPr>
            <w:tcW w:w="2160" w:type="dxa"/>
            <w:noWrap/>
            <w:hideMark/>
          </w:tcPr>
          <w:p w14:paraId="7273B3EC" w14:textId="77777777" w:rsidR="00123D99" w:rsidRPr="00123D99" w:rsidRDefault="00123D99" w:rsidP="00123D99">
            <w:pPr>
              <w:jc w:val="both"/>
              <w:rPr>
                <w:rFonts w:ascii="Arial" w:hAnsi="Arial" w:cs="Arial"/>
              </w:rPr>
            </w:pPr>
            <w:proofErr w:type="spellStart"/>
            <w:r w:rsidRPr="00123D99">
              <w:rPr>
                <w:rFonts w:ascii="Arial" w:hAnsi="Arial" w:cs="Arial"/>
              </w:rPr>
              <w:t>fl</w:t>
            </w:r>
            <w:proofErr w:type="spellEnd"/>
          </w:p>
        </w:tc>
        <w:tc>
          <w:tcPr>
            <w:tcW w:w="2320" w:type="dxa"/>
            <w:noWrap/>
            <w:hideMark/>
          </w:tcPr>
          <w:p w14:paraId="5BCA51C1" w14:textId="77777777" w:rsidR="00123D99" w:rsidRPr="00123D99" w:rsidRDefault="00123D99" w:rsidP="00123D99">
            <w:pPr>
              <w:jc w:val="both"/>
              <w:rPr>
                <w:rFonts w:ascii="Arial" w:hAnsi="Arial" w:cs="Arial"/>
              </w:rPr>
            </w:pPr>
            <w:r w:rsidRPr="00123D99">
              <w:rPr>
                <w:rFonts w:ascii="Arial" w:hAnsi="Arial" w:cs="Arial"/>
              </w:rPr>
              <w:t>0.6333333 ab</w:t>
            </w:r>
          </w:p>
        </w:tc>
      </w:tr>
      <w:tr w:rsidR="00123D99" w:rsidRPr="00123D99" w14:paraId="77A7F81D" w14:textId="77777777" w:rsidTr="00123D99">
        <w:trPr>
          <w:trHeight w:val="300"/>
        </w:trPr>
        <w:tc>
          <w:tcPr>
            <w:tcW w:w="2160" w:type="dxa"/>
            <w:noWrap/>
            <w:hideMark/>
          </w:tcPr>
          <w:p w14:paraId="0CEBF92D" w14:textId="77777777" w:rsidR="00123D99" w:rsidRPr="00123D99" w:rsidRDefault="00123D99" w:rsidP="00123D99">
            <w:pPr>
              <w:jc w:val="both"/>
              <w:rPr>
                <w:rFonts w:ascii="Arial" w:hAnsi="Arial" w:cs="Arial"/>
              </w:rPr>
            </w:pPr>
            <w:proofErr w:type="spellStart"/>
            <w:r w:rsidRPr="00123D99">
              <w:rPr>
                <w:rFonts w:ascii="Arial" w:hAnsi="Arial" w:cs="Arial"/>
              </w:rPr>
              <w:t>nef</w:t>
            </w:r>
            <w:proofErr w:type="spellEnd"/>
          </w:p>
        </w:tc>
        <w:tc>
          <w:tcPr>
            <w:tcW w:w="2320" w:type="dxa"/>
            <w:noWrap/>
            <w:hideMark/>
          </w:tcPr>
          <w:p w14:paraId="53C2EA6B" w14:textId="77777777" w:rsidR="00123D99" w:rsidRPr="00123D99" w:rsidRDefault="00123D99" w:rsidP="00123D99">
            <w:pPr>
              <w:jc w:val="both"/>
              <w:rPr>
                <w:rFonts w:ascii="Arial" w:hAnsi="Arial" w:cs="Arial"/>
              </w:rPr>
            </w:pPr>
            <w:r w:rsidRPr="00123D99">
              <w:rPr>
                <w:rFonts w:ascii="Arial" w:hAnsi="Arial" w:cs="Arial"/>
              </w:rPr>
              <w:t>0.4333333 b</w:t>
            </w:r>
          </w:p>
        </w:tc>
      </w:tr>
    </w:tbl>
    <w:p w14:paraId="54DF8602" w14:textId="77777777" w:rsidR="00123D99" w:rsidRPr="004D1C6A" w:rsidRDefault="00123D99" w:rsidP="004B472D">
      <w:pPr>
        <w:spacing w:after="0" w:line="240" w:lineRule="auto"/>
        <w:jc w:val="both"/>
        <w:rPr>
          <w:rFonts w:ascii="Arial" w:hAnsi="Arial" w:cs="Arial"/>
          <w:lang w:val="es-ES"/>
        </w:rPr>
      </w:pPr>
    </w:p>
    <w:p w14:paraId="2879B733" w14:textId="2E0406A5" w:rsidR="004B472D" w:rsidRPr="004D1C6A" w:rsidRDefault="004B472D" w:rsidP="004B472D">
      <w:pPr>
        <w:spacing w:after="0" w:line="240" w:lineRule="auto"/>
        <w:rPr>
          <w:rFonts w:ascii="Arial" w:hAnsi="Arial" w:cs="Arial"/>
          <w:sz w:val="20"/>
          <w:szCs w:val="20"/>
          <w:lang w:val="es-ES"/>
        </w:rPr>
      </w:pPr>
      <w:r w:rsidRPr="004D1C6A">
        <w:rPr>
          <w:rFonts w:ascii="Arial" w:hAnsi="Arial" w:cs="Arial"/>
          <w:sz w:val="20"/>
          <w:szCs w:val="20"/>
          <w:lang w:val="es-ES"/>
        </w:rPr>
        <w:t>Letras distintas indican diferencias significativas (P&lt;0.</w:t>
      </w:r>
      <w:r w:rsidR="00123D99">
        <w:rPr>
          <w:rFonts w:ascii="Arial" w:hAnsi="Arial" w:cs="Arial"/>
          <w:sz w:val="20"/>
          <w:szCs w:val="20"/>
          <w:lang w:val="es-ES"/>
        </w:rPr>
        <w:t>10</w:t>
      </w:r>
      <w:r w:rsidRPr="004D1C6A">
        <w:rPr>
          <w:rFonts w:ascii="Arial" w:hAnsi="Arial" w:cs="Arial"/>
          <w:sz w:val="20"/>
          <w:szCs w:val="20"/>
          <w:lang w:val="es-ES"/>
        </w:rPr>
        <w:t xml:space="preserve">), prueba </w:t>
      </w:r>
      <w:r>
        <w:rPr>
          <w:rFonts w:ascii="Arial" w:hAnsi="Arial" w:cs="Arial"/>
          <w:sz w:val="20"/>
          <w:szCs w:val="20"/>
          <w:lang w:val="es-ES"/>
        </w:rPr>
        <w:t xml:space="preserve">de </w:t>
      </w:r>
      <w:proofErr w:type="spellStart"/>
      <w:r w:rsidRPr="004D1C6A">
        <w:rPr>
          <w:rFonts w:ascii="Arial" w:hAnsi="Arial" w:cs="Arial"/>
          <w:sz w:val="20"/>
          <w:szCs w:val="20"/>
          <w:lang w:val="es-ES"/>
        </w:rPr>
        <w:t>McNemar</w:t>
      </w:r>
      <w:proofErr w:type="spellEnd"/>
      <w:r w:rsidRPr="004D1C6A">
        <w:rPr>
          <w:rFonts w:ascii="Arial" w:hAnsi="Arial" w:cs="Arial"/>
          <w:sz w:val="20"/>
          <w:szCs w:val="20"/>
          <w:lang w:val="es-ES"/>
        </w:rPr>
        <w:t>.</w:t>
      </w:r>
    </w:p>
    <w:p w14:paraId="532C5FC5" w14:textId="77777777" w:rsidR="00162FC4" w:rsidRDefault="00162FC4"/>
    <w:sectPr w:rsidR="00162FC4">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D0E39" w14:textId="77777777" w:rsidR="00E94958" w:rsidRDefault="00E94958" w:rsidP="00E94958">
      <w:pPr>
        <w:spacing w:after="0" w:line="240" w:lineRule="auto"/>
      </w:pPr>
      <w:r>
        <w:separator/>
      </w:r>
    </w:p>
  </w:endnote>
  <w:endnote w:type="continuationSeparator" w:id="0">
    <w:p w14:paraId="4D81BE62" w14:textId="77777777" w:rsidR="00E94958" w:rsidRDefault="00E94958" w:rsidP="00E94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92C13" w14:textId="77777777" w:rsidR="00E94958" w:rsidRDefault="00E94958" w:rsidP="00E94958">
      <w:pPr>
        <w:spacing w:after="0" w:line="240" w:lineRule="auto"/>
      </w:pPr>
      <w:r>
        <w:separator/>
      </w:r>
    </w:p>
  </w:footnote>
  <w:footnote w:type="continuationSeparator" w:id="0">
    <w:p w14:paraId="4877299B" w14:textId="77777777" w:rsidR="00E94958" w:rsidRDefault="00E94958" w:rsidP="00E949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72D"/>
    <w:rsid w:val="00123D99"/>
    <w:rsid w:val="00162FC4"/>
    <w:rsid w:val="00171D14"/>
    <w:rsid w:val="0043005E"/>
    <w:rsid w:val="00482A9B"/>
    <w:rsid w:val="004B472D"/>
    <w:rsid w:val="005B0BCD"/>
    <w:rsid w:val="00CA63A4"/>
    <w:rsid w:val="00E3236F"/>
    <w:rsid w:val="00E74C32"/>
    <w:rsid w:val="00E94958"/>
    <w:rsid w:val="00FE06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71ADC"/>
  <w15:chartTrackingRefBased/>
  <w15:docId w15:val="{64B052D0-D8AA-4FFA-83D0-59C345BC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72D"/>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B4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949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4958"/>
  </w:style>
  <w:style w:type="paragraph" w:styleId="Piedepgina">
    <w:name w:val="footer"/>
    <w:basedOn w:val="Normal"/>
    <w:link w:val="PiedepginaCar"/>
    <w:uiPriority w:val="99"/>
    <w:unhideWhenUsed/>
    <w:rsid w:val="00E949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4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5660">
      <w:bodyDiv w:val="1"/>
      <w:marLeft w:val="0"/>
      <w:marRight w:val="0"/>
      <w:marTop w:val="0"/>
      <w:marBottom w:val="0"/>
      <w:divBdr>
        <w:top w:val="none" w:sz="0" w:space="0" w:color="auto"/>
        <w:left w:val="none" w:sz="0" w:space="0" w:color="auto"/>
        <w:bottom w:val="none" w:sz="0" w:space="0" w:color="auto"/>
        <w:right w:val="none" w:sz="0" w:space="0" w:color="auto"/>
      </w:divBdr>
    </w:div>
    <w:div w:id="19747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855</Words>
  <Characters>4705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Gómez Sánchez</dc:creator>
  <cp:keywords/>
  <dc:description/>
  <cp:lastModifiedBy>Guillermo Gómez Sánchez</cp:lastModifiedBy>
  <cp:revision>2</cp:revision>
  <dcterms:created xsi:type="dcterms:W3CDTF">2021-08-29T02:52:00Z</dcterms:created>
  <dcterms:modified xsi:type="dcterms:W3CDTF">2021-08-29T02:52:00Z</dcterms:modified>
</cp:coreProperties>
</file>