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1C157" w14:textId="77777777" w:rsidR="00316719" w:rsidRDefault="00316719" w:rsidP="00316719">
      <w:pPr>
        <w:spacing w:after="0"/>
        <w:jc w:val="center"/>
        <w:rPr>
          <w:rFonts w:ascii="Arial" w:hAnsi="Arial" w:cs="Arial"/>
          <w:b/>
          <w:sz w:val="28"/>
          <w:szCs w:val="28"/>
        </w:rPr>
      </w:pPr>
      <w:r>
        <w:rPr>
          <w:rFonts w:ascii="Arial" w:hAnsi="Arial" w:cs="Arial"/>
          <w:b/>
          <w:sz w:val="28"/>
          <w:szCs w:val="28"/>
        </w:rPr>
        <w:t>Inferencia para la Desviación Estándar con la</w:t>
      </w:r>
    </w:p>
    <w:p w14:paraId="64A30071" w14:textId="77777777" w:rsidR="00316719" w:rsidRDefault="00316719" w:rsidP="00316719">
      <w:pPr>
        <w:jc w:val="center"/>
        <w:rPr>
          <w:rFonts w:ascii="Arial" w:hAnsi="Arial" w:cs="Arial"/>
          <w:b/>
          <w:sz w:val="28"/>
          <w:szCs w:val="28"/>
        </w:rPr>
      </w:pPr>
      <w:r>
        <w:rPr>
          <w:rFonts w:ascii="Arial" w:hAnsi="Arial" w:cs="Arial"/>
          <w:b/>
          <w:sz w:val="28"/>
          <w:szCs w:val="28"/>
        </w:rPr>
        <w:t>Estadística Ji-cuadrada</w:t>
      </w:r>
    </w:p>
    <w:p w14:paraId="5095C13E" w14:textId="41BC7908" w:rsidR="003676D1" w:rsidRPr="003676D1" w:rsidRDefault="003676D1" w:rsidP="003676D1">
      <w:pPr>
        <w:rPr>
          <w:rFonts w:ascii="Arial" w:hAnsi="Arial" w:cs="Arial"/>
          <w:sz w:val="24"/>
          <w:szCs w:val="24"/>
        </w:rPr>
      </w:pPr>
      <w:r w:rsidRPr="003676D1">
        <w:rPr>
          <w:rFonts w:ascii="Arial" w:hAnsi="Arial" w:cs="Arial"/>
        </w:rPr>
        <w:t xml:space="preserve">1.55 Un análisis del líquido amniótico de una muestra aleatoria simple de 15 mujeres embarazadas proporcionó las siguientes cantidades de total de proteína (gramos por cada 100ml). ¿Proporcionan estos datos la evidencia suficiente para indicar que la variancia de la población es mayor que 0.05? Sea </w:t>
      </w:r>
      <w:r w:rsidRPr="003676D1">
        <w:rPr>
          <w:rFonts w:ascii="Arial" w:hAnsi="Arial" w:cs="Arial"/>
        </w:rPr>
        <w:sym w:font="Symbol" w:char="F061"/>
      </w:r>
      <w:r w:rsidRPr="003676D1">
        <w:rPr>
          <w:rFonts w:ascii="Arial" w:hAnsi="Arial" w:cs="Arial"/>
        </w:rPr>
        <w:t xml:space="preserve"> =0.05. ¿Qué suposiciones son necesarias?</w:t>
      </w:r>
    </w:p>
    <w:p w14:paraId="1C23511A" w14:textId="77777777" w:rsidR="003676D1" w:rsidRPr="00206C6B" w:rsidRDefault="003676D1" w:rsidP="003676D1">
      <w:pPr>
        <w:rPr>
          <w:rFonts w:ascii="Arial" w:hAnsi="Arial" w:cs="Arial"/>
          <w:b/>
          <w:sz w:val="24"/>
          <w:szCs w:val="24"/>
        </w:rPr>
      </w:pPr>
      <w:r w:rsidRPr="00206C6B">
        <w:rPr>
          <w:rFonts w:ascii="Arial" w:hAnsi="Arial" w:cs="Arial"/>
          <w:b/>
          <w:sz w:val="24"/>
          <w:szCs w:val="24"/>
        </w:rPr>
        <w:t>Solución:</w:t>
      </w:r>
    </w:p>
    <w:p w14:paraId="11EB034D" w14:textId="77777777" w:rsidR="003676D1" w:rsidRDefault="003676D1" w:rsidP="003676D1">
      <w:pPr>
        <w:jc w:val="center"/>
        <w:rPr>
          <w:rFonts w:ascii="Arial" w:hAnsi="Arial" w:cs="Arial"/>
          <w:sz w:val="24"/>
          <w:szCs w:val="24"/>
        </w:rPr>
      </w:pPr>
      <w:r w:rsidRPr="00206C6B">
        <w:rPr>
          <w:rFonts w:ascii="Arial" w:hAnsi="Arial" w:cs="Arial"/>
          <w:sz w:val="24"/>
          <w:szCs w:val="24"/>
        </w:rPr>
        <w:t>Prueba de normalidad</w:t>
      </w:r>
    </w:p>
    <w:p w14:paraId="7FEA64EE" w14:textId="77DB0755" w:rsidR="003676D1" w:rsidRDefault="003676D1" w:rsidP="003676D1">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X=</m:t>
        </m:r>
      </m:oMath>
      <w:r w:rsidR="00A97C11">
        <w:rPr>
          <w:rFonts w:ascii="Arial" w:eastAsiaTheme="minorEastAsia" w:hAnsi="Arial" w:cs="Arial"/>
          <w:sz w:val="24"/>
          <w:szCs w:val="24"/>
        </w:rPr>
        <w:t>P</w:t>
      </w:r>
      <w:r w:rsidR="00895377">
        <w:rPr>
          <w:rFonts w:ascii="Arial" w:eastAsiaTheme="minorEastAsia" w:hAnsi="Arial" w:cs="Arial"/>
          <w:sz w:val="24"/>
          <w:szCs w:val="24"/>
        </w:rPr>
        <w:t>roteína del líquido amniótico</w:t>
      </w:r>
      <w:r w:rsidR="00A97C11">
        <w:rPr>
          <w:rFonts w:ascii="Arial" w:eastAsiaTheme="minorEastAsia" w:hAnsi="Arial" w:cs="Arial"/>
          <w:sz w:val="24"/>
          <w:szCs w:val="24"/>
        </w:rPr>
        <w:t xml:space="preserve"> (g/100ml)</w:t>
      </w:r>
    </w:p>
    <w:p w14:paraId="5E2EF4FF" w14:textId="77777777" w:rsidR="003676D1" w:rsidRPr="00183DED" w:rsidRDefault="003676D1" w:rsidP="003676D1">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X tiene distribución normal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X no tiene distribución normal</m:t>
          </m:r>
        </m:oMath>
      </m:oMathPara>
    </w:p>
    <w:p w14:paraId="4A79C243" w14:textId="77777777" w:rsidR="003676D1" w:rsidRDefault="003676D1" w:rsidP="003676D1">
      <w:pPr>
        <w:rPr>
          <w:rFonts w:ascii="Arial" w:hAnsi="Arial" w:cs="Arial"/>
          <w:sz w:val="24"/>
          <w:szCs w:val="24"/>
        </w:rPr>
      </w:pPr>
      <w:r>
        <w:rPr>
          <w:rFonts w:ascii="Arial" w:hAnsi="Arial" w:cs="Arial"/>
          <w:sz w:val="24"/>
          <w:szCs w:val="24"/>
        </w:rPr>
        <w:t>Resultados</w:t>
      </w:r>
    </w:p>
    <w:p w14:paraId="3C1E6632" w14:textId="0B63CE86" w:rsidR="003676D1" w:rsidRDefault="003676D1" w:rsidP="003676D1">
      <w:pPr>
        <w:jc w:val="center"/>
        <w:rPr>
          <w:rFonts w:ascii="Arial" w:hAnsi="Arial" w:cs="Arial"/>
          <w:sz w:val="24"/>
          <w:szCs w:val="24"/>
        </w:rPr>
      </w:pPr>
      <w:r>
        <w:rPr>
          <w:noProof/>
        </w:rPr>
        <w:drawing>
          <wp:inline distT="0" distB="0" distL="0" distR="0" wp14:anchorId="0EF6953E" wp14:editId="24C82598">
            <wp:extent cx="3086100" cy="1743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86100" cy="1743075"/>
                    </a:xfrm>
                    <a:prstGeom prst="rect">
                      <a:avLst/>
                    </a:prstGeom>
                  </pic:spPr>
                </pic:pic>
              </a:graphicData>
            </a:graphic>
          </wp:inline>
        </w:drawing>
      </w:r>
    </w:p>
    <w:p w14:paraId="75436E8B" w14:textId="1C22C7F9" w:rsidR="003676D1" w:rsidRDefault="003676D1" w:rsidP="003676D1">
      <w:pPr>
        <w:jc w:val="center"/>
        <w:rPr>
          <w:rFonts w:ascii="Arial" w:hAnsi="Arial" w:cs="Arial"/>
          <w:b/>
          <w:sz w:val="24"/>
          <w:szCs w:val="24"/>
        </w:rPr>
      </w:pPr>
      <w:r>
        <w:rPr>
          <w:noProof/>
          <w:lang w:eastAsia="es-MX"/>
        </w:rPr>
        <mc:AlternateContent>
          <mc:Choice Requires="wps">
            <w:drawing>
              <wp:inline distT="0" distB="0" distL="0" distR="0" wp14:anchorId="6D9395A3" wp14:editId="51E0723E">
                <wp:extent cx="304800" cy="304800"/>
                <wp:effectExtent l="0" t="0" r="0" b="0"/>
                <wp:docPr id="21" name="Rectángulo 21" descr="http://127.0.0.1:33639/graphics/plot_zoom_png?width=696&amp;height=5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06110" id="Rectángulo 21" o:spid="_x0000_s1026" alt="http://127.0.0.1:33639/graphics/plot_zoom_png?width=696&amp;height=5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O0xmSkCAAAXBAAADgAAAAAAAAAAAAAAAAAuAgAAZHJzL2Uyb0RvYy54&#10;bWxQSwECLQAUAAYACAAAACEATKDpLNgAAAADAQAADwAAAAAAAAAAAAAAAACDBAAAZHJzL2Rvd25y&#10;ZXYueG1sUEsFBgAAAAAEAAQA8wAAAIgFAAAAAA==&#10;" filled="f" stroked="f">
                <o:lock v:ext="edit" aspectratio="t"/>
                <w10:anchorlock/>
              </v:rect>
            </w:pict>
          </mc:Fallback>
        </mc:AlternateContent>
      </w:r>
      <w:r w:rsidRPr="00394073">
        <w:rPr>
          <w:noProof/>
          <w:lang w:eastAsia="es-MX"/>
        </w:rPr>
        <w:t xml:space="preserve"> </w:t>
      </w:r>
      <w:r w:rsidR="00895377">
        <w:rPr>
          <w:noProof/>
        </w:rPr>
        <w:drawing>
          <wp:inline distT="0" distB="0" distL="0" distR="0" wp14:anchorId="7D5E4F74" wp14:editId="4621364B">
            <wp:extent cx="5612130" cy="30930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93085"/>
                    </a:xfrm>
                    <a:prstGeom prst="rect">
                      <a:avLst/>
                    </a:prstGeom>
                  </pic:spPr>
                </pic:pic>
              </a:graphicData>
            </a:graphic>
          </wp:inline>
        </w:drawing>
      </w:r>
    </w:p>
    <w:p w14:paraId="36F4B74B" w14:textId="77777777" w:rsidR="003676D1" w:rsidRDefault="003676D1" w:rsidP="003676D1">
      <w:pPr>
        <w:jc w:val="both"/>
        <w:rPr>
          <w:rFonts w:ascii="Arial" w:eastAsiaTheme="minorEastAsia" w:hAnsi="Arial" w:cs="Arial"/>
          <w:sz w:val="24"/>
          <w:szCs w:val="24"/>
        </w:rPr>
      </w:pPr>
      <w:r w:rsidRPr="00A443D3">
        <w:rPr>
          <w:rFonts w:ascii="Arial" w:hAnsi="Arial" w:cs="Arial"/>
          <w:b/>
          <w:sz w:val="24"/>
          <w:szCs w:val="24"/>
        </w:rPr>
        <w:lastRenderedPageBreak/>
        <w:t>Conclusión:</w:t>
      </w:r>
      <w:r>
        <w:rPr>
          <w:rFonts w:ascii="Arial" w:hAnsi="Arial" w:cs="Arial"/>
          <w:sz w:val="24"/>
          <w:szCs w:val="24"/>
        </w:rPr>
        <w:t xml:space="preserve"> No se rechaza H0 para ningún estadístico de prueba al 5%, por lo tanto, la duración de los focos </w:t>
      </w:r>
      <w:r>
        <w:rPr>
          <w:rFonts w:ascii="Arial" w:eastAsiaTheme="minorEastAsia" w:hAnsi="Arial" w:cs="Arial"/>
          <w:sz w:val="24"/>
          <w:szCs w:val="24"/>
        </w:rPr>
        <w:t>tiene de una distribución normal.</w:t>
      </w:r>
    </w:p>
    <w:p w14:paraId="65288831" w14:textId="77777777" w:rsidR="003676D1" w:rsidRDefault="003676D1" w:rsidP="003676D1">
      <w:pPr>
        <w:jc w:val="center"/>
        <w:rPr>
          <w:rFonts w:ascii="Arial" w:hAnsi="Arial" w:cs="Arial"/>
          <w:sz w:val="24"/>
          <w:szCs w:val="24"/>
        </w:rPr>
      </w:pPr>
    </w:p>
    <w:p w14:paraId="5EFDB8BC" w14:textId="77777777" w:rsidR="003676D1" w:rsidRDefault="003676D1" w:rsidP="003676D1">
      <w:pPr>
        <w:jc w:val="center"/>
        <w:rPr>
          <w:rFonts w:ascii="Arial" w:hAnsi="Arial" w:cs="Arial"/>
          <w:sz w:val="24"/>
          <w:szCs w:val="24"/>
        </w:rPr>
      </w:pPr>
      <w:r>
        <w:rPr>
          <w:rFonts w:ascii="Arial" w:hAnsi="Arial" w:cs="Arial"/>
          <w:sz w:val="24"/>
          <w:szCs w:val="24"/>
        </w:rPr>
        <w:t>Prueba para la Desviación Estándar</w:t>
      </w:r>
    </w:p>
    <w:p w14:paraId="46A4E494" w14:textId="6CC76BC7" w:rsidR="003676D1" w:rsidRDefault="003676D1" w:rsidP="003676D1">
      <w:pPr>
        <w:rPr>
          <w:rFonts w:ascii="Arial" w:hAnsi="Arial" w:cs="Arial"/>
          <w:sz w:val="24"/>
          <w:szCs w:val="24"/>
        </w:rPr>
      </w:pPr>
      <w:r>
        <w:rPr>
          <w:rFonts w:ascii="Arial" w:hAnsi="Arial" w:cs="Arial"/>
          <w:sz w:val="24"/>
          <w:szCs w:val="24"/>
        </w:rPr>
        <w:t xml:space="preserve">Sea </w:t>
      </w:r>
      <m:oMath>
        <m:r>
          <w:rPr>
            <w:rFonts w:ascii="Cambria Math" w:hAnsi="Cambria Math" w:cs="Arial"/>
            <w:sz w:val="24"/>
            <w:szCs w:val="24"/>
          </w:rPr>
          <m:t>σ=</m:t>
        </m:r>
      </m:oMath>
      <w:r>
        <w:rPr>
          <w:rFonts w:ascii="Arial" w:eastAsiaTheme="minorEastAsia" w:hAnsi="Arial" w:cs="Arial"/>
          <w:sz w:val="24"/>
          <w:szCs w:val="24"/>
        </w:rPr>
        <w:t xml:space="preserve"> La variabilidad de </w:t>
      </w:r>
      <w:r w:rsidR="00A97C11">
        <w:rPr>
          <w:rFonts w:ascii="Arial" w:eastAsiaTheme="minorEastAsia" w:hAnsi="Arial" w:cs="Arial"/>
          <w:sz w:val="24"/>
          <w:szCs w:val="24"/>
        </w:rPr>
        <w:t>la p</w:t>
      </w:r>
      <w:r w:rsidR="00A97C11">
        <w:rPr>
          <w:rFonts w:ascii="Arial" w:eastAsiaTheme="minorEastAsia" w:hAnsi="Arial" w:cs="Arial"/>
          <w:sz w:val="24"/>
          <w:szCs w:val="24"/>
        </w:rPr>
        <w:t>roteína del líquido amniótico (g/100ml)</w:t>
      </w:r>
      <w:r>
        <w:rPr>
          <w:rFonts w:ascii="Arial" w:eastAsiaTheme="minorEastAsia" w:hAnsi="Arial" w:cs="Arial"/>
          <w:sz w:val="24"/>
          <w:szCs w:val="24"/>
        </w:rPr>
        <w:t>.</w:t>
      </w:r>
    </w:p>
    <w:p w14:paraId="3EE1EB44" w14:textId="1D6C12A3" w:rsidR="003676D1" w:rsidRPr="00183DED" w:rsidRDefault="003676D1" w:rsidP="003676D1">
      <w:pPr>
        <w:rPr>
          <w:rFonts w:ascii="Arial" w:hAnsi="Arial" w:cs="Arial"/>
          <w:sz w:val="24"/>
          <w:szCs w:val="24"/>
        </w:rPr>
      </w:pPr>
      <m:oMathPara>
        <m:oMathParaPr>
          <m:jc m:val="center"/>
        </m:oMathPara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σ=0</m:t>
          </m:r>
          <m:r>
            <w:rPr>
              <w:rFonts w:ascii="Cambria Math" w:hAnsi="Cambria Math" w:cs="Arial"/>
              <w:sz w:val="24"/>
              <w:szCs w:val="24"/>
            </w:rPr>
            <m:t>.05</m:t>
          </m:r>
          <m:r>
            <w:rPr>
              <w:rFonts w:ascii="Cambria Math" w:hAnsi="Cambria Math" w:cs="Arial"/>
              <w:sz w:val="24"/>
              <w:szCs w:val="24"/>
            </w:rPr>
            <m:t xml:space="preserve">      vs.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a</m:t>
              </m:r>
            </m:sub>
          </m:sSub>
          <m:r>
            <w:rPr>
              <w:rFonts w:ascii="Cambria Math" w:hAnsi="Cambria Math" w:cs="Arial"/>
              <w:sz w:val="24"/>
              <w:szCs w:val="24"/>
            </w:rPr>
            <m:t>: σ</m:t>
          </m:r>
          <m:r>
            <w:rPr>
              <w:rFonts w:ascii="Cambria Math" w:hAnsi="Cambria Math" w:cs="Arial"/>
              <w:sz w:val="24"/>
              <w:szCs w:val="24"/>
            </w:rPr>
            <m:t>&gt;0.05</m:t>
          </m:r>
        </m:oMath>
      </m:oMathPara>
    </w:p>
    <w:p w14:paraId="7C0B5FF3" w14:textId="77777777" w:rsidR="003676D1" w:rsidRDefault="003676D1" w:rsidP="003676D1">
      <w:pPr>
        <w:rPr>
          <w:rFonts w:ascii="Arial" w:hAnsi="Arial" w:cs="Arial"/>
          <w:sz w:val="24"/>
          <w:szCs w:val="24"/>
        </w:rPr>
      </w:pPr>
      <w:r>
        <w:rPr>
          <w:rFonts w:ascii="Arial" w:hAnsi="Arial" w:cs="Arial"/>
          <w:sz w:val="24"/>
          <w:szCs w:val="24"/>
        </w:rPr>
        <w:t>Resultados</w:t>
      </w:r>
    </w:p>
    <w:p w14:paraId="5B6CDBB8" w14:textId="3ECC5BC4" w:rsidR="003676D1" w:rsidRDefault="00A40469" w:rsidP="003676D1">
      <w:pPr>
        <w:jc w:val="center"/>
        <w:rPr>
          <w:rFonts w:ascii="Arial" w:hAnsi="Arial" w:cs="Arial"/>
          <w:sz w:val="24"/>
          <w:szCs w:val="24"/>
        </w:rPr>
      </w:pPr>
      <w:r>
        <w:rPr>
          <w:noProof/>
        </w:rPr>
        <w:drawing>
          <wp:inline distT="0" distB="0" distL="0" distR="0" wp14:anchorId="40E94EDC" wp14:editId="64D11B41">
            <wp:extent cx="5612130" cy="15671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567180"/>
                    </a:xfrm>
                    <a:prstGeom prst="rect">
                      <a:avLst/>
                    </a:prstGeom>
                  </pic:spPr>
                </pic:pic>
              </a:graphicData>
            </a:graphic>
          </wp:inline>
        </w:drawing>
      </w:r>
    </w:p>
    <w:p w14:paraId="7A361827" w14:textId="77777777" w:rsidR="003676D1" w:rsidRDefault="003676D1" w:rsidP="003676D1">
      <w:pPr>
        <w:jc w:val="both"/>
        <w:rPr>
          <w:rFonts w:ascii="Arial" w:hAnsi="Arial" w:cs="Arial"/>
          <w:b/>
          <w:sz w:val="24"/>
          <w:szCs w:val="24"/>
        </w:rPr>
      </w:pPr>
    </w:p>
    <w:p w14:paraId="73CF5354" w14:textId="4825A4D3" w:rsidR="00634978" w:rsidRDefault="003676D1" w:rsidP="003676D1">
      <w:r w:rsidRPr="00DB775E">
        <w:rPr>
          <w:rFonts w:ascii="Arial" w:hAnsi="Arial" w:cs="Arial"/>
          <w:b/>
          <w:sz w:val="24"/>
          <w:szCs w:val="24"/>
        </w:rPr>
        <w:t>Conclusión:</w:t>
      </w:r>
      <w:r>
        <w:rPr>
          <w:rFonts w:ascii="Arial" w:hAnsi="Arial" w:cs="Arial"/>
          <w:sz w:val="24"/>
          <w:szCs w:val="24"/>
        </w:rPr>
        <w:t xml:space="preserve"> </w:t>
      </w:r>
      <w:r w:rsidR="00A40469">
        <w:rPr>
          <w:rFonts w:ascii="Arial" w:hAnsi="Arial" w:cs="Arial"/>
          <w:sz w:val="24"/>
          <w:szCs w:val="24"/>
        </w:rPr>
        <w:t>Se</w:t>
      </w:r>
      <w:r>
        <w:rPr>
          <w:rFonts w:ascii="Arial" w:hAnsi="Arial" w:cs="Arial"/>
          <w:sz w:val="24"/>
          <w:szCs w:val="24"/>
        </w:rPr>
        <w:t xml:space="preserve"> recha</w:t>
      </w:r>
      <w:r w:rsidR="00A40469">
        <w:rPr>
          <w:rFonts w:ascii="Arial" w:hAnsi="Arial" w:cs="Arial"/>
          <w:sz w:val="24"/>
          <w:szCs w:val="24"/>
        </w:rPr>
        <w:t>za</w:t>
      </w:r>
      <w:r>
        <w:rPr>
          <w:rFonts w:ascii="Arial" w:hAnsi="Arial" w:cs="Arial"/>
          <w:sz w:val="24"/>
          <w:szCs w:val="24"/>
        </w:rPr>
        <w:t xml:space="preserve"> H0, por lo que los datos muestran suficiente evidencia para decir </w:t>
      </w:r>
      <w:r w:rsidR="00C937C6">
        <w:rPr>
          <w:rFonts w:ascii="Arial" w:hAnsi="Arial" w:cs="Arial"/>
          <w:sz w:val="24"/>
          <w:szCs w:val="24"/>
        </w:rPr>
        <w:t xml:space="preserve">que la </w:t>
      </w:r>
      <w:r w:rsidR="00C937C6">
        <w:rPr>
          <w:rFonts w:ascii="Arial" w:eastAsiaTheme="minorEastAsia" w:hAnsi="Arial" w:cs="Arial"/>
          <w:sz w:val="24"/>
          <w:szCs w:val="24"/>
        </w:rPr>
        <w:t>variabilidad de la proteína del líquido amniótico (g/100ml)</w:t>
      </w:r>
      <w:r w:rsidR="00C937C6">
        <w:rPr>
          <w:rFonts w:ascii="Arial" w:eastAsiaTheme="minorEastAsia" w:hAnsi="Arial" w:cs="Arial"/>
          <w:sz w:val="24"/>
          <w:szCs w:val="24"/>
        </w:rPr>
        <w:t xml:space="preserve"> es mayor a 0.05</w:t>
      </w:r>
      <w:r>
        <w:rPr>
          <w:rFonts w:ascii="Arial" w:hAnsi="Arial" w:cs="Arial"/>
          <w:sz w:val="24"/>
          <w:szCs w:val="24"/>
        </w:rPr>
        <w:t xml:space="preserve">. El I.C. indica que la variabilidad de </w:t>
      </w:r>
      <w:r w:rsidR="00F453A2">
        <w:rPr>
          <w:rFonts w:ascii="Arial" w:hAnsi="Arial" w:cs="Arial"/>
          <w:sz w:val="24"/>
          <w:szCs w:val="24"/>
        </w:rPr>
        <w:t>la proteína de líquido amniótico</w:t>
      </w:r>
      <w:r>
        <w:rPr>
          <w:rFonts w:ascii="Arial" w:hAnsi="Arial" w:cs="Arial"/>
          <w:sz w:val="24"/>
          <w:szCs w:val="24"/>
        </w:rPr>
        <w:t xml:space="preserve"> se encuentra entre </w:t>
      </w:r>
      <w:r w:rsidR="00F453A2">
        <w:rPr>
          <w:rFonts w:ascii="Arial" w:hAnsi="Arial" w:cs="Arial"/>
          <w:sz w:val="24"/>
          <w:szCs w:val="24"/>
        </w:rPr>
        <w:t>.2054</w:t>
      </w:r>
      <w:r>
        <w:rPr>
          <w:rFonts w:ascii="Arial" w:hAnsi="Arial" w:cs="Arial"/>
          <w:sz w:val="24"/>
          <w:szCs w:val="24"/>
        </w:rPr>
        <w:t xml:space="preserve"> y </w:t>
      </w:r>
      <w:r w:rsidR="00F453A2">
        <w:rPr>
          <w:rFonts w:ascii="Arial" w:hAnsi="Arial" w:cs="Arial"/>
          <w:sz w:val="24"/>
          <w:szCs w:val="24"/>
        </w:rPr>
        <w:t>.4425</w:t>
      </w:r>
      <w:r>
        <w:rPr>
          <w:rFonts w:ascii="Arial" w:hAnsi="Arial" w:cs="Arial"/>
          <w:sz w:val="24"/>
          <w:szCs w:val="24"/>
        </w:rPr>
        <w:t xml:space="preserve"> unidades, con una probabilidad del 9</w:t>
      </w:r>
      <w:r w:rsidR="00F453A2">
        <w:rPr>
          <w:rFonts w:ascii="Arial" w:hAnsi="Arial" w:cs="Arial"/>
          <w:sz w:val="24"/>
          <w:szCs w:val="24"/>
        </w:rPr>
        <w:t>5</w:t>
      </w:r>
      <w:r>
        <w:rPr>
          <w:rFonts w:ascii="Arial" w:hAnsi="Arial" w:cs="Arial"/>
          <w:sz w:val="24"/>
          <w:szCs w:val="24"/>
        </w:rPr>
        <w:t>%.</w:t>
      </w:r>
    </w:p>
    <w:sectPr w:rsidR="0063497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19"/>
    <w:rsid w:val="00316719"/>
    <w:rsid w:val="003676D1"/>
    <w:rsid w:val="00634978"/>
    <w:rsid w:val="00895377"/>
    <w:rsid w:val="00A40469"/>
    <w:rsid w:val="00A97C11"/>
    <w:rsid w:val="00C937C6"/>
    <w:rsid w:val="00F453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C617"/>
  <w15:chartTrackingRefBased/>
  <w15:docId w15:val="{B52BB21D-677A-4B5F-8800-01C67E58F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71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78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8</cp:revision>
  <dcterms:created xsi:type="dcterms:W3CDTF">2021-07-08T00:54:00Z</dcterms:created>
  <dcterms:modified xsi:type="dcterms:W3CDTF">2021-07-08T01:22:00Z</dcterms:modified>
</cp:coreProperties>
</file>