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c>
          <w:tcPr>
            <w:tcW w:type="dxa" w:w="5273"/>
            <w:vAlign w:val="center"/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35"/>
              </w:rPr>
              <w:t>Nancy Thuy Dung Schütze</w:t>
            </w:r>
          </w:p>
          <w:p>
            <w:pPr>
              <w:spacing w:after="80"/>
            </w:pPr>
            <w:r>
              <w:rPr>
                <w:rFonts w:ascii="Segoe UI" w:hAnsi="Segoe UI"/>
                <w:b/>
                <w:color w:val="1E3A8A"/>
                <w:sz w:val="21"/>
              </w:rPr>
              <w:t>Office Managerin &amp; Werkstudentin Backoffice / Teamassistenz</w:t>
            </w:r>
          </w:p>
          <w:p>
            <w:pPr>
              <w:spacing w:after="30"/>
            </w:pPr>
            <w:r>
              <w:rPr>
                <w:rFonts w:ascii="Segoe UI" w:hAnsi="Segoe UI"/>
                <w:b/>
                <w:color w:val="475569"/>
                <w:sz w:val="17"/>
              </w:rPr>
              <w:t>Adresse: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Teichbergstraße 17, 13125 Berlin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Mobil: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+49 1523 7164097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475569"/>
                <w:sz w:val="17"/>
              </w:rPr>
              <w:t>E-Mail: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schuetzenancy@gmx.de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Geboren: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17.08.2001 in Berlin | Staatsangehörigkeit: Deutsch</w:t>
            </w:r>
          </w:p>
        </w:tc>
        <w:tc>
          <w:tcPr>
            <w:tcW w:type="dxa" w:w="5273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54000" cy="140706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1407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60"/>
        <w:pBdr>
          <w:bottom w:val="single" w:sz="14" w:space="2" w:color="1E3A8A"/>
        </w:pBdr>
      </w:pPr>
    </w:p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BERUFSERFAHRUNG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2025 – 2026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Office Managerin &amp; Kanzleiassistenz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SERS Rechtsanwaltsgesellschaft mbH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Eigenverantwortliche Organisation und Steuerung des gesamten Kanzlei- und Sekretariatsbetriebs.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Professionelle schriftliche und telefonische Kommunikation mit Mandanten, Gerichten und Behörden auf </w:t>
            </w:r>
            <w:r>
              <w:rPr>
                <w:rFonts w:ascii="Segoe UI" w:hAnsi="Segoe UI"/>
                <w:b/>
                <w:color w:val="0F172A"/>
                <w:sz w:val="17"/>
              </w:rPr>
              <w:t>Deutsch und Englisch (C2)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Strukturierte Dokumentenorganisation, Fristenkontrolle, Aktenführung sowie </w:t>
            </w:r>
            <w:r>
              <w:rPr>
                <w:rFonts w:ascii="Segoe UI" w:hAnsi="Segoe UI"/>
                <w:b/>
                <w:color w:val="0F172A"/>
                <w:sz w:val="17"/>
              </w:rPr>
              <w:t>vorbereitende Buchhaltung und Rechnungserstellung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Kontinuierliche </w:t>
            </w:r>
            <w:r>
              <w:rPr>
                <w:rFonts w:ascii="Segoe UI" w:hAnsi="Segoe UI"/>
                <w:b/>
                <w:color w:val="0F172A"/>
                <w:sz w:val="17"/>
              </w:rPr>
              <w:t>Prozessoptimierung, Digitalisierung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von Büroabläufen und Qualitätsmanagement.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2023 – 2025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Junior Projektleitung &amp; Office Operations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zett.events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Kaufmännische und organisatorische Planung von Projekten inklusive </w:t>
            </w:r>
            <w:r>
              <w:rPr>
                <w:rFonts w:ascii="Segoe UI" w:hAnsi="Segoe UI"/>
                <w:b/>
                <w:color w:val="0F172A"/>
                <w:sz w:val="17"/>
              </w:rPr>
              <w:t>Personal-, Event- und Budgetsteuerung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Interne Koordination, Einsatzplanung sowie </w:t>
            </w:r>
            <w:r>
              <w:rPr>
                <w:rFonts w:ascii="Segoe UI" w:hAnsi="Segoe UI"/>
                <w:b/>
                <w:color w:val="0F172A"/>
                <w:sz w:val="17"/>
              </w:rPr>
              <w:t>Mitarbeiterabrechnungen für Werkstudierende und Aushilfen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Eigenständige </w:t>
            </w:r>
            <w:r>
              <w:rPr>
                <w:rFonts w:ascii="Segoe UI" w:hAnsi="Segoe UI"/>
                <w:b/>
                <w:color w:val="0F172A"/>
                <w:sz w:val="17"/>
              </w:rPr>
              <w:t>Angebotskalkulation und Rechnungserstellung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sowie Kunden- und Dienstleisterbetreuung.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Weiterentwicklung interner Verwaltungsstrukturen durch Digitalisierung und Prozessoptimierung.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2019 – heute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Teamleitung Events, Hostess &amp; Promotion (Nebenberuflich)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Verschiedene Event- und Promotionagenturen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 &amp; bundesweit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Vor-Ort-Teamleitung: Check-In, Briefing und </w:t>
            </w:r>
            <w:r>
              <w:rPr>
                <w:rFonts w:ascii="Segoe UI" w:hAnsi="Segoe UI"/>
                <w:b/>
                <w:color w:val="0F172A"/>
                <w:sz w:val="17"/>
              </w:rPr>
              <w:t>Koordination der Einsatzteams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bei Messen, Kongressen und Corporate Events.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Direkte Ansprechpartnerin für Auftraggeber vor Ort sowie Sicherstellung eines reibungslosen Serviceablaufs.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2021 – 2022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Werkstudentin Qualitätsmanagement, Recruiting &amp; PR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Vergleich.org (VGL Publishing AG)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</w:t>
            </w:r>
            <w:r>
              <w:rPr>
                <w:rFonts w:ascii="Segoe UI" w:hAnsi="Segoe UI"/>
                <w:b/>
                <w:color w:val="0F172A"/>
                <w:sz w:val="17"/>
              </w:rPr>
              <w:t>Recruiting, Vertragsabwicklung und Onboarding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neuer Freelancer sowie Koordination externer Dienstleister.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Qualitätssicherung, Lektorat von Produkttexten sowie technische Pflege von XML- und HTML-Dateien.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2019 – 2022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Duale Studentin – Front &amp; Back Office / Hospitality Management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Accor Hotels (Novotel Suites, Ibis &amp; Ibis Budget)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Operative Steuerung im </w:t>
            </w:r>
            <w:r>
              <w:rPr>
                <w:rFonts w:ascii="Segoe UI" w:hAnsi="Segoe UI"/>
                <w:b/>
                <w:color w:val="0F172A"/>
                <w:sz w:val="17"/>
              </w:rPr>
              <w:t>Front- und Back-Office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Guest Relations sowie professionelles Beschwerdemanagement.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Mitwirkung in der </w:t>
            </w:r>
            <w:r>
              <w:rPr>
                <w:rFonts w:ascii="Segoe UI" w:hAnsi="Segoe UI"/>
                <w:b/>
                <w:color w:val="0F172A"/>
                <w:sz w:val="17"/>
              </w:rPr>
              <w:t>Buchhaltung und Vertragsverwaltung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sowie stellvertretende Leitung im Bereich Housekeeping.</w:t>
            </w:r>
          </w:p>
        </w:tc>
      </w:tr>
      <w:tr>
        <w:tc>
          <w:tcPr>
            <w:tcW w:type="dxa" w:w="1644"/>
            <w:tcMar>
              <w:top w:w="25" w:type="dxa"/>
              <w:bottom w:w="25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2013 – 2025</w:t>
            </w:r>
          </w:p>
        </w:tc>
        <w:tc>
          <w:tcPr>
            <w:tcW w:type="dxa" w:w="8901"/>
            <w:tcMar>
              <w:top w:w="25" w:type="dxa"/>
              <w:bottom w:w="25" w:type="dxa"/>
              <w:left w:w="0" w:type="dxa"/>
              <w:right w:w="0" w:type="dxa"/>
            </w:tcMar>
          </w:tcPr>
          <w:p>
            <w:pPr>
              <w:spacing w:after="30"/>
            </w:pPr>
            <w:r>
              <w:rPr>
                <w:rFonts w:ascii="Segoe UI" w:hAnsi="Segoe UI"/>
                <w:b/>
                <w:color w:val="0F172A"/>
                <w:sz w:val="18"/>
              </w:rPr>
              <w:t>Kaufmännische Mitarbeit, Einkauf &amp; Kundenbetreuung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8"/>
              </w:rPr>
              <w:t>Obst- und Gemüse Karow (Einzelhandels-Familienbetrieb)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>, Berlin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•  Unterstützung in </w:t>
            </w:r>
            <w:r>
              <w:rPr>
                <w:rFonts w:ascii="Segoe UI" w:hAnsi="Segoe UI"/>
                <w:b/>
                <w:color w:val="0F172A"/>
                <w:sz w:val="17"/>
              </w:rPr>
              <w:t>Einkauf, Warenlogistik, Bestandskontrolle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und laufender Qualitätssicherung.</w:t>
            </w:r>
          </w:p>
          <w:p>
            <w:pPr>
              <w:spacing w:after="24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7"/>
              </w:rPr>
              <w:t>•  Persönliche Kundenbetreuung, Lieferantenkoordination sowie vorbereitende Kassen- und Tagesabrechnung.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BILDUNGSWEG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644"/>
            <w:tcMar>
              <w:top w:w="20" w:type="dxa"/>
              <w:bottom w:w="20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seit 2026</w:t>
            </w:r>
          </w:p>
        </w:tc>
        <w:tc>
          <w:tcPr>
            <w:tcW w:type="dxa" w:w="8901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8"/>
              </w:rPr>
              <w:t>B.Sc. Informatik (Studium)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Technische Universität Berlin (Campus Charlottenburg / Zoologischer Garten)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Aktives Vollzeitstudium direkt am Standort Zoologischer Garten / Ernst-Reuter-Platz</w:t>
            </w:r>
          </w:p>
        </w:tc>
      </w:tr>
      <w:tr>
        <w:tc>
          <w:tcPr>
            <w:tcW w:type="dxa" w:w="1644"/>
            <w:tcMar>
              <w:top w:w="20" w:type="dxa"/>
              <w:bottom w:w="20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2019 – 2023</w:t>
            </w:r>
          </w:p>
        </w:tc>
        <w:tc>
          <w:tcPr>
            <w:tcW w:type="dxa" w:w="8901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8"/>
              </w:rPr>
              <w:t>B.A. Business Administration (Duales Studium)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VICTORIA – Internationale Hochschule, Berlin (Praxispartner: Accor Hotels)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Vertiefung: Hotel- &amp; Tourismusmanagement | Auslandssemester 2021–2022: Universidad de Girona, Spanien (Marketing &amp; PR)</w:t>
            </w:r>
          </w:p>
        </w:tc>
      </w:tr>
      <w:tr>
        <w:tc>
          <w:tcPr>
            <w:tcW w:type="dxa" w:w="1644"/>
            <w:tcMar>
              <w:top w:w="20" w:type="dxa"/>
              <w:bottom w:w="20" w:type="dxa"/>
              <w:left w:w="0" w:type="dxa"/>
              <w:right w:w="6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7"/>
              </w:rPr>
              <w:t>2013 – 2019</w:t>
            </w:r>
          </w:p>
        </w:tc>
        <w:tc>
          <w:tcPr>
            <w:tcW w:type="dxa" w:w="8901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8"/>
              </w:rPr>
              <w:t>Allgemeine Hochschulreife (Abitur – Gesamtnote: 1,7)</w:t>
            </w:r>
            <w:r>
              <w:rPr>
                <w:rFonts w:ascii="Segoe UI" w:hAnsi="Segoe UI"/>
                <w:b w:val="0"/>
                <w:color w:val="0F172A"/>
                <w:sz w:val="18"/>
              </w:rPr>
              <w:t xml:space="preserve"> | Robert-Havemann-Gymnasium, Berlin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FACHKOMPETENZEN &amp; IT-KENNTNISSE</w:t>
      </w:r>
    </w:p>
    <w:p>
      <w:pPr>
        <w:spacing w:after="50"/>
      </w:pPr>
      <w:r>
        <w:rPr>
          <w:rFonts w:ascii="Segoe UI" w:hAnsi="Segoe UI"/>
          <w:b/>
          <w:color w:val="0F172A"/>
          <w:sz w:val="17"/>
        </w:rPr>
        <w:t>Office &amp; Administration:</w:t>
      </w:r>
      <w:r>
        <w:rPr>
          <w:rFonts w:ascii="Segoe UI" w:hAnsi="Segoe UI"/>
          <w:b w:val="0"/>
          <w:color w:val="0F172A"/>
          <w:sz w:val="17"/>
        </w:rPr>
        <w:t xml:space="preserve"> Sekretariats- &amp; Kanzleiorganisation | Angebots- &amp; Rechnungserstellung | Vorbereitende Buchhaltung &amp; Lohnabrechnung | Termin-, Reise- &amp; Eventmanagement | Recruiting &amp; Onboarding | Prozessoptimierung &amp; Qualitätsmanagement</w:t>
      </w:r>
    </w:p>
    <w:p>
      <w:pPr>
        <w:spacing w:after="50"/>
      </w:pPr>
      <w:r>
        <w:rPr>
          <w:rFonts w:ascii="Segoe UI" w:hAnsi="Segoe UI"/>
          <w:b/>
          <w:color w:val="0F172A"/>
          <w:sz w:val="17"/>
        </w:rPr>
        <w:t>Software &amp; IT:</w:t>
      </w:r>
      <w:r>
        <w:rPr>
          <w:rFonts w:ascii="Segoe UI" w:hAnsi="Segoe UI"/>
          <w:b w:val="0"/>
          <w:color w:val="0F172A"/>
          <w:sz w:val="17"/>
        </w:rPr>
        <w:t xml:space="preserve"> Microsoft Office 365 (Excel, Word, PowerPoint, Outlook – fortgeschritten) | Google Workspace | Digitale Akten- &amp; Dokumentenverwaltung | HTML &amp; CSS (gut) | Python (Grundkenntnisse) | DaVinci Resolve &amp; Adobe Audition</w:t>
      </w:r>
    </w:p>
    <w:p>
      <w:pPr>
        <w:spacing w:after="50"/>
      </w:pPr>
      <w:r>
        <w:rPr>
          <w:rFonts w:ascii="Segoe UI" w:hAnsi="Segoe UI"/>
          <w:b/>
          <w:color w:val="0F172A"/>
          <w:sz w:val="17"/>
        </w:rPr>
        <w:t>Sprachen:</w:t>
      </w:r>
      <w:r>
        <w:rPr>
          <w:rFonts w:ascii="Segoe UI" w:hAnsi="Segoe UI"/>
          <w:b w:val="0"/>
          <w:color w:val="0F172A"/>
          <w:sz w:val="17"/>
        </w:rPr>
        <w:t xml:space="preserve"> </w:t>
      </w:r>
      <w:r>
        <w:rPr>
          <w:rFonts w:ascii="Segoe UI" w:hAnsi="Segoe UI"/>
          <w:b/>
          <w:color w:val="0F172A"/>
          <w:sz w:val="17"/>
        </w:rPr>
        <w:t>Deutsch:</w:t>
      </w:r>
      <w:r>
        <w:rPr>
          <w:rFonts w:ascii="Segoe UI" w:hAnsi="Segoe UI"/>
          <w:b w:val="0"/>
          <w:color w:val="0F172A"/>
          <w:sz w:val="17"/>
        </w:rPr>
        <w:t xml:space="preserve"> Muttersprache  •  </w:t>
      </w:r>
      <w:r>
        <w:rPr>
          <w:rFonts w:ascii="Segoe UI" w:hAnsi="Segoe UI"/>
          <w:b/>
          <w:color w:val="0F172A"/>
          <w:sz w:val="17"/>
        </w:rPr>
        <w:t>Vietnamesisch:</w:t>
      </w:r>
      <w:r>
        <w:rPr>
          <w:rFonts w:ascii="Segoe UI" w:hAnsi="Segoe UI"/>
          <w:b w:val="0"/>
          <w:color w:val="0F172A"/>
          <w:sz w:val="17"/>
        </w:rPr>
        <w:t xml:space="preserve"> Muttersprache  •  </w:t>
      </w:r>
      <w:r>
        <w:rPr>
          <w:rFonts w:ascii="Segoe UI" w:hAnsi="Segoe UI"/>
          <w:b/>
          <w:color w:val="0F172A"/>
          <w:sz w:val="17"/>
        </w:rPr>
        <w:t>Englisch:</w:t>
      </w:r>
      <w:r>
        <w:rPr>
          <w:rFonts w:ascii="Segoe UI" w:hAnsi="Segoe UI"/>
          <w:b w:val="0"/>
          <w:color w:val="0F172A"/>
          <w:sz w:val="17"/>
        </w:rPr>
        <w:t xml:space="preserve"> C2 (Verhandlungssicher / Proficient)  •  </w:t>
      </w:r>
      <w:r>
        <w:rPr>
          <w:rFonts w:ascii="Segoe UI" w:hAnsi="Segoe UI"/>
          <w:b/>
          <w:color w:val="0F172A"/>
          <w:sz w:val="17"/>
        </w:rPr>
        <w:t>Spanisch:</w:t>
      </w:r>
      <w:r>
        <w:rPr>
          <w:rFonts w:ascii="Segoe UI" w:hAnsi="Segoe UI"/>
          <w:b w:val="0"/>
          <w:color w:val="0F172A"/>
          <w:sz w:val="17"/>
        </w:rPr>
        <w:t xml:space="preserve"> B1 (Erprobte Kenntnisse / Auslandssemester)  •  </w:t>
      </w:r>
      <w:r>
        <w:rPr>
          <w:rFonts w:ascii="Segoe UI" w:hAnsi="Segoe UI"/>
          <w:b/>
          <w:color w:val="0F172A"/>
          <w:sz w:val="17"/>
        </w:rPr>
        <w:t>Katalanisch:</w:t>
      </w:r>
      <w:r>
        <w:rPr>
          <w:rFonts w:ascii="Segoe UI" w:hAnsi="Segoe UI"/>
          <w:b w:val="0"/>
          <w:color w:val="0F172A"/>
          <w:sz w:val="17"/>
        </w:rPr>
        <w:t xml:space="preserve"> A1 (Zertifikat)</w:t>
      </w:r>
    </w:p>
    <w:p>
      <w:pPr>
        <w:spacing w:after="50"/>
      </w:pPr>
      <w:r>
        <w:rPr>
          <w:rFonts w:ascii="Segoe UI" w:hAnsi="Segoe UI"/>
          <w:b/>
          <w:color w:val="0F172A"/>
          <w:sz w:val="17"/>
        </w:rPr>
        <w:t>Sonstiges:</w:t>
      </w:r>
      <w:r>
        <w:rPr>
          <w:rFonts w:ascii="Segoe UI" w:hAnsi="Segoe UI"/>
          <w:b w:val="0"/>
          <w:color w:val="0F172A"/>
          <w:sz w:val="17"/>
        </w:rPr>
        <w:t xml:space="preserve"> Führerschein Klasse B | Gesundheitszeugnis vorhanden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742"/>
      </w:tblGrid>
      <w:tr>
        <w:tc>
          <w:tcPr>
            <w:tcW w:type="dxa" w:w="5273"/>
            <w:vAlign w:val="bottom"/>
          </w:tcPr>
          <w:p>
            <w:pPr>
              <w:spacing w:before="160" w:after="0"/>
            </w:pPr>
            <w:r>
              <w:rPr>
                <w:rFonts w:ascii="Segoe UI" w:hAnsi="Segoe UI"/>
                <w:color w:val="475569"/>
                <w:sz w:val="17"/>
              </w:rPr>
              <w:t>Berlin, den 23.10.2026</w:t>
            </w:r>
          </w:p>
        </w:tc>
        <w:tc>
          <w:tcPr>
            <w:tcW w:type="dxa" w:w="5273"/>
            <w:vAlign w:val="bottom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825" cy="34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5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  <w:pBdr>
                <w:top w:val="single" w:sz="6" w:space="2" w:color="94A3B8"/>
              </w:pBdr>
            </w:pPr>
            <w:r>
              <w:rPr>
                <w:rFonts w:ascii="Segoe UI" w:hAnsi="Segoe UI"/>
                <w:color w:val="475569"/>
                <w:sz w:val="16"/>
              </w:rPr>
              <w:t>Nancy Thuy Dung Schütze</w:t>
            </w:r>
          </w:p>
        </w:tc>
      </w:tr>
    </w:tbl>
    <w:sectPr w:rsidR="00FC693F" w:rsidRPr="0006063C" w:rsidSect="00034616">
      <w:pgSz w:w="11906" w:h="16838"/>
      <w:pgMar w:top="510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