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2F977" w14:textId="77777777" w:rsidR="00826B76" w:rsidRPr="00826B76" w:rsidRDefault="00206F05" w:rsidP="00826B76">
      <w:pPr>
        <w:pStyle w:val="Ttulo1"/>
        <w:spacing w:before="240"/>
      </w:pPr>
      <w:r w:rsidRPr="00826B76">
        <w:t>ACUERDO MEDIANTE EL CUAL EL PLENO DEL INSTITUTO FEDERAL DE TELECOMUNICACIONES REQUIERE A ALTÁN REDES, S.A.P.I. DE C.V. MODIFICAR LOS TÉRMINOS Y CONDICIONES DE LA PROPUESTA DE OFERTA DE REFERENCIA PARA LA PRESTACIÓN DE SERVICIOS DE TELECOMUNICACIONES.</w:t>
      </w:r>
    </w:p>
    <w:p w14:paraId="70B6E819" w14:textId="77777777" w:rsidR="00826B76" w:rsidRPr="00826B76" w:rsidRDefault="00206F05" w:rsidP="00826B76">
      <w:pPr>
        <w:pStyle w:val="Ttulo2"/>
        <w:spacing w:before="240"/>
        <w:jc w:val="center"/>
      </w:pPr>
      <w:r w:rsidRPr="00826B76">
        <w:t>ANTECEDENTES</w:t>
      </w:r>
    </w:p>
    <w:p w14:paraId="0D994B33" w14:textId="77777777" w:rsidR="00826B76" w:rsidRPr="00826B76" w:rsidRDefault="00581EAC" w:rsidP="00826B76">
      <w:pPr>
        <w:pStyle w:val="Prrafodelista"/>
        <w:numPr>
          <w:ilvl w:val="0"/>
          <w:numId w:val="5"/>
        </w:numPr>
        <w:spacing w:before="240"/>
        <w:jc w:val="both"/>
        <w:rPr>
          <w:rFonts w:ascii="ITC Avant Garde" w:hAnsi="ITC Avant Garde" w:cs="Arial"/>
          <w:color w:val="000000"/>
          <w:lang w:val="es-ES_tradnl" w:eastAsia="es-ES"/>
        </w:rPr>
      </w:pPr>
      <w:bookmarkStart w:id="0" w:name="_Toc426649745"/>
      <w:r w:rsidRPr="00826B76">
        <w:rPr>
          <w:rFonts w:ascii="ITC Avant Garde" w:hAnsi="ITC Avant Garde" w:cs="Arial"/>
          <w:b/>
          <w:color w:val="000000"/>
          <w:lang w:val="es-ES_tradnl" w:eastAsia="es-ES"/>
        </w:rPr>
        <w:t>Decreto de Reforma Constitucional.</w:t>
      </w:r>
      <w:r w:rsidRPr="00826B76">
        <w:rPr>
          <w:rFonts w:ascii="ITC Avant Garde" w:hAnsi="ITC Avant Garde" w:cs="Arial"/>
          <w:color w:val="000000"/>
          <w:lang w:val="es-ES_tradnl" w:eastAsia="es-ES"/>
        </w:rPr>
        <w:t xml:space="preserve"> </w:t>
      </w:r>
      <w:r w:rsidR="00797438" w:rsidRPr="00826B76">
        <w:rPr>
          <w:rFonts w:ascii="ITC Avant Garde" w:hAnsi="ITC Avant Garde" w:cs="Arial"/>
          <w:color w:val="000000"/>
          <w:lang w:val="es-ES_tradnl" w:eastAsia="es-ES"/>
        </w:rPr>
        <w:t>El 11 de junio de 2013, se publicó en el Diario Oficial de la Federación (</w:t>
      </w:r>
      <w:r w:rsidR="00186ACD" w:rsidRPr="00826B76">
        <w:rPr>
          <w:rFonts w:ascii="ITC Avant Garde" w:hAnsi="ITC Avant Garde" w:cs="Arial"/>
          <w:color w:val="000000"/>
          <w:lang w:val="es-ES_tradnl" w:eastAsia="es-ES"/>
        </w:rPr>
        <w:t>en lo sucesivo, el “</w:t>
      </w:r>
      <w:r w:rsidR="00797438" w:rsidRPr="00826B76">
        <w:rPr>
          <w:rFonts w:ascii="ITC Avant Garde" w:hAnsi="ITC Avant Garde" w:cs="Arial"/>
          <w:color w:val="000000"/>
          <w:lang w:val="es-ES_tradnl" w:eastAsia="es-ES"/>
        </w:rPr>
        <w:t>DOF</w:t>
      </w:r>
      <w:r w:rsidR="00186ACD" w:rsidRPr="00826B76">
        <w:rPr>
          <w:rFonts w:ascii="ITC Avant Garde" w:hAnsi="ITC Avant Garde" w:cs="Arial"/>
          <w:color w:val="000000"/>
          <w:lang w:val="es-ES_tradnl" w:eastAsia="es-ES"/>
        </w:rPr>
        <w:t>”</w:t>
      </w:r>
      <w:r w:rsidR="00797438" w:rsidRPr="00826B76">
        <w:rPr>
          <w:rFonts w:ascii="ITC Avant Garde" w:hAnsi="ITC Avant Garde" w:cs="Arial"/>
          <w:color w:val="000000"/>
          <w:lang w:val="es-ES_tradnl" w:eastAsia="es-ES"/>
        </w:rPr>
        <w:t>), el “DECRETO por el que se reforman y adicionan diversas disposiciones de los artículos 6o., 7o., 27, 28, 73, 78, 94 y 105 de la Constitución Política de los Estados Unidos Mexicanos, en materia de telecomunicaciones” (</w:t>
      </w:r>
      <w:r w:rsidR="00186ACD" w:rsidRPr="00826B76">
        <w:rPr>
          <w:rFonts w:ascii="ITC Avant Garde" w:hAnsi="ITC Avant Garde" w:cs="Arial"/>
          <w:color w:val="000000"/>
          <w:lang w:val="es-ES_tradnl" w:eastAsia="es-ES"/>
        </w:rPr>
        <w:t>en lo sucesivo, el “</w:t>
      </w:r>
      <w:r w:rsidR="00797438" w:rsidRPr="00826B76">
        <w:rPr>
          <w:rFonts w:ascii="ITC Avant Garde" w:hAnsi="ITC Avant Garde" w:cs="Arial"/>
          <w:color w:val="000000"/>
          <w:lang w:val="es-ES_tradnl" w:eastAsia="es-ES"/>
        </w:rPr>
        <w:t>Decreto</w:t>
      </w:r>
      <w:r w:rsidR="00186ACD" w:rsidRPr="00826B76">
        <w:rPr>
          <w:rFonts w:ascii="ITC Avant Garde" w:hAnsi="ITC Avant Garde" w:cs="Arial"/>
          <w:color w:val="000000"/>
          <w:lang w:val="es-ES_tradnl" w:eastAsia="es-ES"/>
        </w:rPr>
        <w:t>”</w:t>
      </w:r>
      <w:r w:rsidR="00797438" w:rsidRPr="00826B76">
        <w:rPr>
          <w:rFonts w:ascii="ITC Avant Garde" w:hAnsi="ITC Avant Garde" w:cs="Arial"/>
          <w:color w:val="000000"/>
          <w:lang w:val="es-ES_tradnl" w:eastAsia="es-ES"/>
        </w:rPr>
        <w:t>), mediante el cual se creó al Instituto Federal de Telecomunicaciones (</w:t>
      </w:r>
      <w:r w:rsidR="008A7E3A" w:rsidRPr="00826B76">
        <w:rPr>
          <w:rFonts w:ascii="ITC Avant Garde" w:hAnsi="ITC Avant Garde" w:cs="Arial"/>
          <w:color w:val="000000"/>
          <w:lang w:val="es-ES_tradnl" w:eastAsia="es-ES"/>
        </w:rPr>
        <w:t>en lo sucesivo, el “</w:t>
      </w:r>
      <w:r w:rsidR="00797438" w:rsidRPr="00826B76">
        <w:rPr>
          <w:rFonts w:ascii="ITC Avant Garde" w:hAnsi="ITC Avant Garde" w:cs="Arial"/>
          <w:color w:val="000000"/>
          <w:lang w:val="es-ES_tradnl" w:eastAsia="es-ES"/>
        </w:rPr>
        <w:t>Instituto</w:t>
      </w:r>
      <w:r w:rsidR="008A7E3A" w:rsidRPr="00826B76">
        <w:rPr>
          <w:rFonts w:ascii="ITC Avant Garde" w:hAnsi="ITC Avant Garde" w:cs="Arial"/>
          <w:color w:val="000000"/>
          <w:lang w:val="es-ES_tradnl" w:eastAsia="es-ES"/>
        </w:rPr>
        <w:t>”</w:t>
      </w:r>
      <w:r w:rsidR="00797438" w:rsidRPr="00826B76">
        <w:rPr>
          <w:rFonts w:ascii="ITC Avant Garde" w:hAnsi="ITC Avant Garde" w:cs="Arial"/>
          <w:color w:val="000000"/>
          <w:lang w:val="es-ES_tradnl" w:eastAsia="es-ES"/>
        </w:rPr>
        <w:t>), como un órgano autónomo con personalidad jurídica y patrimonio propio, cuyo objeto es el desarrollo eficiente de la radiodifusión y las telecomunicaciones conforme a lo dispuesto en la propia Constitución Política de los Estados Unidos Mexicanos (</w:t>
      </w:r>
      <w:r w:rsidR="00B76C19" w:rsidRPr="00826B76">
        <w:rPr>
          <w:rFonts w:ascii="ITC Avant Garde" w:hAnsi="ITC Avant Garde" w:cs="Arial"/>
          <w:color w:val="000000"/>
          <w:lang w:val="es-ES_tradnl" w:eastAsia="es-ES"/>
        </w:rPr>
        <w:t>en lo sucesivo, la “</w:t>
      </w:r>
      <w:r w:rsidR="00797438" w:rsidRPr="00826B76">
        <w:rPr>
          <w:rFonts w:ascii="ITC Avant Garde" w:hAnsi="ITC Avant Garde" w:cs="Arial"/>
          <w:color w:val="000000"/>
          <w:lang w:val="es-ES_tradnl" w:eastAsia="es-ES"/>
        </w:rPr>
        <w:t>Constitución</w:t>
      </w:r>
      <w:r w:rsidR="00B76C19" w:rsidRPr="00826B76">
        <w:rPr>
          <w:rFonts w:ascii="ITC Avant Garde" w:hAnsi="ITC Avant Garde" w:cs="Arial"/>
          <w:color w:val="000000"/>
          <w:lang w:val="es-ES_tradnl" w:eastAsia="es-ES"/>
        </w:rPr>
        <w:t>”</w:t>
      </w:r>
      <w:r w:rsidR="00797438" w:rsidRPr="00826B76">
        <w:rPr>
          <w:rFonts w:ascii="ITC Avant Garde" w:hAnsi="ITC Avant Garde" w:cs="Arial"/>
          <w:color w:val="000000"/>
          <w:lang w:val="es-ES_tradnl" w:eastAsia="es-ES"/>
        </w:rPr>
        <w:t>)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47D3D529" w14:textId="77777777" w:rsidR="00826B76" w:rsidRPr="00826B76" w:rsidRDefault="00581EAC" w:rsidP="00826B76">
      <w:pPr>
        <w:pStyle w:val="IFTnormal"/>
        <w:numPr>
          <w:ilvl w:val="0"/>
          <w:numId w:val="5"/>
        </w:numPr>
        <w:spacing w:before="240"/>
      </w:pPr>
      <w:r w:rsidRPr="00826B76">
        <w:rPr>
          <w:b/>
        </w:rPr>
        <w:t xml:space="preserve">Ley Federal de Telecomunicaciones y Radiodifusión. </w:t>
      </w:r>
      <w:r w:rsidR="00B67915" w:rsidRPr="00826B76">
        <w:t>Con fecha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w:t>
      </w:r>
      <w:r w:rsidR="008A7E3A" w:rsidRPr="00826B76">
        <w:t>en lo sucesivo, el “</w:t>
      </w:r>
      <w:r w:rsidR="00B67915" w:rsidRPr="00826B76">
        <w:t xml:space="preserve">Decreto de </w:t>
      </w:r>
      <w:r w:rsidR="00797438" w:rsidRPr="00826B76">
        <w:t>Ley</w:t>
      </w:r>
      <w:r w:rsidR="008A7E3A" w:rsidRPr="00826B76">
        <w:t>”</w:t>
      </w:r>
      <w:r w:rsidR="00B67915" w:rsidRPr="00826B76">
        <w:t>)</w:t>
      </w:r>
      <w:r w:rsidR="00797438" w:rsidRPr="00826B76">
        <w:t xml:space="preserve"> entrando en vigor la Ley Federal de Telecomunicaciones y Radiodifusión (</w:t>
      </w:r>
      <w:r w:rsidRPr="00826B76">
        <w:t>en lo sucesivo, la “</w:t>
      </w:r>
      <w:r w:rsidR="00797438" w:rsidRPr="00826B76">
        <w:t>LFTR</w:t>
      </w:r>
      <w:r w:rsidRPr="00826B76">
        <w:t>”</w:t>
      </w:r>
      <w:r w:rsidR="00797438" w:rsidRPr="00826B76">
        <w:t>) el 13 de agosto del 2014</w:t>
      </w:r>
      <w:r w:rsidR="00B67915" w:rsidRPr="00826B76">
        <w:t>.</w:t>
      </w:r>
    </w:p>
    <w:p w14:paraId="78565575" w14:textId="77777777" w:rsidR="00826B76" w:rsidRPr="00826B76" w:rsidRDefault="007D6C0C" w:rsidP="00826B76">
      <w:pPr>
        <w:pStyle w:val="Prrafodelista"/>
        <w:numPr>
          <w:ilvl w:val="0"/>
          <w:numId w:val="5"/>
        </w:numPr>
        <w:spacing w:before="240"/>
        <w:ind w:left="714" w:hanging="357"/>
        <w:jc w:val="both"/>
        <w:rPr>
          <w:rFonts w:ascii="ITC Avant Garde" w:hAnsi="ITC Avant Garde" w:cs="Arial"/>
          <w:color w:val="000000"/>
          <w:lang w:val="es-ES_tradnl" w:eastAsia="es-ES"/>
        </w:rPr>
      </w:pPr>
      <w:r w:rsidRPr="00826B76">
        <w:rPr>
          <w:rFonts w:ascii="ITC Avant Garde" w:hAnsi="ITC Avant Garde" w:cs="Arial"/>
          <w:b/>
          <w:bCs/>
          <w:color w:val="000000"/>
          <w:shd w:val="clear" w:color="auto" w:fill="FFFFFF"/>
        </w:rPr>
        <w:t>Estatuto Orgánico.</w:t>
      </w:r>
      <w:r w:rsidRPr="00826B76">
        <w:rPr>
          <w:rStyle w:val="apple-converted-space"/>
          <w:rFonts w:ascii="ITC Avant Garde" w:hAnsi="ITC Avant Garde" w:cs="Arial"/>
          <w:b/>
          <w:bCs/>
          <w:color w:val="000000"/>
          <w:shd w:val="clear" w:color="auto" w:fill="FFFFFF"/>
        </w:rPr>
        <w:t xml:space="preserve"> </w:t>
      </w:r>
      <w:r w:rsidRPr="00826B76">
        <w:rPr>
          <w:rFonts w:ascii="ITC Avant Garde" w:hAnsi="ITC Avant Garde"/>
          <w:color w:val="000000"/>
          <w:shd w:val="clear" w:color="auto" w:fill="FFFFFF"/>
        </w:rPr>
        <w:t>El 4 de septiembre de 2014, se publicó en el Diario Oficial de la Federación el “Estatuto Orgánico del Instituto Federal de Telecomunicaciones” (el “Estatuto Orgánico”), mismo que entró en vigor el 26 de septiembre de 2014, y fue modificado por última vez el 20 de julio de 2017.</w:t>
      </w:r>
    </w:p>
    <w:p w14:paraId="1DAEDC78" w14:textId="77777777" w:rsidR="00826B76" w:rsidRPr="00826B76" w:rsidRDefault="00675B57" w:rsidP="00826B76">
      <w:pPr>
        <w:pStyle w:val="Prrafodelista"/>
        <w:numPr>
          <w:ilvl w:val="0"/>
          <w:numId w:val="5"/>
        </w:numPr>
        <w:spacing w:before="240"/>
        <w:jc w:val="both"/>
        <w:rPr>
          <w:rFonts w:ascii="ITC Avant Garde" w:hAnsi="ITC Avant Garde" w:cs="Arial"/>
          <w:color w:val="000000"/>
          <w:lang w:val="es-ES_tradnl" w:eastAsia="es-ES"/>
        </w:rPr>
      </w:pPr>
      <w:r w:rsidRPr="00826B76">
        <w:rPr>
          <w:rFonts w:ascii="ITC Avant Garde" w:hAnsi="ITC Avant Garde" w:cs="Arial"/>
          <w:b/>
          <w:color w:val="000000"/>
          <w:lang w:val="es-ES_tradnl" w:eastAsia="es-ES"/>
        </w:rPr>
        <w:t>C</w:t>
      </w:r>
      <w:r w:rsidR="00F15358" w:rsidRPr="00826B76">
        <w:rPr>
          <w:rFonts w:ascii="ITC Avant Garde" w:hAnsi="ITC Avant Garde" w:cs="Arial"/>
          <w:b/>
          <w:color w:val="000000"/>
          <w:lang w:val="es-ES_tradnl" w:eastAsia="es-ES"/>
        </w:rPr>
        <w:t>oncesión de Altán</w:t>
      </w:r>
      <w:r w:rsidRPr="00826B76">
        <w:rPr>
          <w:rFonts w:ascii="ITC Avant Garde" w:hAnsi="ITC Avant Garde" w:cs="Arial"/>
          <w:b/>
          <w:color w:val="000000"/>
          <w:lang w:val="es-ES_tradnl" w:eastAsia="es-ES"/>
        </w:rPr>
        <w:t xml:space="preserve">. </w:t>
      </w:r>
      <w:r w:rsidR="00B65DD6" w:rsidRPr="00826B76">
        <w:rPr>
          <w:rFonts w:ascii="ITC Avant Garde" w:hAnsi="ITC Avant Garde" w:cs="Arial"/>
          <w:color w:val="000000"/>
          <w:lang w:val="es-ES_tradnl" w:eastAsia="es-ES"/>
        </w:rPr>
        <w:t xml:space="preserve">El </w:t>
      </w:r>
      <w:r w:rsidRPr="00826B76">
        <w:rPr>
          <w:rFonts w:ascii="ITC Avant Garde" w:hAnsi="ITC Avant Garde" w:cs="Arial"/>
          <w:color w:val="000000"/>
          <w:lang w:val="es-ES_tradnl" w:eastAsia="es-ES"/>
        </w:rPr>
        <w:t>2</w:t>
      </w:r>
      <w:r w:rsidR="00B65DD6" w:rsidRPr="00826B76">
        <w:rPr>
          <w:rFonts w:ascii="ITC Avant Garde" w:hAnsi="ITC Avant Garde" w:cs="Arial"/>
          <w:color w:val="000000"/>
          <w:lang w:val="es-ES_tradnl" w:eastAsia="es-ES"/>
        </w:rPr>
        <w:t xml:space="preserve">4 de </w:t>
      </w:r>
      <w:r w:rsidRPr="00826B76">
        <w:rPr>
          <w:rFonts w:ascii="ITC Avant Garde" w:hAnsi="ITC Avant Garde" w:cs="Arial"/>
          <w:color w:val="000000"/>
          <w:lang w:val="es-ES_tradnl" w:eastAsia="es-ES"/>
        </w:rPr>
        <w:t xml:space="preserve">enero de 2017, </w:t>
      </w:r>
      <w:r w:rsidR="007D6C0C" w:rsidRPr="00826B76">
        <w:rPr>
          <w:rFonts w:ascii="ITC Avant Garde" w:hAnsi="ITC Avant Garde" w:cs="Arial"/>
          <w:color w:val="000000"/>
          <w:lang w:val="es-ES_tradnl" w:eastAsia="es-ES"/>
        </w:rPr>
        <w:t xml:space="preserve">a través de </w:t>
      </w:r>
      <w:r w:rsidR="002B05CF" w:rsidRPr="00826B76">
        <w:rPr>
          <w:rFonts w:ascii="ITC Avant Garde" w:hAnsi="ITC Avant Garde" w:cs="Arial"/>
          <w:color w:val="000000"/>
          <w:lang w:val="es-ES_tradnl" w:eastAsia="es-ES"/>
        </w:rPr>
        <w:t xml:space="preserve">la </w:t>
      </w:r>
      <w:r w:rsidR="0007763B" w:rsidRPr="00826B76">
        <w:rPr>
          <w:rFonts w:ascii="ITC Avant Garde" w:hAnsi="ITC Avant Garde" w:cs="Arial"/>
          <w:color w:val="000000"/>
          <w:lang w:val="es-ES_tradnl" w:eastAsia="es-ES"/>
        </w:rPr>
        <w:t>“</w:t>
      </w:r>
      <w:r w:rsidR="002B05CF" w:rsidRPr="00826B76">
        <w:rPr>
          <w:rFonts w:ascii="ITC Avant Garde" w:hAnsi="ITC Avant Garde" w:cs="Arial"/>
          <w:color w:val="000000"/>
          <w:lang w:val="es-ES_tradnl" w:eastAsia="es-ES"/>
        </w:rPr>
        <w:t xml:space="preserve">RESOLUCIÓN MEDIANTE LA CUAL EL PLENO DEL INSTITUTO FEDERAL DE TELECOMUNICACIONES OTORGA A ALTÁN REDES, S.A.P.I. DE C.V., UN TÍTULO DE CONCESIÓN PARA USO COMERCIAL CON CARÁCTER DE RED COMPARTIDA MAYORISTA DE SERVICIOS DE </w:t>
      </w:r>
      <w:r w:rsidR="002B05CF" w:rsidRPr="00826B76">
        <w:rPr>
          <w:rFonts w:ascii="ITC Avant Garde" w:hAnsi="ITC Avant Garde" w:cs="Arial"/>
          <w:color w:val="000000"/>
          <w:lang w:val="es-ES_tradnl" w:eastAsia="es-ES"/>
        </w:rPr>
        <w:lastRenderedPageBreak/>
        <w:t>TELECOMUNICACIONES</w:t>
      </w:r>
      <w:r w:rsidR="00306E5E" w:rsidRPr="00826B76">
        <w:rPr>
          <w:rFonts w:ascii="ITC Avant Garde" w:hAnsi="ITC Avant Garde" w:cs="Arial"/>
          <w:color w:val="000000"/>
          <w:lang w:val="es-ES_tradnl" w:eastAsia="es-ES"/>
        </w:rPr>
        <w:t>” aprobada mediante Acuerdo P/IFT/160117/2,</w:t>
      </w:r>
      <w:r w:rsidR="0007763B" w:rsidRPr="00826B76">
        <w:rPr>
          <w:rFonts w:ascii="ITC Avant Garde" w:hAnsi="ITC Avant Garde" w:cs="Arial"/>
          <w:color w:val="000000"/>
          <w:lang w:val="es-ES_tradnl" w:eastAsia="es-ES"/>
        </w:rPr>
        <w:t xml:space="preserve"> </w:t>
      </w:r>
      <w:r w:rsidRPr="00826B76">
        <w:rPr>
          <w:rFonts w:ascii="ITC Avant Garde" w:hAnsi="ITC Avant Garde" w:cs="Arial"/>
          <w:color w:val="000000"/>
          <w:lang w:val="es-ES_tradnl" w:eastAsia="es-ES"/>
        </w:rPr>
        <w:t>el Instituto otorgó a Altán</w:t>
      </w:r>
      <w:r w:rsidR="007D0787" w:rsidRPr="00826B76">
        <w:rPr>
          <w:rFonts w:ascii="ITC Avant Garde" w:hAnsi="ITC Avant Garde" w:cs="Arial"/>
          <w:color w:val="000000"/>
          <w:lang w:val="es-ES_tradnl" w:eastAsia="es-ES"/>
        </w:rPr>
        <w:t xml:space="preserve"> Redes, S.A.P.I. de C.V. (en lo sucesivo, “Altán”)</w:t>
      </w:r>
      <w:r w:rsidRPr="00826B76">
        <w:rPr>
          <w:rFonts w:ascii="ITC Avant Garde" w:hAnsi="ITC Avant Garde" w:cs="Arial"/>
          <w:color w:val="000000"/>
          <w:lang w:val="es-ES_tradnl" w:eastAsia="es-ES"/>
        </w:rPr>
        <w:t xml:space="preserve"> una concesión para el uso comercial de la Red Compartida, habilitando a Altán a comercializar capacidad, infraestructura y/o servicio de telecomunicaciones a concesionarios o comercializadoras (en lo sucesivo, la “Concesión”).</w:t>
      </w:r>
    </w:p>
    <w:p w14:paraId="12A5BC82" w14:textId="77777777" w:rsidR="00826B76" w:rsidRPr="00826B76" w:rsidRDefault="0004352B" w:rsidP="00826B76">
      <w:pPr>
        <w:pStyle w:val="Prrafodelista"/>
        <w:numPr>
          <w:ilvl w:val="0"/>
          <w:numId w:val="5"/>
        </w:numPr>
        <w:spacing w:before="240"/>
        <w:jc w:val="both"/>
        <w:rPr>
          <w:rFonts w:ascii="ITC Avant Garde" w:hAnsi="ITC Avant Garde" w:cs="Arial"/>
          <w:color w:val="000000"/>
          <w:lang w:val="es-ES_tradnl" w:eastAsia="es-ES"/>
        </w:rPr>
      </w:pPr>
      <w:r w:rsidRPr="00826B76">
        <w:rPr>
          <w:rFonts w:ascii="ITC Avant Garde" w:hAnsi="ITC Avant Garde" w:cs="Arial"/>
          <w:b/>
          <w:color w:val="000000"/>
          <w:lang w:val="es-ES_tradnl" w:eastAsia="es-ES"/>
        </w:rPr>
        <w:t xml:space="preserve">Contrato Asociación Público Privada. </w:t>
      </w:r>
      <w:r w:rsidRPr="00826B76">
        <w:rPr>
          <w:rFonts w:ascii="ITC Avant Garde" w:hAnsi="ITC Avant Garde" w:cs="Arial"/>
          <w:color w:val="000000"/>
          <w:lang w:val="es-ES_tradnl" w:eastAsia="es-ES"/>
        </w:rPr>
        <w:t>El 24 de enero de 2017, Altán celebró el C</w:t>
      </w:r>
      <w:r w:rsidR="00503251" w:rsidRPr="00826B76">
        <w:rPr>
          <w:rFonts w:ascii="ITC Avant Garde" w:hAnsi="ITC Avant Garde" w:cs="Arial"/>
          <w:color w:val="000000"/>
          <w:lang w:val="es-ES_tradnl" w:eastAsia="es-ES"/>
        </w:rPr>
        <w:t>ontrato de Asociación Público Privada con el Organismo Promotor de Inversiones de Telecomunicaciones</w:t>
      </w:r>
      <w:r w:rsidR="007F1419" w:rsidRPr="00826B76">
        <w:rPr>
          <w:rFonts w:ascii="ITC Avant Garde" w:hAnsi="ITC Avant Garde" w:cs="Arial"/>
          <w:color w:val="000000"/>
          <w:lang w:val="es-ES_tradnl" w:eastAsia="es-ES"/>
        </w:rPr>
        <w:t xml:space="preserve"> (en lo sucesivo, “Promtel”)</w:t>
      </w:r>
      <w:r w:rsidR="00503251" w:rsidRPr="00826B76">
        <w:rPr>
          <w:rFonts w:ascii="ITC Avant Garde" w:hAnsi="ITC Avant Garde" w:cs="Arial"/>
          <w:color w:val="000000"/>
          <w:lang w:val="es-ES_tradnl" w:eastAsia="es-ES"/>
        </w:rPr>
        <w:t xml:space="preserve"> y con Telecomunicaciones de México para establecer el esquema, los términos y las condiciones de la asociación público privada bajo las cuales Altán deberá diseñar, instalar, desplegar, operar, mantener y actualizar la Red Compartida y comercializar el servicio mayorista de telecomunicaciones a través de la misma</w:t>
      </w:r>
      <w:r w:rsidR="00A54712" w:rsidRPr="00826B76">
        <w:rPr>
          <w:rFonts w:ascii="ITC Avant Garde" w:hAnsi="ITC Avant Garde" w:cs="Arial"/>
          <w:color w:val="000000"/>
          <w:lang w:val="es-ES_tradnl" w:eastAsia="es-ES"/>
        </w:rPr>
        <w:t xml:space="preserve"> (en lo sucesivo, el “Contrato APP”)</w:t>
      </w:r>
      <w:r w:rsidR="00503251" w:rsidRPr="00826B76">
        <w:rPr>
          <w:rFonts w:ascii="ITC Avant Garde" w:hAnsi="ITC Avant Garde" w:cs="Arial"/>
          <w:color w:val="000000"/>
          <w:lang w:val="es-ES_tradnl" w:eastAsia="es-ES"/>
        </w:rPr>
        <w:t>.</w:t>
      </w:r>
    </w:p>
    <w:p w14:paraId="03C0D8BA" w14:textId="77777777" w:rsidR="00826B76" w:rsidRPr="00826B76" w:rsidRDefault="00581EAC" w:rsidP="00826B76">
      <w:pPr>
        <w:pStyle w:val="IFTnormal"/>
        <w:numPr>
          <w:ilvl w:val="0"/>
          <w:numId w:val="5"/>
        </w:numPr>
        <w:spacing w:before="240"/>
        <w:rPr>
          <w:rFonts w:eastAsia="Times New Roman"/>
          <w:bCs/>
        </w:rPr>
      </w:pPr>
      <w:r w:rsidRPr="00826B76">
        <w:rPr>
          <w:rFonts w:eastAsia="Times New Roman"/>
          <w:b/>
          <w:bCs/>
        </w:rPr>
        <w:t>Propuesta de Oferta Referencia</w:t>
      </w:r>
      <w:r w:rsidR="00F35E4D" w:rsidRPr="00826B76">
        <w:rPr>
          <w:rFonts w:eastAsia="Times New Roman"/>
          <w:b/>
          <w:bCs/>
        </w:rPr>
        <w:t>.</w:t>
      </w:r>
      <w:r w:rsidRPr="00826B76">
        <w:rPr>
          <w:rFonts w:eastAsia="Times New Roman"/>
          <w:bCs/>
        </w:rPr>
        <w:t xml:space="preserve"> </w:t>
      </w:r>
      <w:r w:rsidR="00797438" w:rsidRPr="00826B76">
        <w:rPr>
          <w:rFonts w:eastAsia="Times New Roman"/>
          <w:bCs/>
        </w:rPr>
        <w:t xml:space="preserve">Mediante escrito presentado en la </w:t>
      </w:r>
      <w:r w:rsidR="00825328" w:rsidRPr="00826B76">
        <w:rPr>
          <w:rFonts w:eastAsia="Times New Roman"/>
          <w:bCs/>
        </w:rPr>
        <w:t>Oficialía</w:t>
      </w:r>
      <w:r w:rsidR="00797438" w:rsidRPr="00826B76">
        <w:rPr>
          <w:rFonts w:eastAsia="Times New Roman"/>
          <w:bCs/>
        </w:rPr>
        <w:t xml:space="preserve"> de Partes del Instituto e</w:t>
      </w:r>
      <w:r w:rsidR="00B67915" w:rsidRPr="00826B76">
        <w:rPr>
          <w:rFonts w:eastAsia="Times New Roman"/>
          <w:bCs/>
        </w:rPr>
        <w:t xml:space="preserve">l </w:t>
      </w:r>
      <w:r w:rsidR="00675B57" w:rsidRPr="00826B76">
        <w:rPr>
          <w:rFonts w:eastAsia="Times New Roman"/>
          <w:bCs/>
        </w:rPr>
        <w:t>19</w:t>
      </w:r>
      <w:r w:rsidR="00B67915" w:rsidRPr="00826B76">
        <w:rPr>
          <w:rFonts w:eastAsia="Times New Roman"/>
          <w:bCs/>
        </w:rPr>
        <w:t xml:space="preserve"> de </w:t>
      </w:r>
      <w:r w:rsidR="003552BC" w:rsidRPr="00826B76">
        <w:rPr>
          <w:rFonts w:eastAsia="Times New Roman"/>
          <w:bCs/>
        </w:rPr>
        <w:t>diciembre de 2017</w:t>
      </w:r>
      <w:r w:rsidR="00B81FDF" w:rsidRPr="00826B76">
        <w:rPr>
          <w:rFonts w:eastAsia="Times New Roman"/>
          <w:bCs/>
        </w:rPr>
        <w:t>,</w:t>
      </w:r>
      <w:r w:rsidR="00B67915" w:rsidRPr="00826B76">
        <w:rPr>
          <w:rFonts w:eastAsia="Times New Roman"/>
          <w:bCs/>
        </w:rPr>
        <w:t xml:space="preserve"> </w:t>
      </w:r>
      <w:r w:rsidR="00675B57" w:rsidRPr="00826B76">
        <w:rPr>
          <w:rFonts w:eastAsia="Times New Roman"/>
          <w:bCs/>
        </w:rPr>
        <w:t xml:space="preserve">Altán </w:t>
      </w:r>
      <w:r w:rsidR="00D23AC7" w:rsidRPr="00826B76">
        <w:rPr>
          <w:rFonts w:eastAsia="Times New Roman"/>
          <w:bCs/>
        </w:rPr>
        <w:t xml:space="preserve">en términos de la </w:t>
      </w:r>
      <w:r w:rsidR="00675B57" w:rsidRPr="00826B76">
        <w:rPr>
          <w:rFonts w:eastAsia="Times New Roman"/>
          <w:bCs/>
        </w:rPr>
        <w:t>condición 12 de la Concesión</w:t>
      </w:r>
      <w:r w:rsidR="00D23AC7" w:rsidRPr="00826B76">
        <w:rPr>
          <w:rFonts w:eastAsia="Times New Roman"/>
          <w:bCs/>
        </w:rPr>
        <w:t>, solicitó al Instituto la revisión y aprobación de los documentos relativos a la “</w:t>
      </w:r>
      <w:r w:rsidR="00675B57" w:rsidRPr="00826B76">
        <w:rPr>
          <w:rFonts w:eastAsia="Times New Roman"/>
          <w:bCs/>
        </w:rPr>
        <w:t>Oferta de Referencia</w:t>
      </w:r>
      <w:r w:rsidR="00421768" w:rsidRPr="00826B76">
        <w:rPr>
          <w:rFonts w:eastAsia="Times New Roman"/>
          <w:bCs/>
        </w:rPr>
        <w:t xml:space="preserve"> de Prestación de Servicios de Telecomunicaciones</w:t>
      </w:r>
      <w:r w:rsidR="006E3EE5" w:rsidRPr="00826B76">
        <w:rPr>
          <w:rFonts w:eastAsia="Times New Roman"/>
          <w:bCs/>
        </w:rPr>
        <w:t>”</w:t>
      </w:r>
      <w:r w:rsidR="004C0B84" w:rsidRPr="00826B76">
        <w:rPr>
          <w:rFonts w:eastAsia="Times New Roman"/>
          <w:bCs/>
        </w:rPr>
        <w:t xml:space="preserve"> de </w:t>
      </w:r>
      <w:r w:rsidR="00675B57" w:rsidRPr="00826B76">
        <w:rPr>
          <w:rFonts w:eastAsia="Times New Roman"/>
          <w:bCs/>
        </w:rPr>
        <w:t>Altán</w:t>
      </w:r>
      <w:r w:rsidR="00D23AC7" w:rsidRPr="00826B76">
        <w:rPr>
          <w:rFonts w:eastAsia="Times New Roman"/>
          <w:bCs/>
        </w:rPr>
        <w:t xml:space="preserve"> </w:t>
      </w:r>
      <w:r w:rsidR="00F60B86" w:rsidRPr="00826B76">
        <w:rPr>
          <w:rFonts w:eastAsia="Times New Roman"/>
          <w:bCs/>
        </w:rPr>
        <w:t>(en lo sucesivo, la “</w:t>
      </w:r>
      <w:r w:rsidR="00675B57" w:rsidRPr="00826B76">
        <w:rPr>
          <w:rFonts w:eastAsia="Times New Roman"/>
          <w:bCs/>
        </w:rPr>
        <w:t xml:space="preserve">Propuesta de </w:t>
      </w:r>
      <w:r w:rsidR="00F60B86" w:rsidRPr="00826B76">
        <w:rPr>
          <w:lang w:val="es-ES"/>
        </w:rPr>
        <w:t>Oferta de Referencia”)</w:t>
      </w:r>
      <w:r w:rsidR="00F60B86" w:rsidRPr="00826B76">
        <w:rPr>
          <w:rFonts w:eastAsia="Times New Roman"/>
          <w:bCs/>
        </w:rPr>
        <w:t>.</w:t>
      </w:r>
    </w:p>
    <w:p w14:paraId="776029F6" w14:textId="77777777" w:rsidR="00826B76" w:rsidRPr="00826B76" w:rsidRDefault="00B67915" w:rsidP="00826B76">
      <w:pPr>
        <w:pStyle w:val="IFTnormal"/>
        <w:spacing w:before="240"/>
      </w:pPr>
      <w:r w:rsidRPr="00826B76">
        <w:t>En virtud de los citados Antecedentes, y</w:t>
      </w:r>
    </w:p>
    <w:p w14:paraId="6AB0F451" w14:textId="77777777" w:rsidR="00826B76" w:rsidRPr="00826B76" w:rsidRDefault="00E077DA" w:rsidP="00826B76">
      <w:pPr>
        <w:pStyle w:val="Ttulo2"/>
        <w:spacing w:before="240"/>
        <w:jc w:val="center"/>
      </w:pPr>
      <w:bookmarkStart w:id="1" w:name="_Toc426973640"/>
      <w:r w:rsidRPr="00826B76">
        <w:t>CONSIDERANDO</w:t>
      </w:r>
      <w:bookmarkEnd w:id="0"/>
      <w:bookmarkEnd w:id="1"/>
    </w:p>
    <w:p w14:paraId="226718BD" w14:textId="77777777" w:rsidR="00826B76" w:rsidRPr="00826B76" w:rsidRDefault="00B67915" w:rsidP="00826B76">
      <w:pPr>
        <w:spacing w:before="240" w:after="200" w:line="276" w:lineRule="auto"/>
        <w:jc w:val="both"/>
        <w:rPr>
          <w:rFonts w:ascii="ITC Avant Garde" w:eastAsia="Calibri" w:hAnsi="ITC Avant Garde" w:cs="Arial"/>
          <w:bCs/>
        </w:rPr>
      </w:pPr>
      <w:r w:rsidRPr="00826B76">
        <w:rPr>
          <w:rFonts w:ascii="ITC Avant Garde" w:eastAsia="Times New Roman" w:hAnsi="ITC Avant Garde"/>
          <w:b/>
          <w:bCs/>
        </w:rPr>
        <w:t xml:space="preserve">PRIMERO.- Competencia del Instituto. </w:t>
      </w:r>
      <w:r w:rsidR="008A6CBD" w:rsidRPr="00826B76">
        <w:rPr>
          <w:rFonts w:ascii="ITC Avant Garde" w:eastAsia="Calibri" w:hAnsi="ITC Avant Garde" w:cs="Arial"/>
          <w:bCs/>
        </w:rPr>
        <w:t>De conformidad con el artículo 28, párrafos décimo quinto y décimo sexto de la C</w:t>
      </w:r>
      <w:r w:rsidR="006522CD" w:rsidRPr="00826B76">
        <w:rPr>
          <w:rFonts w:ascii="ITC Avant Garde" w:eastAsia="Calibri" w:hAnsi="ITC Avant Garde" w:cs="Arial"/>
          <w:bCs/>
        </w:rPr>
        <w:t>onstitución, el Instituto tiene</w:t>
      </w:r>
      <w:r w:rsidR="008A6CBD" w:rsidRPr="00826B76">
        <w:rPr>
          <w:rFonts w:ascii="ITC Avant Garde" w:eastAsia="Calibri" w:hAnsi="ITC Avant Garde" w:cs="Arial"/>
          <w:bCs/>
        </w:rPr>
        <w:t xml:space="preserv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w:t>
      </w:r>
    </w:p>
    <w:p w14:paraId="1C3E6013" w14:textId="77777777" w:rsidR="00826B76" w:rsidRPr="00826B76" w:rsidRDefault="00C042DA" w:rsidP="00826B76">
      <w:pPr>
        <w:spacing w:before="240" w:after="200" w:line="276" w:lineRule="auto"/>
        <w:jc w:val="both"/>
        <w:rPr>
          <w:rFonts w:ascii="ITC Avant Garde" w:eastAsia="Calibri" w:hAnsi="ITC Avant Garde" w:cs="Arial"/>
          <w:bCs/>
        </w:rPr>
      </w:pPr>
      <w:r w:rsidRPr="00826B76">
        <w:rPr>
          <w:rFonts w:ascii="ITC Avant Garde" w:eastAsia="Calibri" w:hAnsi="ITC Avant Garde" w:cs="Arial"/>
          <w:bCs/>
        </w:rPr>
        <w:t>Asimismo, e</w:t>
      </w:r>
      <w:r w:rsidR="00FA5A04" w:rsidRPr="00826B76">
        <w:rPr>
          <w:rFonts w:ascii="ITC Avant Garde" w:eastAsia="Calibri" w:hAnsi="ITC Avant Garde" w:cs="Arial"/>
          <w:bCs/>
        </w:rPr>
        <w:t xml:space="preserve">n uso de las facultades mencionadas </w:t>
      </w:r>
      <w:r w:rsidRPr="00826B76">
        <w:rPr>
          <w:rFonts w:ascii="ITC Avant Garde" w:eastAsia="Calibri" w:hAnsi="ITC Avant Garde" w:cs="Arial"/>
          <w:bCs/>
        </w:rPr>
        <w:t xml:space="preserve">y de </w:t>
      </w:r>
      <w:r w:rsidR="00B91D42" w:rsidRPr="00826B76">
        <w:rPr>
          <w:rFonts w:ascii="ITC Avant Garde" w:eastAsia="Calibri" w:hAnsi="ITC Avant Garde" w:cs="Arial"/>
          <w:bCs/>
        </w:rPr>
        <w:t>lo establecido en el artículo 143</w:t>
      </w:r>
      <w:r w:rsidRPr="00826B76">
        <w:rPr>
          <w:rFonts w:ascii="ITC Avant Garde" w:eastAsia="Calibri" w:hAnsi="ITC Avant Garde" w:cs="Arial"/>
          <w:bCs/>
        </w:rPr>
        <w:t xml:space="preserve"> de la LFTR, </w:t>
      </w:r>
      <w:r w:rsidR="00FA5A04" w:rsidRPr="00826B76">
        <w:rPr>
          <w:rFonts w:ascii="ITC Avant Garde" w:eastAsia="Calibri" w:hAnsi="ITC Avant Garde" w:cs="Arial"/>
          <w:bCs/>
        </w:rPr>
        <w:t>el Instituto debe vigilar que los concesionarios con participación pública deberán sujetarse a principios de neutralidad a la competencia cuando sus fines sean comerciales</w:t>
      </w:r>
      <w:r w:rsidR="00942EB8" w:rsidRPr="00826B76">
        <w:rPr>
          <w:rFonts w:ascii="ITC Avant Garde" w:eastAsia="Calibri" w:hAnsi="ITC Avant Garde" w:cs="Arial"/>
          <w:bCs/>
        </w:rPr>
        <w:t>.</w:t>
      </w:r>
    </w:p>
    <w:p w14:paraId="17A4DF73" w14:textId="77777777" w:rsidR="00826B76" w:rsidRPr="00826B76" w:rsidRDefault="00942EB8" w:rsidP="00826B76">
      <w:pPr>
        <w:spacing w:before="240" w:after="200" w:line="276" w:lineRule="auto"/>
        <w:jc w:val="both"/>
        <w:rPr>
          <w:rFonts w:ascii="ITC Avant Garde" w:eastAsia="Calibri" w:hAnsi="ITC Avant Garde" w:cs="Arial"/>
          <w:bCs/>
        </w:rPr>
      </w:pPr>
      <w:r w:rsidRPr="00826B76">
        <w:rPr>
          <w:rFonts w:ascii="ITC Avant Garde" w:eastAsia="Calibri" w:hAnsi="ITC Avant Garde" w:cs="Arial"/>
          <w:bCs/>
        </w:rPr>
        <w:t>En virtud de lo anterior</w:t>
      </w:r>
      <w:r w:rsidR="004743C1" w:rsidRPr="00826B76">
        <w:rPr>
          <w:rFonts w:ascii="ITC Avant Garde" w:eastAsia="Calibri" w:hAnsi="ITC Avant Garde" w:cs="Arial"/>
          <w:bCs/>
        </w:rPr>
        <w:t xml:space="preserve">, </w:t>
      </w:r>
      <w:r w:rsidR="005F748A" w:rsidRPr="00826B76">
        <w:rPr>
          <w:rFonts w:ascii="ITC Avant Garde" w:eastAsia="Calibri" w:hAnsi="ITC Avant Garde" w:cs="Arial"/>
          <w:bCs/>
        </w:rPr>
        <w:t xml:space="preserve">en </w:t>
      </w:r>
      <w:r w:rsidR="004743C1" w:rsidRPr="00826B76">
        <w:rPr>
          <w:rFonts w:ascii="ITC Avant Garde" w:eastAsia="Calibri" w:hAnsi="ITC Avant Garde" w:cs="Arial"/>
          <w:bCs/>
        </w:rPr>
        <w:t>la Concesión</w:t>
      </w:r>
      <w:r w:rsidR="005F748A" w:rsidRPr="00826B76">
        <w:rPr>
          <w:rFonts w:ascii="ITC Avant Garde" w:eastAsia="Calibri" w:hAnsi="ITC Avant Garde" w:cs="Arial"/>
          <w:bCs/>
        </w:rPr>
        <w:t xml:space="preserve"> de Altán</w:t>
      </w:r>
      <w:r w:rsidR="004743C1" w:rsidRPr="00826B76">
        <w:rPr>
          <w:rFonts w:ascii="ITC Avant Garde" w:eastAsia="Calibri" w:hAnsi="ITC Avant Garde" w:cs="Arial"/>
          <w:bCs/>
        </w:rPr>
        <w:t xml:space="preserve"> se estableció </w:t>
      </w:r>
      <w:r w:rsidRPr="00826B76">
        <w:rPr>
          <w:rFonts w:ascii="ITC Avant Garde" w:eastAsia="Calibri" w:hAnsi="ITC Avant Garde" w:cs="Arial"/>
          <w:bCs/>
        </w:rPr>
        <w:t>la competencia del</w:t>
      </w:r>
      <w:r w:rsidR="004743C1" w:rsidRPr="00826B76">
        <w:rPr>
          <w:rFonts w:ascii="ITC Avant Garde" w:eastAsia="Calibri" w:hAnsi="ITC Avant Garde" w:cs="Arial"/>
          <w:bCs/>
        </w:rPr>
        <w:t xml:space="preserve"> Instituto </w:t>
      </w:r>
      <w:r w:rsidRPr="00826B76">
        <w:rPr>
          <w:rFonts w:ascii="ITC Avant Garde" w:eastAsia="Calibri" w:hAnsi="ITC Avant Garde" w:cs="Arial"/>
          <w:bCs/>
        </w:rPr>
        <w:t>de aprobar</w:t>
      </w:r>
      <w:r w:rsidR="004743C1" w:rsidRPr="00826B76">
        <w:rPr>
          <w:rFonts w:ascii="ITC Avant Garde" w:eastAsia="Calibri" w:hAnsi="ITC Avant Garde" w:cs="Arial"/>
          <w:bCs/>
        </w:rPr>
        <w:t xml:space="preserve"> </w:t>
      </w:r>
      <w:r w:rsidR="005F748A" w:rsidRPr="00826B76">
        <w:rPr>
          <w:rFonts w:ascii="ITC Avant Garde" w:eastAsia="Calibri" w:hAnsi="ITC Avant Garde" w:cs="Arial"/>
          <w:bCs/>
        </w:rPr>
        <w:t>sus</w:t>
      </w:r>
      <w:r w:rsidR="004743C1" w:rsidRPr="00826B76">
        <w:rPr>
          <w:rFonts w:ascii="ITC Avant Garde" w:eastAsia="Calibri" w:hAnsi="ITC Avant Garde" w:cs="Arial"/>
          <w:bCs/>
        </w:rPr>
        <w:t xml:space="preserve"> ofertas de referencia de Servicios Mayoristas de </w:t>
      </w:r>
      <w:r w:rsidR="004743C1" w:rsidRPr="00826B76">
        <w:rPr>
          <w:rFonts w:ascii="ITC Avant Garde" w:eastAsia="Calibri" w:hAnsi="ITC Avant Garde" w:cs="Arial"/>
          <w:bCs/>
        </w:rPr>
        <w:lastRenderedPageBreak/>
        <w:t>Telecomunicaciones, capacidades, funciones e infraestructura sobre bases de transparencia y no discriminación</w:t>
      </w:r>
      <w:r w:rsidR="00FA5A04" w:rsidRPr="00826B76">
        <w:rPr>
          <w:rFonts w:ascii="ITC Avant Garde" w:eastAsia="Calibri" w:hAnsi="ITC Avant Garde" w:cs="Arial"/>
          <w:bCs/>
        </w:rPr>
        <w:t xml:space="preserve">. </w:t>
      </w:r>
    </w:p>
    <w:p w14:paraId="10F9741E" w14:textId="77777777" w:rsidR="00826B76" w:rsidRPr="00826B76" w:rsidRDefault="001567EE" w:rsidP="00826B76">
      <w:pPr>
        <w:spacing w:before="240" w:after="200" w:line="276" w:lineRule="auto"/>
        <w:jc w:val="both"/>
        <w:rPr>
          <w:rFonts w:ascii="ITC Avant Garde" w:eastAsia="Times New Roman" w:hAnsi="ITC Avant Garde" w:cs="Arial"/>
          <w:bCs/>
          <w:color w:val="000000"/>
          <w:lang w:eastAsia="es-ES"/>
        </w:rPr>
      </w:pPr>
      <w:r w:rsidRPr="00826B76">
        <w:rPr>
          <w:rFonts w:ascii="ITC Avant Garde" w:eastAsia="Times New Roman" w:hAnsi="ITC Avant Garde" w:cs="Arial"/>
          <w:b/>
          <w:bCs/>
          <w:color w:val="000000"/>
          <w:lang w:eastAsia="es-ES"/>
        </w:rPr>
        <w:t>SEGUNDO.</w:t>
      </w:r>
      <w:r w:rsidR="00395812" w:rsidRPr="00826B76">
        <w:rPr>
          <w:rFonts w:ascii="ITC Avant Garde" w:eastAsia="Times New Roman" w:hAnsi="ITC Avant Garde" w:cs="Arial"/>
          <w:bCs/>
          <w:color w:val="000000"/>
          <w:lang w:eastAsia="es-ES"/>
        </w:rPr>
        <w:t>-</w:t>
      </w:r>
      <w:r w:rsidR="0004352B" w:rsidRPr="00826B76">
        <w:rPr>
          <w:rFonts w:ascii="ITC Avant Garde" w:eastAsia="Times New Roman" w:hAnsi="ITC Avant Garde" w:cs="Arial"/>
          <w:bCs/>
          <w:color w:val="000000"/>
          <w:lang w:eastAsia="es-ES"/>
        </w:rPr>
        <w:t xml:space="preserve"> </w:t>
      </w:r>
      <w:r w:rsidR="00140C91" w:rsidRPr="00826B76">
        <w:rPr>
          <w:rFonts w:ascii="ITC Avant Garde" w:eastAsia="Times New Roman" w:hAnsi="ITC Avant Garde" w:cs="Arial"/>
          <w:b/>
          <w:bCs/>
          <w:color w:val="000000"/>
          <w:lang w:eastAsia="es-ES"/>
        </w:rPr>
        <w:t>Concesión Altán</w:t>
      </w:r>
      <w:r w:rsidR="0004352B" w:rsidRPr="00826B76">
        <w:rPr>
          <w:rFonts w:ascii="ITC Avant Garde" w:eastAsia="Times New Roman" w:hAnsi="ITC Avant Garde" w:cs="Arial"/>
          <w:b/>
          <w:bCs/>
          <w:color w:val="000000"/>
          <w:lang w:eastAsia="es-ES"/>
        </w:rPr>
        <w:t>.</w:t>
      </w:r>
      <w:r w:rsidR="0004352B" w:rsidRPr="00826B76">
        <w:rPr>
          <w:rFonts w:ascii="ITC Avant Garde" w:eastAsia="Times New Roman" w:hAnsi="ITC Avant Garde" w:cs="Arial"/>
          <w:bCs/>
          <w:color w:val="000000"/>
          <w:lang w:eastAsia="es-ES"/>
        </w:rPr>
        <w:t xml:space="preserve"> </w:t>
      </w:r>
      <w:r w:rsidR="00BC3B23" w:rsidRPr="00826B76">
        <w:rPr>
          <w:rFonts w:ascii="ITC Avant Garde" w:eastAsia="Times New Roman" w:hAnsi="ITC Avant Garde" w:cs="Arial"/>
          <w:bCs/>
          <w:color w:val="000000"/>
          <w:lang w:eastAsia="es-ES"/>
        </w:rPr>
        <w:t>La Condición 8 de la Concesión establece que Altán deberá dar inicio a la prestación del Servicio Mayorista de Telecomunicaciones, a más tardar el 31 de marzo de 2018.</w:t>
      </w:r>
    </w:p>
    <w:p w14:paraId="068046FC" w14:textId="77777777" w:rsidR="00826B76" w:rsidRPr="00826B76" w:rsidRDefault="00BC3B23" w:rsidP="00826B76">
      <w:pPr>
        <w:spacing w:before="240" w:after="200" w:line="276" w:lineRule="auto"/>
        <w:jc w:val="both"/>
        <w:rPr>
          <w:rFonts w:ascii="ITC Avant Garde" w:eastAsia="Times New Roman" w:hAnsi="ITC Avant Garde" w:cs="Arial"/>
          <w:bCs/>
          <w:color w:val="000000"/>
          <w:lang w:eastAsia="es-ES"/>
        </w:rPr>
      </w:pPr>
      <w:r w:rsidRPr="00826B76">
        <w:rPr>
          <w:rFonts w:ascii="ITC Avant Garde" w:eastAsia="Times New Roman" w:hAnsi="ITC Avant Garde" w:cs="Arial"/>
          <w:bCs/>
          <w:color w:val="000000"/>
          <w:lang w:eastAsia="es-ES"/>
        </w:rPr>
        <w:t xml:space="preserve">Por su parte, </w:t>
      </w:r>
      <w:r w:rsidR="00AD6FC5" w:rsidRPr="00826B76">
        <w:rPr>
          <w:rFonts w:ascii="ITC Avant Garde" w:eastAsia="Times New Roman" w:hAnsi="ITC Avant Garde" w:cs="Arial"/>
          <w:bCs/>
          <w:color w:val="000000"/>
          <w:lang w:eastAsia="es-ES"/>
        </w:rPr>
        <w:t>la Condición 11 señala que cuando Altán, a través de las ofertas de referencia, comercialice cualquier capacidad, infraestructura, funcionalidad o Servicios Mayoristas de Telecomunicaciones, deberá hacerlo en condiciones de no discriminación.</w:t>
      </w:r>
    </w:p>
    <w:p w14:paraId="02386B71" w14:textId="77777777" w:rsidR="00826B76" w:rsidRPr="00826B76" w:rsidRDefault="00BC3B23" w:rsidP="00826B76">
      <w:pPr>
        <w:spacing w:before="240" w:after="200" w:line="276" w:lineRule="auto"/>
        <w:jc w:val="both"/>
        <w:rPr>
          <w:rFonts w:ascii="ITC Avant Garde" w:hAnsi="ITC Avant Garde" w:cs="Arial"/>
        </w:rPr>
      </w:pPr>
      <w:r w:rsidRPr="00826B76">
        <w:rPr>
          <w:rFonts w:ascii="ITC Avant Garde" w:eastAsia="Times New Roman" w:hAnsi="ITC Avant Garde" w:cs="Arial"/>
          <w:bCs/>
          <w:color w:val="000000"/>
          <w:lang w:eastAsia="es-ES"/>
        </w:rPr>
        <w:t xml:space="preserve">En ese mismo sentido, </w:t>
      </w:r>
      <w:r w:rsidR="00AD6FC5" w:rsidRPr="00826B76">
        <w:rPr>
          <w:rFonts w:ascii="ITC Avant Garde" w:hAnsi="ITC Avant Garde" w:cs="Arial"/>
        </w:rPr>
        <w:t>la Condición 12 de la Concesión a la letra establece lo siguiente:</w:t>
      </w:r>
    </w:p>
    <w:p w14:paraId="160537AA"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 “</w:t>
      </w:r>
      <w:r w:rsidRPr="00826B76">
        <w:rPr>
          <w:rFonts w:ascii="ITC Avant Garde" w:eastAsia="Times New Roman" w:hAnsi="ITC Avant Garde" w:cs="Arial"/>
          <w:b/>
          <w:bCs/>
          <w:color w:val="000000"/>
          <w:sz w:val="18"/>
          <w:szCs w:val="18"/>
          <w:lang w:val="es-ES_tradnl" w:eastAsia="es-ES"/>
        </w:rPr>
        <w:t>12.</w:t>
      </w:r>
      <w:r w:rsidRPr="00826B76">
        <w:rPr>
          <w:rFonts w:ascii="ITC Avant Garde" w:eastAsia="Times New Roman" w:hAnsi="ITC Avant Garde" w:cs="Arial"/>
          <w:bCs/>
          <w:color w:val="000000"/>
          <w:sz w:val="18"/>
          <w:szCs w:val="18"/>
          <w:lang w:val="es-ES_tradnl" w:eastAsia="es-ES"/>
        </w:rPr>
        <w:t xml:space="preserve"> </w:t>
      </w:r>
      <w:r w:rsidRPr="00826B76">
        <w:rPr>
          <w:rFonts w:ascii="ITC Avant Garde" w:eastAsia="Times New Roman" w:hAnsi="ITC Avant Garde" w:cs="Arial"/>
          <w:b/>
          <w:bCs/>
          <w:color w:val="000000"/>
          <w:sz w:val="18"/>
          <w:szCs w:val="18"/>
          <w:lang w:val="es-ES_tradnl" w:eastAsia="es-ES"/>
        </w:rPr>
        <w:t xml:space="preserve">Condiciones comerciales. </w:t>
      </w:r>
      <w:r w:rsidRPr="00826B76">
        <w:rPr>
          <w:rFonts w:ascii="ITC Avant Garde" w:eastAsia="Times New Roman" w:hAnsi="ITC Avant Garde" w:cs="Arial"/>
          <w:bCs/>
          <w:color w:val="000000"/>
          <w:sz w:val="18"/>
          <w:szCs w:val="18"/>
          <w:lang w:val="es-ES_tradnl" w:eastAsia="es-ES"/>
        </w:rPr>
        <w:t>El Concesionario está obligado a presentar al Instituto para su aprobación, y hacer públicas durante el periodo de vigencia de la Concesión, ofertas de referencia de Servicios Mayoristas de Telecomunicaciones, capacidades, funciones e infraestructura que sobre bases de transparencia y no discriminación, que incluyan al menos las siguientes condiciones:</w:t>
      </w:r>
    </w:p>
    <w:p w14:paraId="4F863545"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Descripción de los Servicios Mayoristas de Telecomunicaciones, capacidades, funciones e infraestructura sujetos a comercialización por parte del Concesionario.</w:t>
      </w:r>
    </w:p>
    <w:p w14:paraId="752B3837"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Mecanismos que permitan el uso de manera separada o individual de Servicios Mayoristas de Telecomunicaciones, capacidades, funciones e infraestructura.</w:t>
      </w:r>
    </w:p>
    <w:p w14:paraId="48B0B5F6"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Tarifas de cada servicio, capacidades, funciones e infraestructura a comercializar y en su caso, los mecanismos de compensación correspondientes.</w:t>
      </w:r>
    </w:p>
    <w:p w14:paraId="70C17A05"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Especificaciones de calidad de los Servicios Mayoristas de Telecomunicaciones, capacidades, funciones e infraestructura ofertados en igualdad de condiciones para todos sus Clientes y con sus respectivos acuerdos de nivel de servicio.</w:t>
      </w:r>
    </w:p>
    <w:p w14:paraId="5A232E0E"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 Formas y tiempos de medición, tasación, facturación y procedimientos de cobranza de los Servicios Mayoristas de Telecomunicaciones, capacidades, funciones e infraestructura.</w:t>
      </w:r>
    </w:p>
    <w:p w14:paraId="3810FE6B"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 Especificaciones técnicas requeridas para la prestación de los Servicios Mayoristas de Telecomunicaciones, capacidades, funciones e infraestructura, entre ellas los estándares, protocolos, elementos de red, instalaciones esenciales, entre otros.</w:t>
      </w:r>
    </w:p>
    <w:p w14:paraId="4E551F37"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 Sistemas y procedimientos que se seguirán para la atención de fallas e incidencias, trabajos de emergencia, programación de los mantenimientos respectivos, y cualquier otra que asegure la continuidad en la prestación de los Servicios Mayoristas de Telecomunicaciones, capacidades, funciones e infraestructura.</w:t>
      </w:r>
    </w:p>
    <w:p w14:paraId="0D81F5C2"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 Penalidades y garantías aplicables.</w:t>
      </w:r>
    </w:p>
    <w:p w14:paraId="038F1B70"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 Mecanismos y condiciones para llevar a cabo las tareas de medición y tasación de los Servicios Mayoristas de Telecomunicaciones, capacidades, funciones e infraestructura, prestados a otros concesionarios o autorizados. Dicho detalle contendrá la información necesaria para ejecutar procesos de conciliación y aclaraciones.</w:t>
      </w:r>
    </w:p>
    <w:p w14:paraId="6DC9CCED"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Mecanismos electrónicos para la solicitud, contratación y trámite de servicios, estableciendo plazos de atención y cumplimiento.</w:t>
      </w:r>
    </w:p>
    <w:p w14:paraId="0FA5DB05" w14:textId="77777777" w:rsidR="00826B76" w:rsidRPr="00826B76" w:rsidRDefault="00AD6FC5" w:rsidP="00826B76">
      <w:pPr>
        <w:pStyle w:val="Prrafodelista"/>
        <w:numPr>
          <w:ilvl w:val="1"/>
          <w:numId w:val="8"/>
        </w:numPr>
        <w:tabs>
          <w:tab w:val="left" w:pos="993"/>
          <w:tab w:val="left" w:pos="1134"/>
        </w:tabs>
        <w:adjustRightInd w:val="0"/>
        <w:spacing w:before="240"/>
        <w:ind w:left="709" w:right="612" w:firstLine="0"/>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El modelo de convenio a celebrar con sus Clientes.</w:t>
      </w:r>
    </w:p>
    <w:p w14:paraId="0FEBFDCD"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lastRenderedPageBreak/>
        <w:t>El Concesionario no podrá establecer condiciones que inhiban la competencia en la prestación de los servicios que son objeto de las ofertas de referencia de Servicios Mayoristas de Telecomunicaciones, capacidades, funciones e infraestructura.</w:t>
      </w:r>
    </w:p>
    <w:p w14:paraId="677BD080"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Las tarifas serán ofrecidas por parte del Concesionario a todos sus Clientes, de manera transparente y no discriminatoria en las ofertas de referencia de Servicios Mayoristas de Telecomunicaciones, capacidades, funciones e infraestructura.</w:t>
      </w:r>
    </w:p>
    <w:p w14:paraId="13F76223"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Como parte de las ofertas de referencia de Servicios Mayoristas de Telecomunicaciones, capacidades, funciones e infraestructura, el Concesionario podrá ofrecer descuentos por volumen, por paquete y por compromiso, siempre que éstos sean razonables y justificados conforme a su estructura de costos y eficiencia operativa. Lo anterior, sin perjuicio de que el Instituto pueda revisar los descuentos por volumen, por paquete y por compromiso para garantizar que éstos no impliquen una práctica contraria a la competencia.</w:t>
      </w:r>
    </w:p>
    <w:p w14:paraId="0A123A5B"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El Concesionario deberá tener aprobadas y publicadas sus ofertas de referencia de Servicios Mayoristas de Telecomunicaciones, capacidades, funciones e infraestructura antes de iniciar su comercialización. La aprobación por parte del Instituto será conforme al siguiente procedimiento: </w:t>
      </w:r>
    </w:p>
    <w:p w14:paraId="7E2831FE" w14:textId="77777777" w:rsidR="00826B76" w:rsidRPr="00826B76" w:rsidRDefault="00AD6FC5" w:rsidP="00826B76">
      <w:pPr>
        <w:pStyle w:val="Prrafodelista"/>
        <w:numPr>
          <w:ilvl w:val="0"/>
          <w:numId w:val="11"/>
        </w:numPr>
        <w:adjustRightInd w:val="0"/>
        <w:spacing w:before="240"/>
        <w:ind w:left="993" w:right="612" w:hanging="284"/>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El Instituto contará con un plazo de 30 (treinta) días hábiles, contados a partir de la presentación de las primeras propuestas de ofertas de referencia, para aprobar o no aprobar las mismas. Para evaluar las propuestas de ofertas de referencia, el Instituto vigilará que éstas no impliquen trato discriminatorio, barreras a la entrada, ventas atadas, desplazamiento indebido o cualquier tipo de conducta anticompetitiva.</w:t>
      </w:r>
    </w:p>
    <w:p w14:paraId="584BF423" w14:textId="77777777" w:rsidR="00826B76" w:rsidRPr="00826B76" w:rsidRDefault="00AD6FC5" w:rsidP="00826B76">
      <w:pPr>
        <w:pStyle w:val="Prrafodelista"/>
        <w:numPr>
          <w:ilvl w:val="0"/>
          <w:numId w:val="11"/>
        </w:numPr>
        <w:adjustRightInd w:val="0"/>
        <w:spacing w:before="240"/>
        <w:ind w:left="993" w:right="612" w:hanging="284"/>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En caso de considerarlo necesario, el Instituto podrá requerir al Concesionario, dentro de los primeros 10 (diez) días hábiles del plazo señalado en la fracción anterior, la documentación o información faltante para evaluar las propuestas de ofertas de referencia, misma que deberá ser proporcionada en un plazo de 15 (quince) días hábiles.</w:t>
      </w:r>
    </w:p>
    <w:p w14:paraId="150DEE1D"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Cuando el Instituto requiera al Concesionario información faltante, se suspenderá el plazo correspondiente y se reanudará a partir del día hábil inmediato siguiente a aquél en que el Concesionario proporcione la información solicitada.</w:t>
      </w:r>
    </w:p>
    <w:p w14:paraId="594DCE8A" w14:textId="77777777" w:rsidR="00826B76" w:rsidRPr="00826B76" w:rsidRDefault="00AD6FC5" w:rsidP="00826B76">
      <w:pPr>
        <w:pStyle w:val="Prrafodelista"/>
        <w:numPr>
          <w:ilvl w:val="0"/>
          <w:numId w:val="11"/>
        </w:numPr>
        <w:adjustRightInd w:val="0"/>
        <w:spacing w:before="240"/>
        <w:ind w:left="993" w:right="612" w:hanging="284"/>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En caso de que el Instituto resuelva aprobar las propuestas de ofertas de referencia, las mismas serán obligatorias y el Concesionario deberá publicarlas en su portal de Internet dentro de los 5 (cinco) días hábiles posteriores a su notificación.</w:t>
      </w:r>
    </w:p>
    <w:p w14:paraId="3220E4EC" w14:textId="77777777" w:rsidR="00826B76" w:rsidRPr="00826B76" w:rsidRDefault="00AD6FC5" w:rsidP="00826B76">
      <w:pPr>
        <w:pStyle w:val="Prrafodelista"/>
        <w:numPr>
          <w:ilvl w:val="0"/>
          <w:numId w:val="11"/>
        </w:numPr>
        <w:adjustRightInd w:val="0"/>
        <w:spacing w:before="240"/>
        <w:ind w:left="993" w:right="612" w:hanging="284"/>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En caso de que el Instituto no apruebe las propuestas de ofertas de referencia, notificará al Concesionario las inconsistencias detectadas y le solicitará realizar los ajustes correspondientes a efecto de subsanarlas.</w:t>
      </w:r>
    </w:p>
    <w:p w14:paraId="6300A332" w14:textId="77777777" w:rsidR="00826B76" w:rsidRPr="00826B76" w:rsidRDefault="00AD6FC5" w:rsidP="00826B76">
      <w:pPr>
        <w:pStyle w:val="Prrafodelista"/>
        <w:numPr>
          <w:ilvl w:val="0"/>
          <w:numId w:val="11"/>
        </w:numPr>
        <w:adjustRightInd w:val="0"/>
        <w:spacing w:before="240"/>
        <w:ind w:left="993" w:right="612" w:hanging="284"/>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El Concesionario tendrá 10 (diez) días hábiles contados a partir del día siguiente a aquél en que surta efectos la notificación de las inconsistencias señaladas en la fracción anterior, para realizar los ajustes correspondientes y entregar nuevamente las propuestas de ofertas de referencia de Servicios Mayoristas de Telecomunicaciones, capacidades, funciones e infraestructura.</w:t>
      </w:r>
    </w:p>
    <w:p w14:paraId="48A55C08" w14:textId="77777777" w:rsidR="00826B76" w:rsidRPr="00826B76" w:rsidRDefault="00AD6FC5" w:rsidP="00826B76">
      <w:pPr>
        <w:pStyle w:val="Prrafodelista"/>
        <w:numPr>
          <w:ilvl w:val="0"/>
          <w:numId w:val="11"/>
        </w:numPr>
        <w:adjustRightInd w:val="0"/>
        <w:spacing w:before="240"/>
        <w:ind w:left="993" w:right="612" w:hanging="284"/>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El Instituto contará con un plazo de 10 (diez) días hábiles, contados a partir de que reciba nuevamente las propuestas de ofertas de referencia, para verificar que el Concesionario </w:t>
      </w:r>
      <w:r w:rsidRPr="00826B76">
        <w:rPr>
          <w:rFonts w:ascii="ITC Avant Garde" w:eastAsia="Times New Roman" w:hAnsi="ITC Avant Garde" w:cs="Arial"/>
          <w:bCs/>
          <w:color w:val="000000"/>
          <w:sz w:val="18"/>
          <w:szCs w:val="18"/>
          <w:lang w:val="es-ES_tradnl" w:eastAsia="es-ES"/>
        </w:rPr>
        <w:lastRenderedPageBreak/>
        <w:t xml:space="preserve">haya realizado los ajustes correspondientes a efecto de subsanar las inconsistencias detectadas y, una vez realizado lo anterior, las aprobará dentro de este mismo plazo. </w:t>
      </w:r>
    </w:p>
    <w:p w14:paraId="4AD52624" w14:textId="77777777" w:rsidR="00826B76" w:rsidRPr="00826B76" w:rsidRDefault="00AD6FC5" w:rsidP="00826B76">
      <w:pPr>
        <w:pStyle w:val="Prrafodelista"/>
        <w:numPr>
          <w:ilvl w:val="0"/>
          <w:numId w:val="11"/>
        </w:numPr>
        <w:adjustRightInd w:val="0"/>
        <w:spacing w:before="240"/>
        <w:ind w:left="993" w:right="612" w:hanging="284"/>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 xml:space="preserve">En caso de que el Concesionario no presente nuevamente las propuestas de ofertas de referencia dentro del plazo establecido, o habiéndolas presentado éstas no incluyen los ajustes necesarios para subsanar las inconsistencias detectadas, el Instituto establecerá los términos de las ofertas de referencia dentro de los 20 (veinte) días hábiles siguientes al vencimiento del plazo señalado en las fracciones V o VI, según corresponda, de la presente Condición. Las ofertas de referencia aprobadas conforme a lo previsto en esta fracción y en la anterior serán obligatorias para el Concesionario y deberá publicarlas en su portal de Internet dentro de los 5 (cinco) días hábiles posteriores a su notificación. </w:t>
      </w:r>
    </w:p>
    <w:p w14:paraId="1E566614"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Los cambios realizados a las ofertas de referencia previamente aprobadas en el procedimiento antes señalado, deberán ser autorizados antes de su publicación. Para efectos de lo anterior, el Instituto tendrá un plazo de hasta 15 (quince) días hábiles contados a partir de que reciba la solicitud por parte del Concesionario, para resolver en definitiva sobre los mismos. En caso de que el Instituto no resuelva en el plazo señalado se entenderán como aprobados.</w:t>
      </w:r>
    </w:p>
    <w:p w14:paraId="7E52524E"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El Concesionario deberá inscribir las ofertas de referencia y sus modificaciones, en el Registro Público de Concesiones, previamente a su aplicación. El Concesionario no podrá pactar condiciones distintas a las registradas.</w:t>
      </w:r>
    </w:p>
    <w:p w14:paraId="414BC789"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Las modificaciones a las ofertas de referencia deberán hacerse extensivas a los Clientes que las soliciten bajo condiciones de no discriminación.</w:t>
      </w:r>
    </w:p>
    <w:p w14:paraId="17A4EA69"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En caso de no llegar a un acuerdo, los Concesionarios o Comercializadoras podrán acudir al Instituto para notificar un desacuerdo relacionado con las ofertas de referencia de Servicios Mayoristas de Telecomunicaciones, capacidades, funciones e infraestructura. El Instituto resolverá el desacuerdo, y para ello podrá allegarse de los elementos técnicos y económicos relacionados con acciones o mecanismos para facilitar la prestación de Servicios Mayoristas de Telecomunicaciones, capacidades, funciones e infraestructura.</w:t>
      </w:r>
    </w:p>
    <w:p w14:paraId="15E87EA6" w14:textId="77777777" w:rsidR="00826B76" w:rsidRPr="00826B76" w:rsidRDefault="00AD6FC5" w:rsidP="00826B76">
      <w:pPr>
        <w:adjustRightInd w:val="0"/>
        <w:spacing w:before="240" w:after="200" w:line="276" w:lineRule="auto"/>
        <w:ind w:left="709" w:right="612"/>
        <w:jc w:val="both"/>
        <w:rPr>
          <w:rFonts w:ascii="ITC Avant Garde" w:eastAsia="Times New Roman" w:hAnsi="ITC Avant Garde" w:cs="Arial"/>
          <w:bCs/>
          <w:color w:val="000000"/>
          <w:sz w:val="18"/>
          <w:szCs w:val="18"/>
          <w:lang w:val="es-ES_tradnl" w:eastAsia="es-ES"/>
        </w:rPr>
      </w:pPr>
      <w:r w:rsidRPr="00826B76">
        <w:rPr>
          <w:rFonts w:ascii="ITC Avant Garde" w:eastAsia="Times New Roman" w:hAnsi="ITC Avant Garde" w:cs="Arial"/>
          <w:bCs/>
          <w:color w:val="000000"/>
          <w:sz w:val="18"/>
          <w:szCs w:val="18"/>
          <w:lang w:val="es-ES_tradnl" w:eastAsia="es-ES"/>
        </w:rPr>
        <w:t>El Concesionario deberá presentar al Instituto los convenios suscritos con los Clientes, en un plazo de 30 (treinta) días hábiles posteriores a su formalización para su inscripción en el Registro Público de Concesiones.”</w:t>
      </w:r>
    </w:p>
    <w:p w14:paraId="69619ABA" w14:textId="77777777" w:rsidR="00826B76" w:rsidRPr="00826B76" w:rsidRDefault="00BC3B23" w:rsidP="00826B76">
      <w:pPr>
        <w:spacing w:before="240" w:after="200" w:line="276" w:lineRule="auto"/>
        <w:jc w:val="both"/>
        <w:rPr>
          <w:rFonts w:ascii="ITC Avant Garde" w:eastAsia="Times New Roman" w:hAnsi="ITC Avant Garde" w:cs="Arial"/>
          <w:bCs/>
          <w:color w:val="000000"/>
          <w:lang w:eastAsia="es-ES"/>
        </w:rPr>
      </w:pPr>
      <w:r w:rsidRPr="00826B76">
        <w:rPr>
          <w:rFonts w:ascii="ITC Avant Garde" w:eastAsia="Times New Roman" w:hAnsi="ITC Avant Garde" w:cs="Arial"/>
          <w:bCs/>
          <w:color w:val="000000"/>
          <w:lang w:eastAsia="es-ES"/>
        </w:rPr>
        <w:t xml:space="preserve">En </w:t>
      </w:r>
      <w:r w:rsidR="00AD6FC5" w:rsidRPr="00826B76">
        <w:rPr>
          <w:rFonts w:ascii="ITC Avant Garde" w:eastAsia="Times New Roman" w:hAnsi="ITC Avant Garde" w:cs="Arial"/>
          <w:bCs/>
          <w:color w:val="000000"/>
          <w:lang w:eastAsia="es-ES"/>
        </w:rPr>
        <w:t>virtud de lo anterior</w:t>
      </w:r>
      <w:r w:rsidRPr="00826B76">
        <w:rPr>
          <w:rFonts w:ascii="ITC Avant Garde" w:eastAsia="Times New Roman" w:hAnsi="ITC Avant Garde" w:cs="Arial"/>
          <w:bCs/>
          <w:color w:val="000000"/>
          <w:lang w:eastAsia="es-ES"/>
        </w:rPr>
        <w:t>,</w:t>
      </w:r>
      <w:r w:rsidR="00AD6FC5" w:rsidRPr="00826B76">
        <w:rPr>
          <w:rFonts w:ascii="ITC Avant Garde" w:eastAsia="Times New Roman" w:hAnsi="ITC Avant Garde" w:cs="Arial"/>
          <w:bCs/>
          <w:color w:val="000000"/>
          <w:lang w:eastAsia="es-ES"/>
        </w:rPr>
        <w:t xml:space="preserve"> </w:t>
      </w:r>
      <w:r w:rsidR="0072474B" w:rsidRPr="00826B76">
        <w:rPr>
          <w:rFonts w:ascii="ITC Avant Garde" w:eastAsia="Times New Roman" w:hAnsi="ITC Avant Garde" w:cs="Arial"/>
          <w:bCs/>
          <w:color w:val="000000"/>
          <w:lang w:eastAsia="es-ES"/>
        </w:rPr>
        <w:t xml:space="preserve">en </w:t>
      </w:r>
      <w:r w:rsidR="00AD6FC5" w:rsidRPr="00826B76">
        <w:rPr>
          <w:rFonts w:ascii="ITC Avant Garde" w:eastAsia="Times New Roman" w:hAnsi="ITC Avant Garde" w:cs="Arial"/>
          <w:bCs/>
          <w:color w:val="000000"/>
          <w:lang w:eastAsia="es-ES"/>
        </w:rPr>
        <w:t>la Concesión</w:t>
      </w:r>
      <w:r w:rsidRPr="00826B76">
        <w:rPr>
          <w:rFonts w:ascii="ITC Avant Garde" w:eastAsia="Times New Roman" w:hAnsi="ITC Avant Garde" w:cs="Arial"/>
          <w:bCs/>
          <w:color w:val="000000"/>
          <w:lang w:eastAsia="es-ES"/>
        </w:rPr>
        <w:t xml:space="preserve"> </w:t>
      </w:r>
      <w:r w:rsidR="0072474B" w:rsidRPr="00826B76">
        <w:rPr>
          <w:rFonts w:ascii="ITC Avant Garde" w:eastAsia="Times New Roman" w:hAnsi="ITC Avant Garde" w:cs="Arial"/>
          <w:bCs/>
          <w:color w:val="000000"/>
          <w:lang w:eastAsia="es-ES"/>
        </w:rPr>
        <w:t>quedó establecid</w:t>
      </w:r>
      <w:r w:rsidR="00F15F17" w:rsidRPr="00826B76">
        <w:rPr>
          <w:rFonts w:ascii="ITC Avant Garde" w:eastAsia="Times New Roman" w:hAnsi="ITC Avant Garde" w:cs="Arial"/>
          <w:bCs/>
          <w:color w:val="000000"/>
          <w:lang w:eastAsia="es-ES"/>
        </w:rPr>
        <w:t>a</w:t>
      </w:r>
      <w:r w:rsidR="00AD6FC5" w:rsidRPr="00826B76">
        <w:rPr>
          <w:rFonts w:ascii="ITC Avant Garde" w:eastAsia="Times New Roman" w:hAnsi="ITC Avant Garde" w:cs="Arial"/>
          <w:bCs/>
          <w:color w:val="000000"/>
          <w:lang w:eastAsia="es-ES"/>
        </w:rPr>
        <w:t xml:space="preserve"> como fecha límite para que Altán inicie operaciones el 31 de marzo de 2018, y dada la condición de red mayorista bajo la cual dicha empresa opera, el inicio de operaciones presupone la existencia y publicación de una Oferta de Referencia mediante la cual los</w:t>
      </w:r>
      <w:r w:rsidR="002D0638" w:rsidRPr="00826B76">
        <w:rPr>
          <w:rFonts w:ascii="ITC Avant Garde" w:eastAsia="Times New Roman" w:hAnsi="ITC Avant Garde" w:cs="Arial"/>
          <w:bCs/>
          <w:color w:val="000000"/>
          <w:lang w:eastAsia="es-ES"/>
        </w:rPr>
        <w:t xml:space="preserve"> concesionarios y</w:t>
      </w:r>
      <w:r w:rsidR="00AD6FC5" w:rsidRPr="00826B76">
        <w:rPr>
          <w:rFonts w:ascii="ITC Avant Garde" w:eastAsia="Times New Roman" w:hAnsi="ITC Avant Garde" w:cs="Arial"/>
          <w:bCs/>
          <w:color w:val="000000"/>
          <w:lang w:eastAsia="es-ES"/>
        </w:rPr>
        <w:t xml:space="preserve"> comercializadores puedan demandar los servicios, misma que </w:t>
      </w:r>
      <w:r w:rsidR="0072474B" w:rsidRPr="00826B76">
        <w:rPr>
          <w:rFonts w:ascii="ITC Avant Garde" w:eastAsia="Times New Roman" w:hAnsi="ITC Avant Garde" w:cs="Arial"/>
          <w:bCs/>
          <w:color w:val="000000"/>
          <w:lang w:eastAsia="es-ES"/>
        </w:rPr>
        <w:t>debe ser</w:t>
      </w:r>
      <w:r w:rsidR="00AD6FC5" w:rsidRPr="00826B76">
        <w:rPr>
          <w:rFonts w:ascii="ITC Avant Garde" w:eastAsia="Times New Roman" w:hAnsi="ITC Avant Garde" w:cs="Arial"/>
          <w:bCs/>
          <w:color w:val="000000"/>
          <w:lang w:eastAsia="es-ES"/>
        </w:rPr>
        <w:t xml:space="preserve"> autorizada por el Instituto. </w:t>
      </w:r>
    </w:p>
    <w:p w14:paraId="3A12E5E4" w14:textId="77777777" w:rsidR="00826B76" w:rsidRPr="00826B76" w:rsidRDefault="0004352B" w:rsidP="00826B76">
      <w:pPr>
        <w:spacing w:before="240" w:after="200" w:line="276" w:lineRule="auto"/>
        <w:jc w:val="both"/>
        <w:rPr>
          <w:rFonts w:ascii="ITC Avant Garde" w:eastAsia="Times New Roman" w:hAnsi="ITC Avant Garde" w:cs="Arial"/>
          <w:bCs/>
          <w:color w:val="000000"/>
          <w:lang w:eastAsia="es-ES"/>
        </w:rPr>
      </w:pPr>
      <w:r w:rsidRPr="00826B76">
        <w:rPr>
          <w:rFonts w:ascii="ITC Avant Garde" w:eastAsia="Times New Roman" w:hAnsi="ITC Avant Garde" w:cs="Arial"/>
          <w:b/>
          <w:bCs/>
          <w:color w:val="000000"/>
          <w:lang w:eastAsia="es-ES"/>
        </w:rPr>
        <w:t>TERCERO.- Oferta de Referencia de Altán.</w:t>
      </w:r>
      <w:r w:rsidRPr="00826B76">
        <w:rPr>
          <w:rFonts w:ascii="ITC Avant Garde" w:eastAsia="Times New Roman" w:hAnsi="ITC Avant Garde" w:cs="Arial"/>
          <w:bCs/>
          <w:color w:val="000000"/>
          <w:lang w:eastAsia="es-ES"/>
        </w:rPr>
        <w:t xml:space="preserve"> </w:t>
      </w:r>
      <w:r w:rsidR="00A504B6" w:rsidRPr="00826B76">
        <w:rPr>
          <w:rFonts w:ascii="ITC Avant Garde" w:eastAsia="Times New Roman" w:hAnsi="ITC Avant Garde"/>
          <w:bCs/>
        </w:rPr>
        <w:t>La</w:t>
      </w:r>
      <w:r w:rsidR="001F625D" w:rsidRPr="00826B76">
        <w:rPr>
          <w:rFonts w:ascii="ITC Avant Garde" w:eastAsia="Times New Roman" w:hAnsi="ITC Avant Garde"/>
          <w:bCs/>
        </w:rPr>
        <w:t xml:space="preserve"> red mayorista de servicios de telecomunicaciones de Altán, </w:t>
      </w:r>
      <w:r w:rsidR="00A504B6" w:rsidRPr="00826B76">
        <w:rPr>
          <w:rFonts w:ascii="ITC Avant Garde" w:eastAsia="Times New Roman" w:hAnsi="ITC Avant Garde"/>
          <w:bCs/>
        </w:rPr>
        <w:t xml:space="preserve">le permite comercializar la capacidad, la infraestructura y/o servicios de telecomunicaciones a concesionarios o comercializadoras con la </w:t>
      </w:r>
      <w:r w:rsidR="00A504B6" w:rsidRPr="00826B76">
        <w:rPr>
          <w:rFonts w:ascii="ITC Avant Garde" w:eastAsia="Times New Roman" w:hAnsi="ITC Avant Garde"/>
          <w:bCs/>
        </w:rPr>
        <w:lastRenderedPageBreak/>
        <w:t xml:space="preserve">finalidad de </w:t>
      </w:r>
      <w:r w:rsidR="003E4591" w:rsidRPr="00826B76">
        <w:rPr>
          <w:rFonts w:ascii="ITC Avant Garde" w:eastAsia="Times New Roman" w:hAnsi="ITC Avant Garde"/>
          <w:bCs/>
        </w:rPr>
        <w:t>que éstas últimas ofrezcan sus servicios así como incrementar su cobertura y su</w:t>
      </w:r>
      <w:r w:rsidR="00A504B6" w:rsidRPr="00826B76">
        <w:rPr>
          <w:rFonts w:ascii="ITC Avant Garde" w:eastAsia="Times New Roman" w:hAnsi="ITC Avant Garde"/>
          <w:bCs/>
        </w:rPr>
        <w:t xml:space="preserve"> capacidad móvil.</w:t>
      </w:r>
    </w:p>
    <w:p w14:paraId="5ABCE9AF" w14:textId="77777777" w:rsidR="00826B76" w:rsidRPr="00826B76" w:rsidRDefault="001F625D" w:rsidP="00826B76">
      <w:pPr>
        <w:spacing w:before="240" w:after="200" w:line="276" w:lineRule="auto"/>
        <w:jc w:val="both"/>
        <w:rPr>
          <w:rFonts w:ascii="ITC Avant Garde" w:eastAsia="Times New Roman" w:hAnsi="ITC Avant Garde" w:cs="Arial"/>
          <w:bCs/>
          <w:color w:val="000000"/>
          <w:lang w:eastAsia="es-ES"/>
        </w:rPr>
      </w:pPr>
      <w:r w:rsidRPr="00826B76">
        <w:rPr>
          <w:rFonts w:ascii="ITC Avant Garde" w:eastAsia="Times New Roman" w:hAnsi="ITC Avant Garde" w:cs="Arial"/>
          <w:bCs/>
          <w:color w:val="000000"/>
          <w:lang w:eastAsia="es-ES"/>
        </w:rPr>
        <w:t xml:space="preserve">Para llevar a cabo lo anterior, </w:t>
      </w:r>
      <w:r w:rsidR="0001788D" w:rsidRPr="00826B76">
        <w:rPr>
          <w:rFonts w:ascii="ITC Avant Garde" w:eastAsia="Times New Roman" w:hAnsi="ITC Avant Garde" w:cs="Arial"/>
          <w:bCs/>
          <w:color w:val="000000"/>
          <w:lang w:eastAsia="es-ES"/>
        </w:rPr>
        <w:t xml:space="preserve">en la Propuesta de Oferta de Referencia </w:t>
      </w:r>
      <w:r w:rsidR="00A504B6" w:rsidRPr="00826B76">
        <w:rPr>
          <w:rFonts w:ascii="ITC Avant Garde" w:eastAsia="Times New Roman" w:hAnsi="ITC Avant Garde" w:cs="Arial"/>
          <w:bCs/>
          <w:color w:val="000000"/>
          <w:lang w:eastAsia="es-ES"/>
        </w:rPr>
        <w:t>Altán pone a disposición de los Clientes dicha red mayorista constituida por los siguientes elementos:</w:t>
      </w:r>
    </w:p>
    <w:p w14:paraId="527B830D" w14:textId="77777777" w:rsidR="00826B76" w:rsidRPr="00826B76" w:rsidRDefault="001F625D" w:rsidP="00826B76">
      <w:pPr>
        <w:pStyle w:val="Prrafodelista"/>
        <w:numPr>
          <w:ilvl w:val="0"/>
          <w:numId w:val="10"/>
        </w:numPr>
        <w:spacing w:before="240"/>
        <w:jc w:val="both"/>
        <w:rPr>
          <w:rFonts w:ascii="ITC Avant Garde" w:eastAsia="Times New Roman" w:hAnsi="ITC Avant Garde" w:cs="Arial"/>
          <w:bCs/>
          <w:color w:val="000000"/>
          <w:lang w:eastAsia="es-ES"/>
        </w:rPr>
      </w:pPr>
      <w:r w:rsidRPr="00826B76">
        <w:rPr>
          <w:rFonts w:ascii="ITC Avant Garde" w:eastAsia="Times New Roman" w:hAnsi="ITC Avant Garde" w:cs="Arial"/>
          <w:bCs/>
          <w:color w:val="000000"/>
          <w:lang w:eastAsia="es-ES"/>
        </w:rPr>
        <w:t xml:space="preserve">Red de Acceso Radio (RAN, Radio Access Network). </w:t>
      </w:r>
      <w:r w:rsidR="00A504B6" w:rsidRPr="00826B76">
        <w:rPr>
          <w:rFonts w:ascii="ITC Avant Garde" w:eastAsia="Times New Roman" w:hAnsi="ITC Avant Garde" w:cs="Arial"/>
          <w:bCs/>
          <w:color w:val="000000"/>
          <w:lang w:eastAsia="es-ES"/>
        </w:rPr>
        <w:t xml:space="preserve">Conformada </w:t>
      </w:r>
      <w:r w:rsidRPr="00826B76">
        <w:rPr>
          <w:rFonts w:ascii="ITC Avant Garde" w:eastAsia="Times New Roman" w:hAnsi="ITC Avant Garde" w:cs="Arial"/>
          <w:bCs/>
          <w:color w:val="000000"/>
          <w:lang w:eastAsia="es-ES"/>
        </w:rPr>
        <w:t xml:space="preserve">por las estaciones base, </w:t>
      </w:r>
      <w:r w:rsidR="00BC1BD6" w:rsidRPr="00826B76">
        <w:rPr>
          <w:rFonts w:ascii="ITC Avant Garde" w:eastAsia="Times New Roman" w:hAnsi="ITC Avant Garde" w:cs="Arial"/>
          <w:bCs/>
          <w:color w:val="000000"/>
          <w:lang w:eastAsia="es-ES"/>
        </w:rPr>
        <w:t xml:space="preserve">mismas que </w:t>
      </w:r>
      <w:r w:rsidR="00A504B6" w:rsidRPr="00826B76">
        <w:rPr>
          <w:rFonts w:ascii="ITC Avant Garde" w:eastAsia="Times New Roman" w:hAnsi="ITC Avant Garde" w:cs="Arial"/>
          <w:bCs/>
          <w:color w:val="000000"/>
          <w:lang w:eastAsia="es-ES"/>
        </w:rPr>
        <w:t>proporcionan</w:t>
      </w:r>
      <w:r w:rsidRPr="00826B76">
        <w:rPr>
          <w:rFonts w:ascii="ITC Avant Garde" w:eastAsia="Times New Roman" w:hAnsi="ITC Avant Garde" w:cs="Arial"/>
          <w:bCs/>
          <w:color w:val="000000"/>
          <w:lang w:eastAsia="es-ES"/>
        </w:rPr>
        <w:t xml:space="preserve"> conectividad entre los equipos</w:t>
      </w:r>
      <w:r w:rsidR="00A504B6" w:rsidRPr="00826B76">
        <w:rPr>
          <w:rFonts w:ascii="ITC Avant Garde" w:eastAsia="Times New Roman" w:hAnsi="ITC Avant Garde" w:cs="Arial"/>
          <w:bCs/>
          <w:color w:val="000000"/>
          <w:lang w:eastAsia="es-ES"/>
        </w:rPr>
        <w:t xml:space="preserve"> terminales</w:t>
      </w:r>
      <w:r w:rsidRPr="00826B76">
        <w:rPr>
          <w:rFonts w:ascii="ITC Avant Garde" w:eastAsia="Times New Roman" w:hAnsi="ITC Avant Garde" w:cs="Arial"/>
          <w:bCs/>
          <w:color w:val="000000"/>
          <w:lang w:eastAsia="es-ES"/>
        </w:rPr>
        <w:t xml:space="preserve"> de </w:t>
      </w:r>
      <w:r w:rsidR="00A504B6" w:rsidRPr="00826B76">
        <w:rPr>
          <w:rFonts w:ascii="ITC Avant Garde" w:eastAsia="Times New Roman" w:hAnsi="ITC Avant Garde" w:cs="Arial"/>
          <w:bCs/>
          <w:color w:val="000000"/>
          <w:lang w:eastAsia="es-ES"/>
        </w:rPr>
        <w:t xml:space="preserve">los </w:t>
      </w:r>
      <w:r w:rsidRPr="00826B76">
        <w:rPr>
          <w:rFonts w:ascii="ITC Avant Garde" w:eastAsia="Times New Roman" w:hAnsi="ITC Avant Garde" w:cs="Arial"/>
          <w:bCs/>
          <w:color w:val="000000"/>
          <w:lang w:eastAsia="es-ES"/>
        </w:rPr>
        <w:t>usuario</w:t>
      </w:r>
      <w:r w:rsidR="00A504B6" w:rsidRPr="00826B76">
        <w:rPr>
          <w:rFonts w:ascii="ITC Avant Garde" w:eastAsia="Times New Roman" w:hAnsi="ITC Avant Garde" w:cs="Arial"/>
          <w:bCs/>
          <w:color w:val="000000"/>
          <w:lang w:eastAsia="es-ES"/>
        </w:rPr>
        <w:t>s</w:t>
      </w:r>
      <w:r w:rsidRPr="00826B76">
        <w:rPr>
          <w:rFonts w:ascii="ITC Avant Garde" w:eastAsia="Times New Roman" w:hAnsi="ITC Avant Garde" w:cs="Arial"/>
          <w:bCs/>
          <w:color w:val="000000"/>
          <w:lang w:eastAsia="es-ES"/>
        </w:rPr>
        <w:t xml:space="preserve"> y la red troncal. </w:t>
      </w:r>
    </w:p>
    <w:p w14:paraId="552FF24E" w14:textId="77777777" w:rsidR="00826B76" w:rsidRPr="00826B76" w:rsidRDefault="001F625D" w:rsidP="00826B76">
      <w:pPr>
        <w:pStyle w:val="Prrafodelista"/>
        <w:numPr>
          <w:ilvl w:val="0"/>
          <w:numId w:val="10"/>
        </w:numPr>
        <w:spacing w:before="240"/>
        <w:jc w:val="both"/>
        <w:rPr>
          <w:rFonts w:ascii="ITC Avant Garde" w:eastAsia="Times New Roman" w:hAnsi="ITC Avant Garde" w:cs="Arial"/>
          <w:bCs/>
          <w:color w:val="000000"/>
          <w:lang w:eastAsia="es-ES"/>
        </w:rPr>
      </w:pPr>
      <w:r w:rsidRPr="00826B76">
        <w:rPr>
          <w:rFonts w:ascii="ITC Avant Garde" w:eastAsia="Times New Roman" w:hAnsi="ITC Avant Garde" w:cs="Arial"/>
          <w:bCs/>
          <w:color w:val="000000"/>
          <w:lang w:eastAsia="es-ES"/>
        </w:rPr>
        <w:t xml:space="preserve">Red de Transporte (Red Troncal). Interconectará la RAN con el Core de </w:t>
      </w:r>
      <w:r w:rsidR="00BC1BD6" w:rsidRPr="00826B76">
        <w:rPr>
          <w:rFonts w:ascii="ITC Avant Garde" w:eastAsia="Times New Roman" w:hAnsi="ITC Avant Garde" w:cs="Arial"/>
          <w:bCs/>
          <w:color w:val="000000"/>
          <w:lang w:eastAsia="es-ES"/>
        </w:rPr>
        <w:t xml:space="preserve">Red y permitirá la conexión hacia </w:t>
      </w:r>
      <w:r w:rsidRPr="00826B76">
        <w:rPr>
          <w:rFonts w:ascii="ITC Avant Garde" w:eastAsia="Times New Roman" w:hAnsi="ITC Avant Garde" w:cs="Arial"/>
          <w:bCs/>
          <w:color w:val="000000"/>
          <w:lang w:eastAsia="es-ES"/>
        </w:rPr>
        <w:t>internet u otr</w:t>
      </w:r>
      <w:r w:rsidR="00BC1BD6" w:rsidRPr="00826B76">
        <w:rPr>
          <w:rFonts w:ascii="ITC Avant Garde" w:eastAsia="Times New Roman" w:hAnsi="ITC Avant Garde" w:cs="Arial"/>
          <w:bCs/>
          <w:color w:val="000000"/>
          <w:lang w:eastAsia="es-ES"/>
        </w:rPr>
        <w:t>os operadores</w:t>
      </w:r>
      <w:r w:rsidR="00A504B6" w:rsidRPr="00826B76">
        <w:rPr>
          <w:rFonts w:ascii="ITC Avant Garde" w:eastAsia="Times New Roman" w:hAnsi="ITC Avant Garde" w:cs="Arial"/>
          <w:bCs/>
          <w:color w:val="000000"/>
          <w:lang w:eastAsia="es-ES"/>
        </w:rPr>
        <w:t>.</w:t>
      </w:r>
    </w:p>
    <w:p w14:paraId="70E21053" w14:textId="77777777" w:rsidR="00826B76" w:rsidRPr="00826B76" w:rsidRDefault="00B04EC7" w:rsidP="00826B76">
      <w:pPr>
        <w:pStyle w:val="Prrafodelista"/>
        <w:numPr>
          <w:ilvl w:val="0"/>
          <w:numId w:val="10"/>
        </w:numPr>
        <w:spacing w:before="240"/>
        <w:jc w:val="both"/>
        <w:rPr>
          <w:rFonts w:ascii="ITC Avant Garde" w:eastAsia="Times New Roman" w:hAnsi="ITC Avant Garde" w:cs="Arial"/>
          <w:bCs/>
          <w:color w:val="000000"/>
          <w:lang w:eastAsia="es-ES"/>
        </w:rPr>
      </w:pPr>
      <w:r w:rsidRPr="00826B76">
        <w:rPr>
          <w:rFonts w:ascii="ITC Avant Garde" w:eastAsia="Times New Roman" w:hAnsi="ITC Avant Garde" w:cs="Arial"/>
          <w:bCs/>
          <w:color w:val="000000"/>
          <w:lang w:eastAsia="es-ES"/>
        </w:rPr>
        <w:t xml:space="preserve">Núcleo </w:t>
      </w:r>
      <w:r w:rsidR="001F625D" w:rsidRPr="00826B76">
        <w:rPr>
          <w:rFonts w:ascii="ITC Avant Garde" w:eastAsia="Times New Roman" w:hAnsi="ITC Avant Garde" w:cs="Arial"/>
          <w:bCs/>
          <w:color w:val="000000"/>
          <w:lang w:eastAsia="es-ES"/>
        </w:rPr>
        <w:t>de Red</w:t>
      </w:r>
      <w:r w:rsidR="008E3E36" w:rsidRPr="00826B76">
        <w:rPr>
          <w:rFonts w:ascii="ITC Avant Garde" w:eastAsia="Times New Roman" w:hAnsi="ITC Avant Garde" w:cs="Arial"/>
          <w:bCs/>
          <w:color w:val="000000"/>
          <w:lang w:eastAsia="es-ES"/>
        </w:rPr>
        <w:t xml:space="preserve"> (Core)</w:t>
      </w:r>
      <w:r w:rsidR="001F625D" w:rsidRPr="00826B76">
        <w:rPr>
          <w:rFonts w:ascii="ITC Avant Garde" w:eastAsia="Times New Roman" w:hAnsi="ITC Avant Garde" w:cs="Arial"/>
          <w:bCs/>
          <w:color w:val="000000"/>
          <w:lang w:eastAsia="es-ES"/>
        </w:rPr>
        <w:t xml:space="preserve">. Lo </w:t>
      </w:r>
      <w:r w:rsidR="00A504B6" w:rsidRPr="00826B76">
        <w:rPr>
          <w:rFonts w:ascii="ITC Avant Garde" w:eastAsia="Times New Roman" w:hAnsi="ITC Avant Garde" w:cs="Arial"/>
          <w:bCs/>
          <w:color w:val="000000"/>
          <w:lang w:eastAsia="es-ES"/>
        </w:rPr>
        <w:t>constituyen</w:t>
      </w:r>
      <w:r w:rsidR="001F625D" w:rsidRPr="00826B76">
        <w:rPr>
          <w:rFonts w:ascii="ITC Avant Garde" w:eastAsia="Times New Roman" w:hAnsi="ITC Avant Garde" w:cs="Arial"/>
          <w:bCs/>
          <w:color w:val="000000"/>
          <w:lang w:eastAsia="es-ES"/>
        </w:rPr>
        <w:t xml:space="preserve"> los elementos que proporcionan las funciones de enrutamiento, inter</w:t>
      </w:r>
      <w:r w:rsidR="00BC1BD6" w:rsidRPr="00826B76">
        <w:rPr>
          <w:rFonts w:ascii="ITC Avant Garde" w:eastAsia="Times New Roman" w:hAnsi="ITC Avant Garde" w:cs="Arial"/>
          <w:bCs/>
          <w:color w:val="000000"/>
          <w:lang w:eastAsia="es-ES"/>
        </w:rPr>
        <w:t>conexión y control para la RAN</w:t>
      </w:r>
      <w:r w:rsidR="001F625D" w:rsidRPr="00826B76">
        <w:rPr>
          <w:rFonts w:ascii="ITC Avant Garde" w:eastAsia="Times New Roman" w:hAnsi="ITC Avant Garde" w:cs="Arial"/>
          <w:bCs/>
          <w:color w:val="000000"/>
          <w:lang w:eastAsia="es-ES"/>
        </w:rPr>
        <w:t>.</w:t>
      </w:r>
    </w:p>
    <w:p w14:paraId="2D7B2085" w14:textId="77777777" w:rsidR="00826B76" w:rsidRPr="00826B76" w:rsidRDefault="001F625D" w:rsidP="00826B76">
      <w:pPr>
        <w:pStyle w:val="Prrafodelista"/>
        <w:numPr>
          <w:ilvl w:val="0"/>
          <w:numId w:val="10"/>
        </w:numPr>
        <w:spacing w:before="240"/>
        <w:jc w:val="both"/>
        <w:rPr>
          <w:rFonts w:ascii="ITC Avant Garde" w:eastAsia="Times New Roman" w:hAnsi="ITC Avant Garde" w:cs="Arial"/>
          <w:bCs/>
          <w:color w:val="000000"/>
          <w:lang w:eastAsia="es-ES"/>
        </w:rPr>
      </w:pPr>
      <w:r w:rsidRPr="00826B76">
        <w:rPr>
          <w:rFonts w:ascii="ITC Avant Garde" w:eastAsia="Times New Roman" w:hAnsi="ITC Avant Garde" w:cs="Arial"/>
          <w:bCs/>
          <w:color w:val="000000"/>
          <w:lang w:eastAsia="es-ES"/>
        </w:rPr>
        <w:t>Sistemas de Soporte a la Operación</w:t>
      </w:r>
      <w:r w:rsidR="00BC1BD6" w:rsidRPr="00826B76">
        <w:rPr>
          <w:rFonts w:ascii="ITC Avant Garde" w:eastAsia="Times New Roman" w:hAnsi="ITC Avant Garde" w:cs="Arial"/>
          <w:bCs/>
          <w:color w:val="000000"/>
          <w:lang w:eastAsia="es-ES"/>
        </w:rPr>
        <w:t xml:space="preserve"> y </w:t>
      </w:r>
      <w:r w:rsidRPr="00826B76">
        <w:rPr>
          <w:rFonts w:ascii="ITC Avant Garde" w:eastAsia="Times New Roman" w:hAnsi="ITC Avant Garde" w:cs="Arial"/>
          <w:bCs/>
          <w:color w:val="000000"/>
          <w:lang w:eastAsia="es-ES"/>
        </w:rPr>
        <w:t>Sistemas de Soport</w:t>
      </w:r>
      <w:r w:rsidR="00BC1BD6" w:rsidRPr="00826B76">
        <w:rPr>
          <w:rFonts w:ascii="ITC Avant Garde" w:eastAsia="Times New Roman" w:hAnsi="ITC Avant Garde" w:cs="Arial"/>
          <w:bCs/>
          <w:color w:val="000000"/>
          <w:lang w:eastAsia="es-ES"/>
        </w:rPr>
        <w:t>e del Negocio</w:t>
      </w:r>
      <w:r w:rsidR="00A504B6" w:rsidRPr="00826B76">
        <w:rPr>
          <w:rFonts w:ascii="ITC Avant Garde" w:eastAsia="Times New Roman" w:hAnsi="ITC Avant Garde" w:cs="Arial"/>
          <w:bCs/>
          <w:color w:val="000000"/>
          <w:lang w:eastAsia="es-ES"/>
        </w:rPr>
        <w:t>. Permite</w:t>
      </w:r>
      <w:r w:rsidRPr="00826B76">
        <w:rPr>
          <w:rFonts w:ascii="ITC Avant Garde" w:eastAsia="Times New Roman" w:hAnsi="ITC Avant Garde" w:cs="Arial"/>
          <w:bCs/>
          <w:color w:val="000000"/>
          <w:lang w:eastAsia="es-ES"/>
        </w:rPr>
        <w:t xml:space="preserve"> </w:t>
      </w:r>
      <w:r w:rsidR="00A504B6" w:rsidRPr="00826B76">
        <w:rPr>
          <w:rFonts w:ascii="ITC Avant Garde" w:eastAsia="Times New Roman" w:hAnsi="ITC Avant Garde" w:cs="Arial"/>
          <w:bCs/>
          <w:color w:val="000000"/>
          <w:lang w:eastAsia="es-ES"/>
        </w:rPr>
        <w:t xml:space="preserve">realizar las funciones administrativas como </w:t>
      </w:r>
      <w:r w:rsidRPr="00826B76">
        <w:rPr>
          <w:rFonts w:ascii="ITC Avant Garde" w:eastAsia="Times New Roman" w:hAnsi="ITC Avant Garde" w:cs="Arial"/>
          <w:bCs/>
          <w:color w:val="000000"/>
          <w:lang w:eastAsia="es-ES"/>
        </w:rPr>
        <w:t>l</w:t>
      </w:r>
      <w:r w:rsidR="00A504B6" w:rsidRPr="00826B76">
        <w:rPr>
          <w:rFonts w:ascii="ITC Avant Garde" w:eastAsia="Times New Roman" w:hAnsi="ITC Avant Garde" w:cs="Arial"/>
          <w:bCs/>
          <w:color w:val="000000"/>
          <w:lang w:eastAsia="es-ES"/>
        </w:rPr>
        <w:t>a</w:t>
      </w:r>
      <w:r w:rsidRPr="00826B76">
        <w:rPr>
          <w:rFonts w:ascii="ITC Avant Garde" w:eastAsia="Times New Roman" w:hAnsi="ITC Avant Garde" w:cs="Arial"/>
          <w:bCs/>
          <w:color w:val="000000"/>
          <w:lang w:eastAsia="es-ES"/>
        </w:rPr>
        <w:t xml:space="preserve"> facturación de los </w:t>
      </w:r>
      <w:r w:rsidR="00A504B6" w:rsidRPr="00826B76">
        <w:rPr>
          <w:rFonts w:ascii="ITC Avant Garde" w:eastAsia="Times New Roman" w:hAnsi="ITC Avant Garde" w:cs="Arial"/>
          <w:bCs/>
          <w:color w:val="000000"/>
          <w:lang w:eastAsia="es-ES"/>
        </w:rPr>
        <w:t>servicios al usuario final</w:t>
      </w:r>
      <w:r w:rsidRPr="00826B76">
        <w:rPr>
          <w:rFonts w:ascii="ITC Avant Garde" w:eastAsia="Times New Roman" w:hAnsi="ITC Avant Garde" w:cs="Arial"/>
          <w:bCs/>
          <w:color w:val="000000"/>
          <w:lang w:eastAsia="es-ES"/>
        </w:rPr>
        <w:t xml:space="preserve"> y gestionar los pr</w:t>
      </w:r>
      <w:r w:rsidR="00A504B6" w:rsidRPr="00826B76">
        <w:rPr>
          <w:rFonts w:ascii="ITC Avant Garde" w:eastAsia="Times New Roman" w:hAnsi="ITC Avant Garde" w:cs="Arial"/>
          <w:bCs/>
          <w:color w:val="000000"/>
          <w:lang w:eastAsia="es-ES"/>
        </w:rPr>
        <w:t>ocesos de negocio del Cliente</w:t>
      </w:r>
      <w:r w:rsidRPr="00826B76">
        <w:rPr>
          <w:rFonts w:ascii="ITC Avant Garde" w:eastAsia="Times New Roman" w:hAnsi="ITC Avant Garde" w:cs="Arial"/>
          <w:bCs/>
          <w:color w:val="000000"/>
          <w:lang w:eastAsia="es-ES"/>
        </w:rPr>
        <w:t>.</w:t>
      </w:r>
    </w:p>
    <w:p w14:paraId="4CF81ABC" w14:textId="77777777" w:rsidR="00826B76" w:rsidRPr="00826B76" w:rsidRDefault="00C72C71" w:rsidP="00826B76">
      <w:pPr>
        <w:spacing w:before="240" w:after="200" w:line="276" w:lineRule="auto"/>
        <w:jc w:val="both"/>
        <w:rPr>
          <w:rFonts w:ascii="ITC Avant Garde" w:eastAsia="Calibri" w:hAnsi="ITC Avant Garde" w:cs="Arial"/>
        </w:rPr>
      </w:pPr>
      <w:r w:rsidRPr="00826B76">
        <w:rPr>
          <w:rFonts w:ascii="ITC Avant Garde" w:eastAsia="Times New Roman" w:hAnsi="ITC Avant Garde"/>
          <w:bCs/>
        </w:rPr>
        <w:t xml:space="preserve">Con el objeto de comercializar la capacidad, la infraestructura o servicios de telecomunicaciones de la red mayorista, </w:t>
      </w:r>
      <w:r w:rsidR="00BC1BD6" w:rsidRPr="00826B76">
        <w:rPr>
          <w:rFonts w:ascii="ITC Avant Garde" w:eastAsia="Times New Roman" w:hAnsi="ITC Avant Garde"/>
          <w:bCs/>
        </w:rPr>
        <w:t xml:space="preserve">la Propuesta de Oferta de Referencia de </w:t>
      </w:r>
      <w:r w:rsidRPr="00826B76">
        <w:rPr>
          <w:rFonts w:ascii="ITC Avant Garde" w:eastAsia="Times New Roman" w:hAnsi="ITC Avant Garde"/>
          <w:bCs/>
        </w:rPr>
        <w:t>Altán</w:t>
      </w:r>
      <w:r w:rsidR="00BC1BD6" w:rsidRPr="00826B76">
        <w:rPr>
          <w:rFonts w:ascii="ITC Avant Garde" w:eastAsia="Times New Roman" w:hAnsi="ITC Avant Garde"/>
          <w:bCs/>
        </w:rPr>
        <w:t xml:space="preserve"> ofrece</w:t>
      </w:r>
      <w:r w:rsidR="000C0C82" w:rsidRPr="00826B76">
        <w:rPr>
          <w:rFonts w:ascii="ITC Avant Garde" w:eastAsia="Times New Roman" w:hAnsi="ITC Avant Garde"/>
          <w:bCs/>
        </w:rPr>
        <w:t xml:space="preserve"> los servicios</w:t>
      </w:r>
      <w:r w:rsidR="0001788D" w:rsidRPr="00826B76">
        <w:rPr>
          <w:rFonts w:ascii="ITC Avant Garde" w:eastAsia="Times New Roman" w:hAnsi="ITC Avant Garde"/>
          <w:bCs/>
        </w:rPr>
        <w:t xml:space="preserve"> a través de tres productos</w:t>
      </w:r>
      <w:r w:rsidR="000C0C82" w:rsidRPr="00826B76">
        <w:rPr>
          <w:rFonts w:ascii="ITC Avant Garde" w:eastAsia="Times New Roman" w:hAnsi="ITC Avant Garde"/>
          <w:bCs/>
        </w:rPr>
        <w:t>: SIM Altá</w:t>
      </w:r>
      <w:r w:rsidR="00E74626" w:rsidRPr="00826B76">
        <w:rPr>
          <w:rFonts w:ascii="ITC Avant Garde" w:eastAsia="Times New Roman" w:hAnsi="ITC Avant Garde"/>
          <w:bCs/>
        </w:rPr>
        <w:t xml:space="preserve">n, SIM Cliente e Internet Hogar, ello sin perjuicio de que en el futuro puedan agregarse </w:t>
      </w:r>
      <w:r w:rsidR="007D1AEC" w:rsidRPr="00826B76">
        <w:rPr>
          <w:rFonts w:ascii="ITC Avant Garde" w:eastAsia="Times New Roman" w:hAnsi="ITC Avant Garde"/>
          <w:bCs/>
        </w:rPr>
        <w:t xml:space="preserve">productos </w:t>
      </w:r>
      <w:r w:rsidR="00E74626" w:rsidRPr="00826B76">
        <w:rPr>
          <w:rFonts w:ascii="ITC Avant Garde" w:eastAsia="Times New Roman" w:hAnsi="ITC Avant Garde"/>
          <w:bCs/>
        </w:rPr>
        <w:t>adicionales.</w:t>
      </w:r>
      <w:r w:rsidR="00996371" w:rsidRPr="00826B76">
        <w:rPr>
          <w:rFonts w:ascii="ITC Avant Garde" w:eastAsia="Calibri" w:hAnsi="ITC Avant Garde" w:cs="Arial"/>
        </w:rPr>
        <w:t xml:space="preserve"> </w:t>
      </w:r>
      <w:r w:rsidR="000C0C82" w:rsidRPr="00826B76">
        <w:rPr>
          <w:rFonts w:ascii="ITC Avant Garde" w:eastAsia="Calibri" w:hAnsi="ITC Avant Garde" w:cs="Arial"/>
        </w:rPr>
        <w:t xml:space="preserve">En este sentido, los </w:t>
      </w:r>
      <w:r w:rsidR="005876BC" w:rsidRPr="00826B76">
        <w:rPr>
          <w:rFonts w:ascii="ITC Avant Garde" w:eastAsia="Calibri" w:hAnsi="ITC Avant Garde" w:cs="Arial"/>
        </w:rPr>
        <w:t>productos</w:t>
      </w:r>
      <w:r w:rsidR="000C0C82" w:rsidRPr="00826B76">
        <w:rPr>
          <w:rFonts w:ascii="ITC Avant Garde" w:eastAsia="Calibri" w:hAnsi="ITC Avant Garde" w:cs="Arial"/>
        </w:rPr>
        <w:t xml:space="preserve"> </w:t>
      </w:r>
      <w:r w:rsidR="005876BC" w:rsidRPr="00826B76">
        <w:rPr>
          <w:rFonts w:ascii="ITC Avant Garde" w:eastAsia="Calibri" w:hAnsi="ITC Avant Garde" w:cs="Arial"/>
        </w:rPr>
        <w:t>señalados</w:t>
      </w:r>
      <w:r w:rsidR="000C0C82" w:rsidRPr="00826B76">
        <w:rPr>
          <w:rFonts w:ascii="ITC Avant Garde" w:eastAsia="Calibri" w:hAnsi="ITC Avant Garde" w:cs="Arial"/>
        </w:rPr>
        <w:t xml:space="preserve"> permiten la </w:t>
      </w:r>
      <w:r w:rsidR="000C0C82" w:rsidRPr="00826B76">
        <w:rPr>
          <w:rFonts w:ascii="ITC Avant Garde" w:eastAsia="Calibri" w:hAnsi="ITC Avant Garde" w:cs="Times New Roman"/>
        </w:rPr>
        <w:t>comercialización y reventa de</w:t>
      </w:r>
      <w:r w:rsidR="001567EE" w:rsidRPr="00826B76">
        <w:rPr>
          <w:rFonts w:ascii="ITC Avant Garde" w:eastAsia="Calibri" w:hAnsi="ITC Avant Garde" w:cs="Times New Roman"/>
        </w:rPr>
        <w:t xml:space="preserve"> los servicios provistos por </w:t>
      </w:r>
      <w:r w:rsidR="000C0C82" w:rsidRPr="00826B76">
        <w:rPr>
          <w:rFonts w:ascii="ITC Avant Garde" w:eastAsia="Calibri" w:hAnsi="ITC Avant Garde" w:cs="Times New Roman"/>
        </w:rPr>
        <w:t>Altán</w:t>
      </w:r>
      <w:r w:rsidR="001567EE" w:rsidRPr="00826B76">
        <w:rPr>
          <w:rFonts w:ascii="ITC Avant Garde" w:eastAsia="Calibri" w:hAnsi="ITC Avant Garde" w:cs="Times New Roman"/>
        </w:rPr>
        <w:t>.</w:t>
      </w:r>
    </w:p>
    <w:p w14:paraId="0DF5DE3F" w14:textId="77777777" w:rsidR="00826B76" w:rsidRPr="00826B76" w:rsidRDefault="00E8106E" w:rsidP="00826B76">
      <w:pPr>
        <w:spacing w:before="240" w:after="200" w:line="276" w:lineRule="auto"/>
        <w:jc w:val="both"/>
        <w:rPr>
          <w:rFonts w:ascii="ITC Avant Garde" w:eastAsia="Calibri" w:hAnsi="ITC Avant Garde" w:cs="Times New Roman"/>
        </w:rPr>
      </w:pPr>
      <w:r w:rsidRPr="00826B76">
        <w:rPr>
          <w:rFonts w:ascii="ITC Avant Garde" w:eastAsia="Calibri" w:hAnsi="ITC Avant Garde" w:cs="Times New Roman"/>
        </w:rPr>
        <w:t>Los concesionarios o comercializadoras,</w:t>
      </w:r>
      <w:r w:rsidR="001567EE" w:rsidRPr="00826B76">
        <w:rPr>
          <w:rFonts w:ascii="ITC Avant Garde" w:eastAsia="Calibri" w:hAnsi="ITC Avant Garde" w:cs="Times New Roman"/>
        </w:rPr>
        <w:t xml:space="preserve"> dependien</w:t>
      </w:r>
      <w:r w:rsidRPr="00826B76">
        <w:rPr>
          <w:rFonts w:ascii="ITC Avant Garde" w:eastAsia="Calibri" w:hAnsi="ITC Avant Garde" w:cs="Times New Roman"/>
        </w:rPr>
        <w:t xml:space="preserve">do de su estrategia de negocios pueden seleccionar el </w:t>
      </w:r>
      <w:r w:rsidR="00EC53D6" w:rsidRPr="00826B76">
        <w:rPr>
          <w:rFonts w:ascii="ITC Avant Garde" w:eastAsia="Calibri" w:hAnsi="ITC Avant Garde" w:cs="Times New Roman"/>
        </w:rPr>
        <w:t>producto</w:t>
      </w:r>
      <w:r w:rsidRPr="00826B76">
        <w:rPr>
          <w:rFonts w:ascii="ITC Avant Garde" w:eastAsia="Calibri" w:hAnsi="ITC Avant Garde" w:cs="Times New Roman"/>
        </w:rPr>
        <w:t xml:space="preserve"> que les permita competir en el mercado móvil.</w:t>
      </w:r>
    </w:p>
    <w:p w14:paraId="5940FA04" w14:textId="77777777" w:rsidR="00826B76" w:rsidRPr="00826B76" w:rsidRDefault="00EA4251" w:rsidP="00826B76">
      <w:pPr>
        <w:spacing w:before="240" w:after="200" w:line="276" w:lineRule="auto"/>
        <w:jc w:val="both"/>
        <w:rPr>
          <w:rFonts w:ascii="ITC Avant Garde" w:eastAsia="Calibri" w:hAnsi="ITC Avant Garde" w:cs="Times New Roman"/>
        </w:rPr>
      </w:pPr>
      <w:r w:rsidRPr="00826B76">
        <w:rPr>
          <w:rFonts w:ascii="ITC Avant Garde" w:eastAsia="Calibri" w:hAnsi="ITC Avant Garde" w:cs="Times New Roman"/>
        </w:rPr>
        <w:t>De lo cual</w:t>
      </w:r>
      <w:r w:rsidR="00E8106E" w:rsidRPr="00826B76">
        <w:rPr>
          <w:rFonts w:ascii="ITC Avant Garde" w:eastAsia="Calibri" w:hAnsi="ITC Avant Garde" w:cs="Times New Roman"/>
        </w:rPr>
        <w:t xml:space="preserve">, </w:t>
      </w:r>
      <w:r w:rsidR="00EC53D6" w:rsidRPr="00826B76">
        <w:rPr>
          <w:rFonts w:ascii="ITC Avant Garde" w:eastAsia="Calibri" w:hAnsi="ITC Avant Garde" w:cs="Times New Roman"/>
        </w:rPr>
        <w:t xml:space="preserve">los productos ofrecidos por Altán </w:t>
      </w:r>
      <w:r w:rsidR="00E8106E" w:rsidRPr="00826B76">
        <w:rPr>
          <w:rFonts w:ascii="ITC Avant Garde" w:eastAsia="Calibri" w:hAnsi="ITC Avant Garde" w:cs="Times New Roman"/>
        </w:rPr>
        <w:t>permite</w:t>
      </w:r>
      <w:r w:rsidR="00EC53D6" w:rsidRPr="00826B76">
        <w:rPr>
          <w:rFonts w:ascii="ITC Avant Garde" w:eastAsia="Calibri" w:hAnsi="ITC Avant Garde" w:cs="Times New Roman"/>
        </w:rPr>
        <w:t>n</w:t>
      </w:r>
      <w:r w:rsidR="00E8106E" w:rsidRPr="00826B76">
        <w:rPr>
          <w:rFonts w:ascii="ITC Avant Garde" w:eastAsia="Calibri" w:hAnsi="ITC Avant Garde" w:cs="Times New Roman"/>
        </w:rPr>
        <w:t xml:space="preserve"> </w:t>
      </w:r>
      <w:r w:rsidR="00EC53D6" w:rsidRPr="00826B76">
        <w:rPr>
          <w:rFonts w:ascii="ITC Avant Garde" w:eastAsia="Calibri" w:hAnsi="ITC Avant Garde" w:cs="Times New Roman"/>
        </w:rPr>
        <w:t xml:space="preserve">a un comercializador </w:t>
      </w:r>
      <w:r w:rsidR="001567EE" w:rsidRPr="00826B76">
        <w:rPr>
          <w:rFonts w:ascii="ITC Avant Garde" w:eastAsia="Calibri" w:hAnsi="ITC Avant Garde" w:cs="Times New Roman"/>
        </w:rPr>
        <w:t>comprar servicios a precios mayoristas y venderlos a nivel minorista en condiciones favorables para el consumidor o añadiendo algún valor agregado que le permita diferenciarse de</w:t>
      </w:r>
      <w:r w:rsidR="00F15F17" w:rsidRPr="00826B76">
        <w:rPr>
          <w:rFonts w:ascii="ITC Avant Garde" w:eastAsia="Calibri" w:hAnsi="ITC Avant Garde" w:cs="Times New Roman"/>
        </w:rPr>
        <w:t>l resto de los operadores</w:t>
      </w:r>
      <w:r w:rsidR="001567EE" w:rsidRPr="00826B76">
        <w:rPr>
          <w:rFonts w:ascii="ITC Avant Garde" w:eastAsia="Calibri" w:hAnsi="ITC Avant Garde" w:cs="Times New Roman"/>
        </w:rPr>
        <w:t xml:space="preserve">, dinamizando con ello </w:t>
      </w:r>
      <w:r w:rsidR="001567EE" w:rsidRPr="00826B76">
        <w:rPr>
          <w:rFonts w:ascii="ITC Avant Garde" w:eastAsia="Times New Roman" w:hAnsi="ITC Avant Garde" w:cs="Arial"/>
          <w:iCs/>
        </w:rPr>
        <w:t>el sector acercando los beneficios de la competencia</w:t>
      </w:r>
      <w:r w:rsidR="001567EE" w:rsidRPr="00826B76">
        <w:rPr>
          <w:rFonts w:ascii="ITC Avant Garde" w:eastAsia="Calibri" w:hAnsi="ITC Avant Garde" w:cs="Times New Roman"/>
        </w:rPr>
        <w:t xml:space="preserve"> a los mencionados usuarios. </w:t>
      </w:r>
    </w:p>
    <w:p w14:paraId="017AB639" w14:textId="77777777" w:rsidR="00826B76" w:rsidRPr="00826B76" w:rsidRDefault="001567EE" w:rsidP="00826B76">
      <w:pPr>
        <w:spacing w:before="240" w:after="200" w:line="276" w:lineRule="auto"/>
        <w:jc w:val="both"/>
        <w:rPr>
          <w:rFonts w:ascii="ITC Avant Garde" w:eastAsia="Calibri" w:hAnsi="ITC Avant Garde" w:cs="Times New Roman"/>
        </w:rPr>
      </w:pPr>
      <w:r w:rsidRPr="00826B76">
        <w:rPr>
          <w:rFonts w:ascii="ITC Avant Garde" w:eastAsia="Calibri" w:hAnsi="ITC Avant Garde" w:cs="Times New Roman"/>
        </w:rPr>
        <w:t>En tal virtud, una empresa comercializadora asume el riesgo comercial de la venta minorista y para poder permanecer en el mercado debe contar con canales de comercialización lo suficientemente eficientes que le permitan generar una ganancia mediante el proceso anteriormente descrito.</w:t>
      </w:r>
      <w:r w:rsidR="00EC53D6" w:rsidRPr="00826B76">
        <w:rPr>
          <w:rFonts w:ascii="ITC Avant Garde" w:eastAsia="Calibri" w:hAnsi="ITC Avant Garde" w:cs="Times New Roman"/>
        </w:rPr>
        <w:t xml:space="preserve"> </w:t>
      </w:r>
    </w:p>
    <w:p w14:paraId="2451AD47" w14:textId="77777777" w:rsidR="00826B76" w:rsidRPr="00826B76" w:rsidRDefault="00EA4251" w:rsidP="00826B76">
      <w:pPr>
        <w:spacing w:before="240" w:after="200" w:line="276" w:lineRule="auto"/>
        <w:jc w:val="both"/>
        <w:rPr>
          <w:rFonts w:ascii="ITC Avant Garde" w:eastAsia="Calibri" w:hAnsi="ITC Avant Garde" w:cs="Times New Roman"/>
        </w:rPr>
      </w:pPr>
      <w:r w:rsidRPr="00826B76">
        <w:rPr>
          <w:rFonts w:ascii="ITC Avant Garde" w:eastAsia="Calibri" w:hAnsi="ITC Avant Garde" w:cs="Times New Roman"/>
        </w:rPr>
        <w:t xml:space="preserve">Ahora bien, </w:t>
      </w:r>
      <w:r w:rsidR="00EC53D6" w:rsidRPr="00826B76">
        <w:rPr>
          <w:rFonts w:ascii="ITC Avant Garde" w:eastAsia="Calibri" w:hAnsi="ITC Avant Garde" w:cs="Times New Roman"/>
        </w:rPr>
        <w:t xml:space="preserve">los productos antes señalados presentan diferencias técnicas entre sí </w:t>
      </w:r>
      <w:r w:rsidR="005876BC" w:rsidRPr="00826B76">
        <w:rPr>
          <w:rFonts w:ascii="ITC Avant Garde" w:eastAsia="Calibri" w:hAnsi="ITC Avant Garde" w:cs="Times New Roman"/>
        </w:rPr>
        <w:t>que consisten en lo siguiente</w:t>
      </w:r>
      <w:r w:rsidR="00EC53D6" w:rsidRPr="00826B76">
        <w:rPr>
          <w:rFonts w:ascii="ITC Avant Garde" w:eastAsia="Calibri" w:hAnsi="ITC Avant Garde" w:cs="Times New Roman"/>
        </w:rPr>
        <w:t>:</w:t>
      </w:r>
    </w:p>
    <w:p w14:paraId="4D9A95A2" w14:textId="77777777" w:rsidR="00826B76" w:rsidRPr="00826B76" w:rsidRDefault="00EC53D6" w:rsidP="00826B76">
      <w:pPr>
        <w:spacing w:before="240" w:after="200" w:line="276" w:lineRule="auto"/>
        <w:jc w:val="both"/>
        <w:rPr>
          <w:rFonts w:ascii="ITC Avant Garde" w:eastAsia="Calibri" w:hAnsi="ITC Avant Garde" w:cs="Times New Roman"/>
        </w:rPr>
      </w:pPr>
      <w:r w:rsidRPr="00826B76">
        <w:rPr>
          <w:rFonts w:ascii="ITC Avant Garde" w:eastAsia="Calibri" w:hAnsi="ITC Avant Garde" w:cs="Times New Roman"/>
        </w:rPr>
        <w:lastRenderedPageBreak/>
        <w:t xml:space="preserve">SIM Altán. </w:t>
      </w:r>
      <w:r w:rsidR="005876BC" w:rsidRPr="00826B76">
        <w:rPr>
          <w:rFonts w:ascii="ITC Avant Garde" w:eastAsia="Calibri" w:hAnsi="ITC Avant Garde" w:cs="Times New Roman"/>
        </w:rPr>
        <w:t>S</w:t>
      </w:r>
      <w:r w:rsidR="00EA4251" w:rsidRPr="00826B76">
        <w:rPr>
          <w:rFonts w:ascii="ITC Avant Garde" w:eastAsia="Calibri" w:hAnsi="ITC Avant Garde" w:cs="Times New Roman"/>
        </w:rPr>
        <w:t>ervici</w:t>
      </w:r>
      <w:r w:rsidR="005876BC" w:rsidRPr="00826B76">
        <w:rPr>
          <w:rFonts w:ascii="ITC Avant Garde" w:eastAsia="Calibri" w:hAnsi="ITC Avant Garde" w:cs="Times New Roman"/>
        </w:rPr>
        <w:t>o de conectividad m</w:t>
      </w:r>
      <w:r w:rsidR="00EA4251" w:rsidRPr="00826B76">
        <w:rPr>
          <w:rFonts w:ascii="ITC Avant Garde" w:eastAsia="Calibri" w:hAnsi="ITC Avant Garde" w:cs="Times New Roman"/>
        </w:rPr>
        <w:t xml:space="preserve">óvil </w:t>
      </w:r>
      <w:r w:rsidR="002250B8" w:rsidRPr="00826B76">
        <w:rPr>
          <w:rFonts w:ascii="ITC Avant Garde" w:eastAsia="Calibri" w:hAnsi="ITC Avant Garde" w:cs="Times New Roman"/>
        </w:rPr>
        <w:t>que</w:t>
      </w:r>
      <w:r w:rsidR="00EA4251" w:rsidRPr="00826B76">
        <w:rPr>
          <w:rFonts w:ascii="ITC Avant Garde" w:eastAsia="Calibri" w:hAnsi="ITC Avant Garde" w:cs="Times New Roman"/>
        </w:rPr>
        <w:t xml:space="preserve"> incluye el servicio de datos con</w:t>
      </w:r>
      <w:r w:rsidR="00747EC1" w:rsidRPr="00826B76">
        <w:rPr>
          <w:rFonts w:ascii="ITC Avant Garde" w:eastAsia="Calibri" w:hAnsi="ITC Avant Garde" w:cs="Times New Roman"/>
        </w:rPr>
        <w:t xml:space="preserve"> acceso </w:t>
      </w:r>
      <w:r w:rsidR="00EA4251" w:rsidRPr="00826B76">
        <w:rPr>
          <w:rFonts w:ascii="ITC Avant Garde" w:eastAsia="Calibri" w:hAnsi="ITC Avant Garde" w:cs="Times New Roman"/>
        </w:rPr>
        <w:t>a Internet provist</w:t>
      </w:r>
      <w:r w:rsidR="00747EC1" w:rsidRPr="00826B76">
        <w:rPr>
          <w:rFonts w:ascii="ITC Avant Garde" w:eastAsia="Calibri" w:hAnsi="ITC Avant Garde" w:cs="Times New Roman"/>
        </w:rPr>
        <w:t>o</w:t>
      </w:r>
      <w:r w:rsidR="00EA4251" w:rsidRPr="00826B76">
        <w:rPr>
          <w:rFonts w:ascii="ITC Avant Garde" w:eastAsia="Calibri" w:hAnsi="ITC Avant Garde" w:cs="Times New Roman"/>
        </w:rPr>
        <w:t xml:space="preserve"> por Altán, </w:t>
      </w:r>
      <w:r w:rsidR="00B56BD5" w:rsidRPr="00826B76">
        <w:rPr>
          <w:rFonts w:ascii="ITC Avant Garde" w:eastAsia="Calibri" w:hAnsi="ITC Avant Garde" w:cs="Times New Roman"/>
        </w:rPr>
        <w:t xml:space="preserve">el servicio de </w:t>
      </w:r>
      <w:r w:rsidR="00EA4251" w:rsidRPr="00826B76">
        <w:rPr>
          <w:rFonts w:ascii="ITC Avant Garde" w:eastAsia="Calibri" w:hAnsi="ITC Avant Garde" w:cs="Times New Roman"/>
        </w:rPr>
        <w:t xml:space="preserve">voz y </w:t>
      </w:r>
      <w:r w:rsidR="003C02AD" w:rsidRPr="00826B76">
        <w:rPr>
          <w:rFonts w:ascii="ITC Avant Garde" w:eastAsia="Calibri" w:hAnsi="ITC Avant Garde" w:cs="Times New Roman"/>
        </w:rPr>
        <w:t xml:space="preserve">el servicio de </w:t>
      </w:r>
      <w:r w:rsidR="00747EC1" w:rsidRPr="00826B76">
        <w:rPr>
          <w:rFonts w:ascii="ITC Avant Garde" w:eastAsia="Calibri" w:hAnsi="ITC Avant Garde" w:cs="Times New Roman"/>
        </w:rPr>
        <w:t>envío y recepción de mensajes cortos</w:t>
      </w:r>
      <w:r w:rsidR="00B56BD5" w:rsidRPr="00826B76">
        <w:rPr>
          <w:rFonts w:ascii="ITC Avant Garde" w:eastAsia="Calibri" w:hAnsi="ITC Avant Garde" w:cs="Times New Roman"/>
        </w:rPr>
        <w:t>. Asimismo,</w:t>
      </w:r>
      <w:r w:rsidR="00EA4251" w:rsidRPr="00826B76">
        <w:rPr>
          <w:rFonts w:ascii="ITC Avant Garde" w:eastAsia="Calibri" w:hAnsi="ITC Avant Garde" w:cs="Times New Roman"/>
        </w:rPr>
        <w:t xml:space="preserve"> Altán </w:t>
      </w:r>
      <w:r w:rsidR="00B56BD5" w:rsidRPr="00826B76">
        <w:rPr>
          <w:rFonts w:ascii="ITC Avant Garde" w:eastAsia="Calibri" w:hAnsi="ITC Avant Garde" w:cs="Times New Roman"/>
        </w:rPr>
        <w:t>proveerá l</w:t>
      </w:r>
      <w:r w:rsidR="005B5A31" w:rsidRPr="00826B76">
        <w:rPr>
          <w:rFonts w:ascii="ITC Avant Garde" w:eastAsia="Calibri" w:hAnsi="ITC Avant Garde" w:cs="Times New Roman"/>
        </w:rPr>
        <w:t>a plataforma de gestión m</w:t>
      </w:r>
      <w:r w:rsidR="00EA4251" w:rsidRPr="00826B76">
        <w:rPr>
          <w:rFonts w:ascii="ITC Avant Garde" w:eastAsia="Calibri" w:hAnsi="ITC Avant Garde" w:cs="Times New Roman"/>
        </w:rPr>
        <w:t>ayorista conformada por</w:t>
      </w:r>
      <w:r w:rsidR="005B5A31" w:rsidRPr="00826B76">
        <w:rPr>
          <w:rFonts w:ascii="ITC Avant Garde" w:eastAsia="Calibri" w:hAnsi="ITC Avant Garde" w:cs="Times New Roman"/>
        </w:rPr>
        <w:t xml:space="preserve"> los módulos de creación de SIM</w:t>
      </w:r>
      <w:r w:rsidR="00EA4251" w:rsidRPr="00826B76">
        <w:rPr>
          <w:rFonts w:ascii="ITC Avant Garde" w:eastAsia="Calibri" w:hAnsi="ITC Avant Garde" w:cs="Times New Roman"/>
        </w:rPr>
        <w:t>, conciliación de tr</w:t>
      </w:r>
      <w:r w:rsidR="005B5A31" w:rsidRPr="00826B76">
        <w:rPr>
          <w:rFonts w:ascii="ITC Avant Garde" w:eastAsia="Calibri" w:hAnsi="ITC Avant Garde" w:cs="Times New Roman"/>
        </w:rPr>
        <w:t>áfico y gestión de portabilidad, entre otros.</w:t>
      </w:r>
    </w:p>
    <w:p w14:paraId="3625598E" w14:textId="77777777" w:rsidR="00826B76" w:rsidRPr="00826B76" w:rsidRDefault="00EC53D6" w:rsidP="00826B76">
      <w:pPr>
        <w:spacing w:before="240" w:after="200" w:line="276" w:lineRule="auto"/>
        <w:jc w:val="both"/>
        <w:rPr>
          <w:rFonts w:ascii="ITC Avant Garde" w:eastAsia="Calibri" w:hAnsi="ITC Avant Garde" w:cs="Times New Roman"/>
        </w:rPr>
      </w:pPr>
      <w:r w:rsidRPr="00826B76">
        <w:rPr>
          <w:rFonts w:ascii="ITC Avant Garde" w:eastAsia="Calibri" w:hAnsi="ITC Avant Garde" w:cs="Times New Roman"/>
        </w:rPr>
        <w:t>SIM Cliente. E</w:t>
      </w:r>
      <w:r w:rsidR="00E8106E" w:rsidRPr="00826B76">
        <w:rPr>
          <w:rFonts w:ascii="ITC Avant Garde" w:eastAsia="Calibri" w:hAnsi="ITC Avant Garde" w:cs="Times New Roman"/>
        </w:rPr>
        <w:t xml:space="preserve">stá dirigido a comercializadoras o concesionarios que </w:t>
      </w:r>
      <w:r w:rsidR="001567EE" w:rsidRPr="00826B76">
        <w:rPr>
          <w:rFonts w:ascii="ITC Avant Garde" w:eastAsia="Calibri" w:hAnsi="ITC Avant Garde" w:cs="Times New Roman"/>
        </w:rPr>
        <w:t>pueden realizar inversiones en redes de telecomunicaciones similares a las de un concesionario, con excepción de la red de radio -la parte de la red que proporciona la conexión con los equipos terminales móviles- debido, entre otras cosas, a que no cuentan con espectro radioeléctrico, de tal forma que esta última parte de la red es la que adquieren</w:t>
      </w:r>
      <w:r w:rsidR="00BC7C22" w:rsidRPr="00826B76">
        <w:rPr>
          <w:rFonts w:ascii="ITC Avant Garde" w:eastAsia="Calibri" w:hAnsi="ITC Avant Garde" w:cs="Times New Roman"/>
        </w:rPr>
        <w:t xml:space="preserve"> de los concesionarios móviles.</w:t>
      </w:r>
    </w:p>
    <w:p w14:paraId="05AD370C" w14:textId="77777777" w:rsidR="00826B76" w:rsidRPr="00826B76" w:rsidRDefault="00F21E3F" w:rsidP="00826B76">
      <w:pPr>
        <w:spacing w:before="240" w:after="200" w:line="276" w:lineRule="auto"/>
        <w:jc w:val="both"/>
        <w:rPr>
          <w:rFonts w:ascii="ITC Avant Garde" w:eastAsia="Calibri" w:hAnsi="ITC Avant Garde" w:cs="Times New Roman"/>
        </w:rPr>
      </w:pPr>
      <w:r w:rsidRPr="00826B76">
        <w:rPr>
          <w:rFonts w:ascii="ITC Avant Garde" w:eastAsia="Calibri" w:hAnsi="ITC Avant Garde" w:cs="Times New Roman"/>
        </w:rPr>
        <w:t>Mediante e</w:t>
      </w:r>
      <w:r w:rsidR="005B5A31" w:rsidRPr="00826B76">
        <w:rPr>
          <w:rFonts w:ascii="ITC Avant Garde" w:eastAsia="Calibri" w:hAnsi="ITC Avant Garde" w:cs="Times New Roman"/>
        </w:rPr>
        <w:t xml:space="preserve">ste </w:t>
      </w:r>
      <w:r w:rsidRPr="00826B76">
        <w:rPr>
          <w:rFonts w:ascii="ITC Avant Garde" w:eastAsia="Calibri" w:hAnsi="ITC Avant Garde" w:cs="Times New Roman"/>
        </w:rPr>
        <w:t xml:space="preserve">producto se presta </w:t>
      </w:r>
      <w:r w:rsidR="005B5A31" w:rsidRPr="00826B76">
        <w:rPr>
          <w:rFonts w:ascii="ITC Avant Garde" w:eastAsia="Calibri" w:hAnsi="ITC Avant Garde" w:cs="Times New Roman"/>
        </w:rPr>
        <w:t xml:space="preserve">el servicio de conectividad móvil e incluye el servicio de datos con salida a Internet provista por el cliente y opcionalmente se puede brindar el servicio de voz y mensajería. </w:t>
      </w:r>
    </w:p>
    <w:p w14:paraId="76E32A08" w14:textId="77777777" w:rsidR="00826B76" w:rsidRPr="00826B76" w:rsidRDefault="005B5A31" w:rsidP="00826B76">
      <w:pPr>
        <w:spacing w:before="240" w:after="200" w:line="276" w:lineRule="auto"/>
        <w:jc w:val="both"/>
        <w:rPr>
          <w:rFonts w:ascii="ITC Avant Garde" w:eastAsia="Calibri" w:hAnsi="ITC Avant Garde" w:cs="Times New Roman"/>
        </w:rPr>
      </w:pPr>
      <w:r w:rsidRPr="00826B76">
        <w:rPr>
          <w:rFonts w:ascii="ITC Avant Garde" w:eastAsia="Calibri" w:hAnsi="ITC Avant Garde" w:cs="Times New Roman"/>
        </w:rPr>
        <w:t>De esta forma, los comercializadores</w:t>
      </w:r>
      <w:r w:rsidR="001567EE" w:rsidRPr="00826B76">
        <w:rPr>
          <w:rFonts w:ascii="ITC Avant Garde" w:eastAsia="Calibri" w:hAnsi="ITC Avant Garde" w:cs="Times New Roman"/>
        </w:rPr>
        <w:t xml:space="preserve"> pueden proporcionar servicios que les permitan una diferenciación tecnológica importante del operador móvil, como </w:t>
      </w:r>
      <w:r w:rsidR="002250B8" w:rsidRPr="00826B76">
        <w:rPr>
          <w:rFonts w:ascii="ITC Avant Garde" w:eastAsia="Calibri" w:hAnsi="ITC Avant Garde" w:cs="Times New Roman"/>
        </w:rPr>
        <w:t>son las mejoras en</w:t>
      </w:r>
      <w:r w:rsidR="001567EE" w:rsidRPr="00826B76">
        <w:rPr>
          <w:rFonts w:ascii="ITC Avant Garde" w:eastAsia="Calibri" w:hAnsi="ITC Avant Garde" w:cs="Times New Roman"/>
        </w:rPr>
        <w:t xml:space="preserve"> calidad de los servicios</w:t>
      </w:r>
      <w:r w:rsidR="002250B8" w:rsidRPr="00826B76">
        <w:rPr>
          <w:rFonts w:ascii="ITC Avant Garde" w:eastAsia="Calibri" w:hAnsi="ITC Avant Garde" w:cs="Times New Roman"/>
        </w:rPr>
        <w:t>.</w:t>
      </w:r>
      <w:r w:rsidR="001567EE" w:rsidRPr="00826B76">
        <w:rPr>
          <w:rFonts w:ascii="ITC Avant Garde" w:eastAsia="Calibri" w:hAnsi="ITC Avant Garde" w:cs="Times New Roman"/>
        </w:rPr>
        <w:t xml:space="preserve"> </w:t>
      </w:r>
      <w:r w:rsidR="002250B8" w:rsidRPr="00826B76">
        <w:rPr>
          <w:rFonts w:ascii="ITC Avant Garde" w:eastAsia="Calibri" w:hAnsi="ITC Avant Garde" w:cs="Times New Roman"/>
        </w:rPr>
        <w:t>A</w:t>
      </w:r>
      <w:r w:rsidR="001567EE" w:rsidRPr="00826B76">
        <w:rPr>
          <w:rFonts w:ascii="ITC Avant Garde" w:eastAsia="Calibri" w:hAnsi="ITC Avant Garde" w:cs="Times New Roman"/>
        </w:rPr>
        <w:t xml:space="preserve"> manera de ejemplo, un </w:t>
      </w:r>
      <w:r w:rsidR="00F21E3F" w:rsidRPr="00826B76">
        <w:rPr>
          <w:rFonts w:ascii="ITC Avant Garde" w:eastAsia="Calibri" w:hAnsi="ITC Avant Garde" w:cs="Times New Roman"/>
        </w:rPr>
        <w:t>Cliente</w:t>
      </w:r>
      <w:r w:rsidR="00E8106E" w:rsidRPr="00826B76">
        <w:rPr>
          <w:rFonts w:ascii="ITC Avant Garde" w:eastAsia="Calibri" w:hAnsi="ITC Avant Garde" w:cs="Times New Roman"/>
        </w:rPr>
        <w:t xml:space="preserve"> con </w:t>
      </w:r>
      <w:r w:rsidR="00747EC1" w:rsidRPr="00826B76">
        <w:rPr>
          <w:rFonts w:ascii="ITC Avant Garde" w:eastAsia="Calibri" w:hAnsi="ITC Avant Garde" w:cs="Times New Roman"/>
        </w:rPr>
        <w:t xml:space="preserve">acceso </w:t>
      </w:r>
      <w:r w:rsidR="00E8106E" w:rsidRPr="00826B76">
        <w:rPr>
          <w:rFonts w:ascii="ITC Avant Garde" w:eastAsia="Calibri" w:hAnsi="ITC Avant Garde" w:cs="Times New Roman"/>
        </w:rPr>
        <w:t xml:space="preserve">a internet </w:t>
      </w:r>
      <w:r w:rsidR="001567EE" w:rsidRPr="00826B76">
        <w:rPr>
          <w:rFonts w:ascii="ITC Avant Garde" w:eastAsia="Calibri" w:hAnsi="ITC Avant Garde" w:cs="Times New Roman"/>
        </w:rPr>
        <w:t>podría utilizar sus propios enlaces de Internet para proporcionar el transporte de datos en la parte troncal de la red, con lo cual puede mejorar la velocidad existente y ofrecer mejores servicios.</w:t>
      </w:r>
    </w:p>
    <w:p w14:paraId="6C7D63B2" w14:textId="77777777" w:rsidR="00826B76" w:rsidRPr="00826B76" w:rsidRDefault="00E8106E" w:rsidP="00826B76">
      <w:pPr>
        <w:spacing w:before="240" w:after="200" w:line="276" w:lineRule="auto"/>
        <w:jc w:val="both"/>
        <w:rPr>
          <w:rFonts w:ascii="ITC Avant Garde" w:eastAsia="Calibri" w:hAnsi="ITC Avant Garde" w:cs="Arial"/>
          <w:bCs/>
        </w:rPr>
      </w:pPr>
      <w:r w:rsidRPr="00826B76">
        <w:rPr>
          <w:rFonts w:ascii="ITC Avant Garde" w:eastAsia="Calibri" w:hAnsi="ITC Avant Garde" w:cs="Times New Roman"/>
        </w:rPr>
        <w:t xml:space="preserve">El </w:t>
      </w:r>
      <w:r w:rsidR="00F21E3F" w:rsidRPr="00826B76">
        <w:rPr>
          <w:rFonts w:ascii="ITC Avant Garde" w:eastAsia="Calibri" w:hAnsi="ITC Avant Garde" w:cs="Times New Roman"/>
        </w:rPr>
        <w:t>producto</w:t>
      </w:r>
      <w:r w:rsidR="004B5F83" w:rsidRPr="00826B76">
        <w:rPr>
          <w:rFonts w:ascii="ITC Avant Garde" w:eastAsia="Calibri" w:hAnsi="ITC Avant Garde" w:cs="Times New Roman"/>
        </w:rPr>
        <w:t xml:space="preserve"> de </w:t>
      </w:r>
      <w:r w:rsidR="004B5F83" w:rsidRPr="00826B76">
        <w:rPr>
          <w:rFonts w:ascii="ITC Avant Garde" w:eastAsia="Calibri" w:hAnsi="ITC Avant Garde" w:cs="Arial"/>
          <w:bCs/>
        </w:rPr>
        <w:t xml:space="preserve">Internet Hogar </w:t>
      </w:r>
      <w:r w:rsidR="00F21E3F" w:rsidRPr="00826B76">
        <w:rPr>
          <w:rFonts w:ascii="ITC Avant Garde" w:eastAsia="Calibri" w:hAnsi="ITC Avant Garde" w:cs="Arial"/>
          <w:bCs/>
        </w:rPr>
        <w:t>provee</w:t>
      </w:r>
      <w:r w:rsidR="004B5F83" w:rsidRPr="00826B76">
        <w:rPr>
          <w:rFonts w:ascii="ITC Avant Garde" w:eastAsia="Calibri" w:hAnsi="ITC Avant Garde" w:cs="Arial"/>
          <w:bCs/>
        </w:rPr>
        <w:t xml:space="preserve"> conectividad inalámbrica en ubicaciones fijas, </w:t>
      </w:r>
      <w:r w:rsidR="00EA16AE" w:rsidRPr="00826B76">
        <w:rPr>
          <w:rFonts w:ascii="ITC Avant Garde" w:eastAsia="Calibri" w:hAnsi="ITC Avant Garde" w:cs="Arial"/>
          <w:bCs/>
        </w:rPr>
        <w:t xml:space="preserve">proporcionando </w:t>
      </w:r>
      <w:r w:rsidR="00651D01" w:rsidRPr="00826B76">
        <w:rPr>
          <w:rFonts w:ascii="ITC Avant Garde" w:eastAsia="Calibri" w:hAnsi="ITC Avant Garde" w:cs="Arial"/>
          <w:bCs/>
        </w:rPr>
        <w:t xml:space="preserve">acceso </w:t>
      </w:r>
      <w:r w:rsidR="004B5F83" w:rsidRPr="00826B76">
        <w:rPr>
          <w:rFonts w:ascii="ITC Avant Garde" w:eastAsia="Calibri" w:hAnsi="ITC Avant Garde" w:cs="Arial"/>
          <w:bCs/>
        </w:rPr>
        <w:t xml:space="preserve">a internet por parte de Altán, o a través de la provisión del servicio directamente por el Cliente. </w:t>
      </w:r>
      <w:r w:rsidR="00EA16AE" w:rsidRPr="00826B76">
        <w:rPr>
          <w:rFonts w:ascii="ITC Avant Garde" w:eastAsia="Calibri" w:hAnsi="ITC Avant Garde" w:cs="Arial"/>
          <w:bCs/>
        </w:rPr>
        <w:t>Asimismo, proporciona</w:t>
      </w:r>
      <w:r w:rsidR="004B5F83" w:rsidRPr="00826B76">
        <w:rPr>
          <w:rFonts w:ascii="ITC Avant Garde" w:eastAsia="Calibri" w:hAnsi="ITC Avant Garde" w:cs="Arial"/>
          <w:bCs/>
        </w:rPr>
        <w:t xml:space="preserve"> </w:t>
      </w:r>
      <w:r w:rsidR="00EA16AE" w:rsidRPr="00826B76">
        <w:rPr>
          <w:rFonts w:ascii="ITC Avant Garde" w:eastAsia="Calibri" w:hAnsi="ITC Avant Garde" w:cs="Arial"/>
          <w:bCs/>
        </w:rPr>
        <w:t>la plataforma que le permite al Cliente</w:t>
      </w:r>
      <w:r w:rsidR="004B5F83" w:rsidRPr="00826B76">
        <w:rPr>
          <w:rFonts w:ascii="ITC Avant Garde" w:eastAsia="Calibri" w:hAnsi="ITC Avant Garde" w:cs="Arial"/>
          <w:bCs/>
        </w:rPr>
        <w:t xml:space="preserve"> gestionar el servicio</w:t>
      </w:r>
      <w:r w:rsidR="00EA16AE" w:rsidRPr="00826B76">
        <w:rPr>
          <w:rFonts w:ascii="ITC Avant Garde" w:eastAsia="Calibri" w:hAnsi="ITC Avant Garde" w:cs="Arial"/>
          <w:bCs/>
        </w:rPr>
        <w:t xml:space="preserve"> como los módulos de creación de SIM, gestión de e</w:t>
      </w:r>
      <w:r w:rsidR="004B5F83" w:rsidRPr="00826B76">
        <w:rPr>
          <w:rFonts w:ascii="ITC Avant Garde" w:eastAsia="Calibri" w:hAnsi="ITC Avant Garde" w:cs="Arial"/>
          <w:bCs/>
        </w:rPr>
        <w:t xml:space="preserve">stados de </w:t>
      </w:r>
      <w:r w:rsidR="00EA16AE" w:rsidRPr="00826B76">
        <w:rPr>
          <w:rFonts w:ascii="ITC Avant Garde" w:eastAsia="Calibri" w:hAnsi="ITC Avant Garde" w:cs="Arial"/>
          <w:bCs/>
        </w:rPr>
        <w:t>s</w:t>
      </w:r>
      <w:r w:rsidR="004B5F83" w:rsidRPr="00826B76">
        <w:rPr>
          <w:rFonts w:ascii="ITC Avant Garde" w:eastAsia="Calibri" w:hAnsi="ITC Avant Garde" w:cs="Arial"/>
          <w:bCs/>
        </w:rPr>
        <w:t>ubscripción</w:t>
      </w:r>
      <w:r w:rsidR="00EA16AE" w:rsidRPr="00826B76">
        <w:rPr>
          <w:rFonts w:ascii="ITC Avant Garde" w:eastAsia="Calibri" w:hAnsi="ITC Avant Garde" w:cs="Arial"/>
          <w:bCs/>
        </w:rPr>
        <w:t xml:space="preserve"> del usuario final, reportes y conciliación de tráfico, entre otros.</w:t>
      </w:r>
    </w:p>
    <w:p w14:paraId="78253EC7" w14:textId="77777777" w:rsidR="00826B76" w:rsidRPr="00826B76" w:rsidRDefault="00EC53D6" w:rsidP="00826B76">
      <w:pPr>
        <w:pStyle w:val="IFTnormal"/>
        <w:spacing w:before="240"/>
        <w:rPr>
          <w:color w:val="auto"/>
        </w:rPr>
      </w:pPr>
      <w:r w:rsidRPr="00826B76">
        <w:rPr>
          <w:color w:val="auto"/>
        </w:rPr>
        <w:t>De conformidad con la Concesión los términos y condiciones que formen parte de la</w:t>
      </w:r>
      <w:r w:rsidR="00D43226" w:rsidRPr="00826B76">
        <w:rPr>
          <w:color w:val="auto"/>
        </w:rPr>
        <w:t xml:space="preserve"> Oferta de Referencia </w:t>
      </w:r>
      <w:r w:rsidRPr="00826B76">
        <w:rPr>
          <w:color w:val="auto"/>
        </w:rPr>
        <w:t xml:space="preserve">deben ser revisados por el Instituto, con ello se </w:t>
      </w:r>
      <w:r w:rsidR="00D43226" w:rsidRPr="00826B76">
        <w:rPr>
          <w:color w:val="auto"/>
        </w:rPr>
        <w:t xml:space="preserve">otorga certeza en la provisión de </w:t>
      </w:r>
      <w:r w:rsidR="00AE7D41" w:rsidRPr="00826B76">
        <w:rPr>
          <w:color w:val="auto"/>
        </w:rPr>
        <w:t xml:space="preserve">los Servicios Mayoristas de Telecomunicaciones al establecer los términos y condiciones bajo los cuales se realizará la prestación de dichos servicios. </w:t>
      </w:r>
    </w:p>
    <w:p w14:paraId="67EF93B6" w14:textId="77777777" w:rsidR="00826B76" w:rsidRPr="00826B76" w:rsidRDefault="00D43226" w:rsidP="00826B76">
      <w:pPr>
        <w:pStyle w:val="IFTnormal"/>
        <w:spacing w:before="240"/>
        <w:rPr>
          <w:color w:val="auto"/>
        </w:rPr>
      </w:pPr>
      <w:r w:rsidRPr="00826B76">
        <w:rPr>
          <w:color w:val="auto"/>
        </w:rPr>
        <w:t>La supervisión del Instituto tiene como</w:t>
      </w:r>
      <w:r w:rsidR="00AE7D41" w:rsidRPr="00826B76">
        <w:rPr>
          <w:color w:val="auto"/>
        </w:rPr>
        <w:t xml:space="preserve"> propósito que los s</w:t>
      </w:r>
      <w:r w:rsidRPr="00826B76">
        <w:rPr>
          <w:color w:val="auto"/>
        </w:rPr>
        <w:t xml:space="preserve">ervicios mayoristas se presten de manera justa y equitativa, evitando incurrir en prácticas </w:t>
      </w:r>
      <w:r w:rsidR="00EC53D6" w:rsidRPr="00826B76">
        <w:rPr>
          <w:color w:val="auto"/>
        </w:rPr>
        <w:t>discriminatorias</w:t>
      </w:r>
      <w:r w:rsidRPr="00826B76">
        <w:rPr>
          <w:color w:val="auto"/>
        </w:rPr>
        <w:t xml:space="preserve"> en la prestación de los mismos,</w:t>
      </w:r>
      <w:r w:rsidR="00EC53D6" w:rsidRPr="00826B76">
        <w:rPr>
          <w:color w:val="auto"/>
        </w:rPr>
        <w:t xml:space="preserve"> que cumplan con lo establecido en el marco legal y regulatorio aplicable,</w:t>
      </w:r>
      <w:r w:rsidRPr="00826B76">
        <w:rPr>
          <w:color w:val="auto"/>
        </w:rPr>
        <w:t xml:space="preserve"> por lo que se hace necesario que el Instituto pueda solicitar y realizar modificaciones a</w:t>
      </w:r>
      <w:r w:rsidR="00AE7D41" w:rsidRPr="00826B76">
        <w:rPr>
          <w:color w:val="auto"/>
        </w:rPr>
        <w:t xml:space="preserve"> la Oferta</w:t>
      </w:r>
      <w:r w:rsidRPr="00826B76">
        <w:rPr>
          <w:color w:val="auto"/>
        </w:rPr>
        <w:t xml:space="preserve"> de Referencia para asegurar que los términos y </w:t>
      </w:r>
      <w:r w:rsidRPr="00826B76">
        <w:rPr>
          <w:color w:val="auto"/>
        </w:rPr>
        <w:lastRenderedPageBreak/>
        <w:t>condiciones que se establezcan permitan mejorar la competencia en el mercado y conseguir mejores condiciones de calidad y precio para los consumidores.</w:t>
      </w:r>
    </w:p>
    <w:p w14:paraId="173C3CF1" w14:textId="77777777" w:rsidR="00826B76" w:rsidRPr="00826B76" w:rsidRDefault="00FC78EF" w:rsidP="00826B76">
      <w:pPr>
        <w:pStyle w:val="IFTnormal"/>
        <w:spacing w:before="240"/>
        <w:rPr>
          <w:lang w:val="es-ES"/>
        </w:rPr>
      </w:pPr>
      <w:r w:rsidRPr="00826B76">
        <w:rPr>
          <w:lang w:val="es-ES"/>
        </w:rPr>
        <w:t>De esta forma se observa que en cumplimiento a</w:t>
      </w:r>
      <w:r w:rsidR="00925F79" w:rsidRPr="00826B76">
        <w:rPr>
          <w:lang w:val="es-ES"/>
        </w:rPr>
        <w:t xml:space="preserve"> la Condición 12 de la Concesión</w:t>
      </w:r>
      <w:r w:rsidRPr="00826B76">
        <w:rPr>
          <w:lang w:val="es-ES"/>
        </w:rPr>
        <w:t xml:space="preserve">, la Oferta de Referencia </w:t>
      </w:r>
      <w:r w:rsidR="00DA7C17" w:rsidRPr="00826B76">
        <w:rPr>
          <w:lang w:val="es-ES"/>
        </w:rPr>
        <w:t xml:space="preserve">presentada por </w:t>
      </w:r>
      <w:r w:rsidR="00925F79" w:rsidRPr="00826B76">
        <w:rPr>
          <w:lang w:val="es-ES"/>
        </w:rPr>
        <w:t>Altán</w:t>
      </w:r>
      <w:r w:rsidR="008779D5" w:rsidRPr="00826B76">
        <w:rPr>
          <w:lang w:val="es-ES"/>
        </w:rPr>
        <w:t xml:space="preserve"> </w:t>
      </w:r>
      <w:r w:rsidRPr="00826B76">
        <w:rPr>
          <w:lang w:val="es-ES"/>
        </w:rPr>
        <w:t>deberá ser aprobad</w:t>
      </w:r>
      <w:r w:rsidR="002261FF" w:rsidRPr="00826B76">
        <w:rPr>
          <w:lang w:val="es-ES"/>
        </w:rPr>
        <w:t>a</w:t>
      </w:r>
      <w:r w:rsidRPr="00826B76">
        <w:rPr>
          <w:lang w:val="es-ES"/>
        </w:rPr>
        <w:t xml:space="preserve"> por el Instituto, </w:t>
      </w:r>
      <w:r w:rsidR="002261FF" w:rsidRPr="00826B76">
        <w:rPr>
          <w:lang w:val="es-ES"/>
        </w:rPr>
        <w:t xml:space="preserve">pues éste </w:t>
      </w:r>
      <w:r w:rsidRPr="00826B76">
        <w:rPr>
          <w:lang w:val="es-ES"/>
        </w:rPr>
        <w:t xml:space="preserve">tiene la obligación de vigilar en todo momento que </w:t>
      </w:r>
      <w:r w:rsidR="008779D5" w:rsidRPr="00826B76">
        <w:rPr>
          <w:lang w:val="es-ES"/>
        </w:rPr>
        <w:t>dicha Oferta</w:t>
      </w:r>
      <w:r w:rsidRPr="00826B76">
        <w:rPr>
          <w:lang w:val="es-ES"/>
        </w:rPr>
        <w:t xml:space="preserve"> </w:t>
      </w:r>
      <w:r w:rsidR="00925F79" w:rsidRPr="00826B76">
        <w:rPr>
          <w:lang w:val="es-ES"/>
        </w:rPr>
        <w:t xml:space="preserve">no implique un trato discriminatorio, barreras de entrada, </w:t>
      </w:r>
      <w:r w:rsidR="002250B8" w:rsidRPr="00826B76">
        <w:rPr>
          <w:lang w:val="es-ES"/>
        </w:rPr>
        <w:t>o cualquier otra cuestión que inhiba la competencia</w:t>
      </w:r>
      <w:r w:rsidRPr="00826B76">
        <w:rPr>
          <w:lang w:val="es-ES"/>
        </w:rPr>
        <w:t>. De esta forma</w:t>
      </w:r>
      <w:r w:rsidR="002261FF" w:rsidRPr="00826B76">
        <w:rPr>
          <w:lang w:val="es-ES"/>
        </w:rPr>
        <w:t>,</w:t>
      </w:r>
      <w:r w:rsidRPr="00826B76">
        <w:rPr>
          <w:lang w:val="es-ES"/>
        </w:rPr>
        <w:t xml:space="preserve"> el Instituto cuenta</w:t>
      </w:r>
      <w:r w:rsidR="00925F79" w:rsidRPr="00826B76">
        <w:rPr>
          <w:lang w:val="es-ES"/>
        </w:rPr>
        <w:t xml:space="preserve"> con la facultad de requerir a Altán </w:t>
      </w:r>
      <w:r w:rsidRPr="00826B76">
        <w:rPr>
          <w:lang w:val="es-ES"/>
        </w:rPr>
        <w:t>modificar los términos y condiciones de la</w:t>
      </w:r>
      <w:r w:rsidR="00DF0D66" w:rsidRPr="00826B76">
        <w:rPr>
          <w:lang w:val="es-ES"/>
        </w:rPr>
        <w:t xml:space="preserve"> misma</w:t>
      </w:r>
      <w:r w:rsidRPr="00826B76">
        <w:rPr>
          <w:lang w:val="es-ES"/>
        </w:rPr>
        <w:t>, cuando a su juicio no se ajusten a lo establecido en la</w:t>
      </w:r>
      <w:r w:rsidR="00925F79" w:rsidRPr="00826B76">
        <w:rPr>
          <w:lang w:val="es-ES"/>
        </w:rPr>
        <w:t xml:space="preserve"> Concesión</w:t>
      </w:r>
      <w:r w:rsidRPr="00826B76">
        <w:rPr>
          <w:lang w:val="es-ES"/>
        </w:rPr>
        <w:t>.</w:t>
      </w:r>
    </w:p>
    <w:p w14:paraId="38ED7E9B" w14:textId="77777777" w:rsidR="00826B76" w:rsidRPr="00826B76" w:rsidRDefault="009E5049" w:rsidP="00826B76">
      <w:pPr>
        <w:pStyle w:val="IFTnormal"/>
        <w:spacing w:before="240"/>
        <w:rPr>
          <w:color w:val="auto"/>
        </w:rPr>
      </w:pPr>
      <w:r w:rsidRPr="00826B76">
        <w:rPr>
          <w:rFonts w:eastAsia="Times New Roman"/>
          <w:b/>
          <w:bCs/>
          <w:iCs/>
        </w:rPr>
        <w:t>CUARTO</w:t>
      </w:r>
      <w:r w:rsidR="006E5A3E" w:rsidRPr="00826B76">
        <w:rPr>
          <w:rFonts w:eastAsia="Times New Roman"/>
          <w:b/>
          <w:bCs/>
          <w:iCs/>
        </w:rPr>
        <w:t xml:space="preserve">.- Análisis de la </w:t>
      </w:r>
      <w:r w:rsidR="00A1473D" w:rsidRPr="00826B76">
        <w:rPr>
          <w:rFonts w:eastAsia="Times New Roman"/>
          <w:b/>
          <w:bCs/>
          <w:iCs/>
        </w:rPr>
        <w:t xml:space="preserve">Propuesta de la </w:t>
      </w:r>
      <w:r w:rsidR="007218CC" w:rsidRPr="00826B76">
        <w:rPr>
          <w:rFonts w:eastAsia="Times New Roman"/>
          <w:b/>
          <w:bCs/>
          <w:iCs/>
        </w:rPr>
        <w:t xml:space="preserve">Oferta de Referencia para la </w:t>
      </w:r>
      <w:r w:rsidRPr="00826B76">
        <w:rPr>
          <w:rFonts w:eastAsia="Times New Roman"/>
          <w:b/>
          <w:bCs/>
          <w:iCs/>
        </w:rPr>
        <w:t>prestación de servicios de telecomunicaciones</w:t>
      </w:r>
      <w:r w:rsidR="00A1473D" w:rsidRPr="00826B76">
        <w:rPr>
          <w:rFonts w:eastAsia="Times New Roman"/>
          <w:b/>
          <w:bCs/>
          <w:iCs/>
        </w:rPr>
        <w:t>.</w:t>
      </w:r>
      <w:r w:rsidR="00FE55F6" w:rsidRPr="00826B76">
        <w:rPr>
          <w:rFonts w:eastAsia="Times New Roman"/>
          <w:b/>
          <w:bCs/>
          <w:iCs/>
        </w:rPr>
        <w:t xml:space="preserve"> </w:t>
      </w:r>
      <w:r w:rsidR="00FE55F6" w:rsidRPr="00826B76">
        <w:rPr>
          <w:color w:val="auto"/>
        </w:rPr>
        <w:t>Se observa que en cumplimiento a la</w:t>
      </w:r>
      <w:r w:rsidR="00ED7FAD" w:rsidRPr="00826B76">
        <w:rPr>
          <w:color w:val="auto"/>
        </w:rPr>
        <w:t xml:space="preserve"> Condición 12 de la Concesión</w:t>
      </w:r>
      <w:r w:rsidR="00FE55F6" w:rsidRPr="00826B76">
        <w:rPr>
          <w:color w:val="auto"/>
        </w:rPr>
        <w:t xml:space="preserve">, la Oferta de Referencia </w:t>
      </w:r>
      <w:r w:rsidR="00CF4A12" w:rsidRPr="00826B76">
        <w:rPr>
          <w:color w:val="auto"/>
        </w:rPr>
        <w:t xml:space="preserve">está conformada por </w:t>
      </w:r>
      <w:r w:rsidR="00FE55F6" w:rsidRPr="00826B76">
        <w:rPr>
          <w:color w:val="auto"/>
        </w:rPr>
        <w:t xml:space="preserve">el modelo de </w:t>
      </w:r>
      <w:r w:rsidR="00F21E3F" w:rsidRPr="00826B76">
        <w:rPr>
          <w:color w:val="auto"/>
        </w:rPr>
        <w:t>Convenio</w:t>
      </w:r>
      <w:r w:rsidR="00CF4A12" w:rsidRPr="00826B76">
        <w:rPr>
          <w:color w:val="auto"/>
        </w:rPr>
        <w:t xml:space="preserve">, Anexos y Apéndices mismos que </w:t>
      </w:r>
      <w:r w:rsidR="00FE55F6" w:rsidRPr="00826B76">
        <w:rPr>
          <w:color w:val="auto"/>
        </w:rPr>
        <w:t>deberán de ser aprobados por el Instituto, pues éste tiene la obligación de vigilar en todo momento que dichos documentos autorizados cu</w:t>
      </w:r>
      <w:r w:rsidR="00ED7FAD" w:rsidRPr="00826B76">
        <w:rPr>
          <w:color w:val="auto"/>
        </w:rPr>
        <w:t>mplan con lo establecido en la Concesión</w:t>
      </w:r>
      <w:r w:rsidR="00FE55F6" w:rsidRPr="00826B76">
        <w:rPr>
          <w:color w:val="auto"/>
        </w:rPr>
        <w:t>. En consecuencia, el Instituto cuenta con la facultad de requerir a</w:t>
      </w:r>
      <w:r w:rsidR="00ED7FAD" w:rsidRPr="00826B76">
        <w:rPr>
          <w:color w:val="auto"/>
        </w:rPr>
        <w:t xml:space="preserve"> Altán</w:t>
      </w:r>
      <w:r w:rsidR="00FE55F6" w:rsidRPr="00826B76">
        <w:rPr>
          <w:color w:val="auto"/>
        </w:rPr>
        <w:t xml:space="preserve"> modificar los términos y condiciones de la Propuesta de Oferta de Referencia cuando a su juicio no se ajusten a lo establecido en </w:t>
      </w:r>
      <w:r w:rsidR="00ED7FAD" w:rsidRPr="00826B76">
        <w:rPr>
          <w:color w:val="auto"/>
        </w:rPr>
        <w:t>la Concesión</w:t>
      </w:r>
      <w:r w:rsidR="00193938" w:rsidRPr="00826B76">
        <w:rPr>
          <w:color w:val="auto"/>
        </w:rPr>
        <w:t xml:space="preserve"> y a las disposiciones legales y regulatorias aplicables</w:t>
      </w:r>
      <w:r w:rsidR="00FE55F6" w:rsidRPr="00826B76">
        <w:rPr>
          <w:color w:val="auto"/>
        </w:rPr>
        <w:t xml:space="preserve">. </w:t>
      </w:r>
    </w:p>
    <w:p w14:paraId="5E1F2467" w14:textId="77777777" w:rsidR="00826B76" w:rsidRPr="00826B76" w:rsidRDefault="00FE55F6" w:rsidP="00826B76">
      <w:pPr>
        <w:pStyle w:val="IFTnormal"/>
        <w:spacing w:before="240"/>
      </w:pPr>
      <w:r w:rsidRPr="00826B76">
        <w:rPr>
          <w:color w:val="auto"/>
        </w:rPr>
        <w:t xml:space="preserve">Por ello a continuación se procede a analizar aquellas condiciones contenidas en la Propuesta de Oferta de Referencia </w:t>
      </w:r>
      <w:r w:rsidR="00CF4A12" w:rsidRPr="00826B76">
        <w:rPr>
          <w:color w:val="auto"/>
        </w:rPr>
        <w:t>presentada</w:t>
      </w:r>
      <w:r w:rsidR="00ED7FAD" w:rsidRPr="00826B76">
        <w:rPr>
          <w:color w:val="auto"/>
        </w:rPr>
        <w:t xml:space="preserve"> por Altán</w:t>
      </w:r>
      <w:r w:rsidRPr="00826B76">
        <w:rPr>
          <w:color w:val="auto"/>
        </w:rPr>
        <w:t>, p</w:t>
      </w:r>
      <w:r w:rsidR="00B10580" w:rsidRPr="00826B76">
        <w:rPr>
          <w:color w:val="auto"/>
        </w:rPr>
        <w:t>ara contrastarlas con</w:t>
      </w:r>
      <w:r w:rsidRPr="00826B76">
        <w:rPr>
          <w:color w:val="auto"/>
        </w:rPr>
        <w:t xml:space="preserve"> lo establecido en la</w:t>
      </w:r>
      <w:r w:rsidR="00ED7FAD" w:rsidRPr="00826B76">
        <w:rPr>
          <w:color w:val="auto"/>
        </w:rPr>
        <w:t xml:space="preserve"> Concesión</w:t>
      </w:r>
      <w:r w:rsidR="002250B8" w:rsidRPr="00826B76">
        <w:rPr>
          <w:color w:val="auto"/>
        </w:rPr>
        <w:t>,</w:t>
      </w:r>
      <w:r w:rsidR="00B10580" w:rsidRPr="00826B76">
        <w:rPr>
          <w:color w:val="auto"/>
        </w:rPr>
        <w:t xml:space="preserve"> y evitar que faciliten</w:t>
      </w:r>
      <w:r w:rsidR="002250B8" w:rsidRPr="00826B76">
        <w:rPr>
          <w:color w:val="auto"/>
        </w:rPr>
        <w:t xml:space="preserve"> </w:t>
      </w:r>
      <w:r w:rsidR="00B10580" w:rsidRPr="00826B76">
        <w:rPr>
          <w:color w:val="auto"/>
        </w:rPr>
        <w:t>o</w:t>
      </w:r>
      <w:r w:rsidR="00B10580" w:rsidRPr="00826B76">
        <w:rPr>
          <w:lang w:val="es-ES"/>
        </w:rPr>
        <w:t xml:space="preserve"> </w:t>
      </w:r>
      <w:r w:rsidR="00ED7FAD" w:rsidRPr="00826B76">
        <w:rPr>
          <w:lang w:val="es-ES"/>
        </w:rPr>
        <w:t>implique</w:t>
      </w:r>
      <w:r w:rsidR="002250B8" w:rsidRPr="00826B76">
        <w:rPr>
          <w:lang w:val="es-ES"/>
        </w:rPr>
        <w:t>n</w:t>
      </w:r>
      <w:r w:rsidR="00ED7FAD" w:rsidRPr="00826B76">
        <w:rPr>
          <w:lang w:val="es-ES"/>
        </w:rPr>
        <w:t xml:space="preserve"> un trato discriminatorio, barreras de </w:t>
      </w:r>
      <w:r w:rsidR="002250B8" w:rsidRPr="00826B76">
        <w:rPr>
          <w:lang w:val="es-ES"/>
        </w:rPr>
        <w:t xml:space="preserve">entrada o </w:t>
      </w:r>
      <w:r w:rsidR="00ED7FAD" w:rsidRPr="00826B76">
        <w:rPr>
          <w:lang w:val="es-ES"/>
        </w:rPr>
        <w:t xml:space="preserve">cualquier </w:t>
      </w:r>
      <w:r w:rsidR="008E3E36" w:rsidRPr="00826B76">
        <w:rPr>
          <w:lang w:val="es-ES"/>
        </w:rPr>
        <w:t>otra que pueda inhibir la competencia</w:t>
      </w:r>
      <w:r w:rsidRPr="00826B76">
        <w:t>. Por lo que este Instituto requiere a</w:t>
      </w:r>
      <w:r w:rsidR="00ED7FAD" w:rsidRPr="00826B76">
        <w:t xml:space="preserve"> Altán</w:t>
      </w:r>
      <w:r w:rsidRPr="00826B76">
        <w:t xml:space="preserve"> entre otras cosas, que sus términos y condiciones generen certeza, sean claras, proporcionales</w:t>
      </w:r>
      <w:r w:rsidR="00ED7FAD" w:rsidRPr="00826B76">
        <w:t>, no abusivas, equitativas, recí</w:t>
      </w:r>
      <w:r w:rsidRPr="00826B76">
        <w:t xml:space="preserve">procas, reduzcan asimetrías de información, no discriminen y </w:t>
      </w:r>
      <w:r w:rsidR="00ED7FAD" w:rsidRPr="00826B76">
        <w:t>sean transparentes.</w:t>
      </w:r>
      <w:r w:rsidRPr="00826B76">
        <w:t xml:space="preserve"> </w:t>
      </w:r>
    </w:p>
    <w:p w14:paraId="6BE0891B" w14:textId="77777777" w:rsidR="00826B76" w:rsidRPr="00826B76" w:rsidRDefault="00FE55F6" w:rsidP="00826B76">
      <w:pPr>
        <w:pStyle w:val="IFTnormal"/>
        <w:spacing w:before="240"/>
        <w:rPr>
          <w:color w:val="auto"/>
        </w:rPr>
      </w:pPr>
      <w:r w:rsidRPr="00826B76">
        <w:rPr>
          <w:color w:val="auto"/>
        </w:rPr>
        <w:t xml:space="preserve">Dado lo anterior, </w:t>
      </w:r>
      <w:r w:rsidR="006B5587" w:rsidRPr="00826B76">
        <w:rPr>
          <w:color w:val="auto"/>
        </w:rPr>
        <w:t xml:space="preserve">el Instituto requiere a Altán que cualquier modificación solicitada en los siguientes apartados sea reflejada a lo largo de los documentos que integrarán la Oferta de Referencia que presentará a </w:t>
      </w:r>
      <w:r w:rsidR="00C700AA" w:rsidRPr="00826B76">
        <w:rPr>
          <w:color w:val="auto"/>
        </w:rPr>
        <w:t xml:space="preserve">más tardar a </w:t>
      </w:r>
      <w:r w:rsidR="006B5587" w:rsidRPr="00826B76">
        <w:rPr>
          <w:color w:val="auto"/>
        </w:rPr>
        <w:t>los 10 (diez) días hábiles posteriores a la notificación del presente Acuerdo para la autorización o modificación de sus términos y condiciones por parte del Instituto</w:t>
      </w:r>
      <w:r w:rsidRPr="00826B76">
        <w:rPr>
          <w:color w:val="auto"/>
        </w:rPr>
        <w:t>.</w:t>
      </w:r>
    </w:p>
    <w:p w14:paraId="24AE51E9" w14:textId="77777777" w:rsidR="00826B76" w:rsidRPr="00826B76" w:rsidRDefault="009E5049" w:rsidP="00826B76">
      <w:pPr>
        <w:spacing w:before="240" w:after="200"/>
        <w:jc w:val="both"/>
        <w:rPr>
          <w:rFonts w:ascii="ITC Avant Garde" w:hAnsi="ITC Avant Garde"/>
          <w:b/>
          <w:color w:val="000000"/>
          <w:u w:val="single"/>
          <w:lang w:val="es-ES"/>
        </w:rPr>
      </w:pPr>
      <w:r w:rsidRPr="00826B76">
        <w:rPr>
          <w:rFonts w:ascii="ITC Avant Garde" w:hAnsi="ITC Avant Garde"/>
          <w:b/>
          <w:color w:val="000000"/>
          <w:u w:val="single"/>
          <w:lang w:val="es-ES"/>
        </w:rPr>
        <w:t>Contrato Marco de Prestación de Servicios de Telecomunicaciones</w:t>
      </w:r>
    </w:p>
    <w:p w14:paraId="7F256043" w14:textId="77777777" w:rsidR="00826B76" w:rsidRPr="00826B76" w:rsidRDefault="00ED131B"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Declaraciones.</w:t>
      </w:r>
      <w:r w:rsidRPr="00826B76">
        <w:rPr>
          <w:rFonts w:ascii="ITC Avant Garde" w:eastAsia="Times New Roman" w:hAnsi="ITC Avant Garde" w:cs="Arial"/>
          <w:bCs/>
          <w:iCs/>
          <w:lang w:val="es-ES_tradnl"/>
        </w:rPr>
        <w:t xml:space="preserve"> El inciso II, correspondiente a las declaraciones del Cliente incluye en el inciso i. que nada de lo establecido en el Contrato otorga al Cliente influencia alguna en la operación de la Red Compartida, asimismo el inciso ii. señala que Altán no </w:t>
      </w:r>
      <w:r w:rsidRPr="00826B76">
        <w:rPr>
          <w:rFonts w:ascii="ITC Avant Garde" w:eastAsia="Times New Roman" w:hAnsi="ITC Avant Garde" w:cs="Arial"/>
          <w:bCs/>
          <w:iCs/>
          <w:lang w:val="es-ES_tradnl"/>
        </w:rPr>
        <w:lastRenderedPageBreak/>
        <w:t>condicionó la prestación de los servicios a la contratación o adquisición de bienes o servicios provistos por Altán o un tercero. De lo anterior, se requiere la eliminación de dichos incisos al no considerarse</w:t>
      </w:r>
      <w:r w:rsidR="00C700AA" w:rsidRPr="00826B76">
        <w:rPr>
          <w:rFonts w:ascii="ITC Avant Garde" w:eastAsia="Times New Roman" w:hAnsi="ITC Avant Garde" w:cs="Arial"/>
          <w:bCs/>
          <w:iCs/>
          <w:lang w:val="es-ES_tradnl"/>
        </w:rPr>
        <w:t xml:space="preserve"> que las mismas </w:t>
      </w:r>
      <w:r w:rsidR="00B10580" w:rsidRPr="00826B76">
        <w:rPr>
          <w:rFonts w:ascii="ITC Avant Garde" w:eastAsia="Times New Roman" w:hAnsi="ITC Avant Garde" w:cs="Arial"/>
          <w:bCs/>
          <w:iCs/>
          <w:lang w:val="es-ES_tradnl"/>
        </w:rPr>
        <w:t xml:space="preserve">no </w:t>
      </w:r>
      <w:r w:rsidR="00C700AA" w:rsidRPr="00826B76">
        <w:rPr>
          <w:rFonts w:ascii="ITC Avant Garde" w:eastAsia="Times New Roman" w:hAnsi="ITC Avant Garde" w:cs="Arial"/>
          <w:bCs/>
          <w:iCs/>
          <w:lang w:val="es-ES_tradnl"/>
        </w:rPr>
        <w:t>deb</w:t>
      </w:r>
      <w:r w:rsidR="00B10580" w:rsidRPr="00826B76">
        <w:rPr>
          <w:rFonts w:ascii="ITC Avant Garde" w:eastAsia="Times New Roman" w:hAnsi="ITC Avant Garde" w:cs="Arial"/>
          <w:bCs/>
          <w:iCs/>
          <w:lang w:val="es-ES_tradnl"/>
        </w:rPr>
        <w:t>e</w:t>
      </w:r>
      <w:r w:rsidR="00C700AA" w:rsidRPr="00826B76">
        <w:rPr>
          <w:rFonts w:ascii="ITC Avant Garde" w:eastAsia="Times New Roman" w:hAnsi="ITC Avant Garde" w:cs="Arial"/>
          <w:bCs/>
          <w:iCs/>
          <w:lang w:val="es-ES_tradnl"/>
        </w:rPr>
        <w:t>n formar parte</w:t>
      </w:r>
      <w:r w:rsidRPr="00826B76">
        <w:rPr>
          <w:rFonts w:ascii="ITC Avant Garde" w:eastAsia="Times New Roman" w:hAnsi="ITC Avant Garde" w:cs="Arial"/>
          <w:bCs/>
          <w:iCs/>
          <w:lang w:val="es-ES_tradnl"/>
        </w:rPr>
        <w:t xml:space="preserve"> </w:t>
      </w:r>
      <w:r w:rsidR="00B10580" w:rsidRPr="00826B76">
        <w:rPr>
          <w:rFonts w:ascii="ITC Avant Garde" w:eastAsia="Times New Roman" w:hAnsi="ITC Avant Garde" w:cs="Arial"/>
          <w:bCs/>
          <w:iCs/>
          <w:lang w:val="es-ES_tradnl"/>
        </w:rPr>
        <w:t xml:space="preserve">de las </w:t>
      </w:r>
      <w:r w:rsidR="00C700AA" w:rsidRPr="00826B76">
        <w:rPr>
          <w:rFonts w:ascii="ITC Avant Garde" w:eastAsia="Times New Roman" w:hAnsi="ITC Avant Garde" w:cs="Arial"/>
          <w:bCs/>
          <w:iCs/>
          <w:lang w:val="es-ES_tradnl"/>
        </w:rPr>
        <w:t>declaraciones</w:t>
      </w:r>
      <w:r w:rsidRPr="00826B76">
        <w:rPr>
          <w:rFonts w:ascii="ITC Avant Garde" w:eastAsia="Times New Roman" w:hAnsi="ITC Avant Garde" w:cs="Arial"/>
          <w:bCs/>
          <w:iCs/>
          <w:lang w:val="es-ES_tradnl"/>
        </w:rPr>
        <w:t xml:space="preserve"> del Cliente.</w:t>
      </w:r>
    </w:p>
    <w:p w14:paraId="66CDAF5A" w14:textId="77777777" w:rsidR="00826B76" w:rsidRPr="00826B76" w:rsidRDefault="00ED131B"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
          <w:bCs/>
          <w:iCs/>
          <w:lang w:val="es-ES_tradnl"/>
        </w:rPr>
        <w:t xml:space="preserve">Anexos y Apéndices. </w:t>
      </w:r>
      <w:r w:rsidRPr="00826B76">
        <w:rPr>
          <w:rFonts w:ascii="ITC Avant Garde" w:eastAsia="Times New Roman" w:hAnsi="ITC Avant Garde" w:cs="Arial"/>
          <w:bCs/>
          <w:iCs/>
          <w:lang w:val="es-ES_tradnl"/>
        </w:rPr>
        <w:t>Se requiere enumerar la lista de Anexos y Apéndices señalados en el numeral 1.1 así como incluir los nombres correspondientes.</w:t>
      </w:r>
    </w:p>
    <w:p w14:paraId="023E7AE2" w14:textId="77777777" w:rsidR="00826B76" w:rsidRPr="00826B76" w:rsidRDefault="00404203"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Segunda. Suscripción de Anexos. </w:t>
      </w:r>
      <w:r w:rsidRPr="00826B76">
        <w:rPr>
          <w:rFonts w:ascii="ITC Avant Garde" w:eastAsia="Times New Roman" w:hAnsi="ITC Avant Garde" w:cs="Arial"/>
          <w:bCs/>
          <w:iCs/>
          <w:lang w:val="es-ES_tradnl"/>
        </w:rPr>
        <w:t>En el numeral 2.3 Servicios Adicionales, se señala que se podrán incorporar servicios adicionales mediante la suscripción de los anexos y apéndices correspondientes, de lo cual se requiere precisar que los mismos deberán ser inscritos en el Registro Público de Telecomunicaciones de con</w:t>
      </w:r>
      <w:r w:rsidR="00C700AA" w:rsidRPr="00826B76">
        <w:rPr>
          <w:rFonts w:ascii="ITC Avant Garde" w:eastAsia="Times New Roman" w:hAnsi="ITC Avant Garde" w:cs="Arial"/>
          <w:bCs/>
          <w:iCs/>
          <w:lang w:val="es-ES_tradnl"/>
        </w:rPr>
        <w:t>formidad con el numeral 7 de la Concesión</w:t>
      </w:r>
      <w:r w:rsidRPr="00826B76">
        <w:rPr>
          <w:rFonts w:ascii="ITC Avant Garde" w:eastAsia="Times New Roman" w:hAnsi="ITC Avant Garde" w:cs="Arial"/>
          <w:bCs/>
          <w:iCs/>
          <w:lang w:val="es-ES_tradnl"/>
        </w:rPr>
        <w:t>.</w:t>
      </w:r>
    </w:p>
    <w:p w14:paraId="4A88DAE9" w14:textId="77777777" w:rsidR="00826B76" w:rsidRPr="00826B76" w:rsidRDefault="00FC009D"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
          <w:bCs/>
          <w:iCs/>
          <w:lang w:val="es-ES_tradnl"/>
        </w:rPr>
        <w:t xml:space="preserve">Cláusula Segunda. </w:t>
      </w:r>
      <w:r w:rsidR="00332203" w:rsidRPr="00826B76">
        <w:rPr>
          <w:rFonts w:ascii="ITC Avant Garde" w:eastAsia="Times New Roman" w:hAnsi="ITC Avant Garde" w:cs="Arial"/>
          <w:b/>
          <w:bCs/>
          <w:iCs/>
          <w:lang w:val="es-ES_tradnl"/>
        </w:rPr>
        <w:t>Monitoreo</w:t>
      </w:r>
      <w:r w:rsidR="002272B4" w:rsidRPr="00826B76">
        <w:rPr>
          <w:rFonts w:ascii="ITC Avant Garde" w:eastAsia="Times New Roman" w:hAnsi="ITC Avant Garde" w:cs="Arial"/>
          <w:b/>
          <w:bCs/>
          <w:iCs/>
          <w:lang w:val="es-ES_tradnl"/>
        </w:rPr>
        <w:t xml:space="preserve"> y Supervisión</w:t>
      </w:r>
      <w:r w:rsidRPr="00826B76">
        <w:rPr>
          <w:rFonts w:ascii="ITC Avant Garde" w:eastAsia="Times New Roman" w:hAnsi="ITC Avant Garde" w:cs="Arial"/>
          <w:b/>
          <w:bCs/>
          <w:iCs/>
          <w:lang w:val="es-ES_tradnl"/>
        </w:rPr>
        <w:t xml:space="preserve">. </w:t>
      </w:r>
      <w:r w:rsidR="0041244B" w:rsidRPr="00826B76">
        <w:rPr>
          <w:rFonts w:ascii="ITC Avant Garde" w:eastAsia="Times New Roman" w:hAnsi="ITC Avant Garde" w:cs="Arial"/>
          <w:bCs/>
          <w:iCs/>
          <w:lang w:val="es-ES_tradnl"/>
        </w:rPr>
        <w:t>En</w:t>
      </w:r>
      <w:r w:rsidR="0041244B" w:rsidRPr="00826B76">
        <w:rPr>
          <w:rFonts w:ascii="ITC Avant Garde" w:eastAsia="Times New Roman" w:hAnsi="ITC Avant Garde" w:cs="Arial"/>
          <w:b/>
          <w:bCs/>
          <w:iCs/>
          <w:lang w:val="es-ES_tradnl"/>
        </w:rPr>
        <w:t xml:space="preserve"> </w:t>
      </w:r>
      <w:r w:rsidR="0041244B" w:rsidRPr="00826B76">
        <w:rPr>
          <w:rFonts w:ascii="ITC Avant Garde" w:eastAsia="Times New Roman" w:hAnsi="ITC Avant Garde" w:cs="Arial"/>
          <w:bCs/>
          <w:iCs/>
          <w:lang w:val="es-ES_tradnl"/>
        </w:rPr>
        <w:t>e</w:t>
      </w:r>
      <w:r w:rsidRPr="00826B76">
        <w:rPr>
          <w:rFonts w:ascii="ITC Avant Garde" w:eastAsia="Times New Roman" w:hAnsi="ITC Avant Garde" w:cs="Arial"/>
          <w:bCs/>
          <w:iCs/>
          <w:lang w:val="es-ES_tradnl"/>
        </w:rPr>
        <w:t>l numeral 2.7</w:t>
      </w:r>
      <w:r w:rsidR="00C765E8" w:rsidRPr="00826B76">
        <w:rPr>
          <w:rFonts w:ascii="ITC Avant Garde" w:eastAsia="Times New Roman" w:hAnsi="ITC Avant Garde" w:cs="Arial"/>
          <w:bCs/>
          <w:iCs/>
          <w:lang w:val="es-ES_tradnl"/>
        </w:rPr>
        <w:t xml:space="preserve"> </w:t>
      </w:r>
      <w:r w:rsidR="0041244B" w:rsidRPr="00826B76">
        <w:rPr>
          <w:rFonts w:ascii="ITC Avant Garde" w:eastAsia="Times New Roman" w:hAnsi="ITC Avant Garde" w:cs="Arial"/>
          <w:bCs/>
          <w:iCs/>
          <w:lang w:val="es-ES_tradnl"/>
        </w:rPr>
        <w:t xml:space="preserve">se establece la facultad de Altán de realizar actividades de monitoreo y supervisión del uso que el Cliente hace de los servicios, sin embargo, </w:t>
      </w:r>
      <w:r w:rsidR="00C765E8" w:rsidRPr="00826B76">
        <w:rPr>
          <w:rFonts w:ascii="ITC Avant Garde" w:eastAsia="Times New Roman" w:hAnsi="ITC Avant Garde" w:cs="Arial"/>
          <w:bCs/>
          <w:iCs/>
          <w:lang w:val="es-ES_tradnl"/>
        </w:rPr>
        <w:t xml:space="preserve">a efecto de que no resulte una condición excesiva y discrecional por parte de Altán dicha empresa deberá justificar por qué es necesario llevar a cabo </w:t>
      </w:r>
      <w:r w:rsidR="0041244B" w:rsidRPr="00826B76">
        <w:rPr>
          <w:rFonts w:ascii="ITC Avant Garde" w:eastAsia="Times New Roman" w:hAnsi="ITC Avant Garde" w:cs="Arial"/>
          <w:bCs/>
          <w:iCs/>
          <w:lang w:val="es-ES_tradnl"/>
        </w:rPr>
        <w:t>dichas actividades</w:t>
      </w:r>
      <w:r w:rsidR="00A12513" w:rsidRPr="00826B76">
        <w:rPr>
          <w:rFonts w:ascii="ITC Avant Garde" w:eastAsia="Times New Roman" w:hAnsi="ITC Avant Garde" w:cs="Arial"/>
          <w:bCs/>
          <w:iCs/>
          <w:lang w:val="es-ES_tradnl"/>
        </w:rPr>
        <w:t>; asimismo deberá especificar limitativamente en qué consistirán estas actividades de monitoreo y supervisión</w:t>
      </w:r>
      <w:r w:rsidR="00E0111D" w:rsidRPr="00826B76">
        <w:rPr>
          <w:rFonts w:ascii="ITC Avant Garde" w:eastAsia="Times New Roman" w:hAnsi="ITC Avant Garde" w:cs="Arial"/>
          <w:bCs/>
          <w:iCs/>
          <w:lang w:val="es-ES_tradnl"/>
        </w:rPr>
        <w:t>.</w:t>
      </w:r>
    </w:p>
    <w:p w14:paraId="46476C9C" w14:textId="77777777" w:rsidR="00826B76" w:rsidRPr="00826B76" w:rsidRDefault="002436DF" w:rsidP="00826B76">
      <w:pPr>
        <w:tabs>
          <w:tab w:val="left" w:pos="567"/>
        </w:tabs>
        <w:spacing w:before="240" w:after="20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Asimismo, es necesario precisar que las actividades de monitoreo o supervisión no implicarán de forma alguna la intervención ilegal o violación de la privacidad de los usuarios finales.</w:t>
      </w:r>
    </w:p>
    <w:p w14:paraId="5214AF86" w14:textId="77777777" w:rsidR="00826B76" w:rsidRPr="00826B76" w:rsidRDefault="00E0111D"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
          <w:bCs/>
          <w:iCs/>
          <w:lang w:val="es-ES_tradnl"/>
        </w:rPr>
        <w:t xml:space="preserve">Cláusula Segunda. Supervisión y Revisión. </w:t>
      </w:r>
      <w:r w:rsidRPr="00826B76">
        <w:rPr>
          <w:rFonts w:ascii="ITC Avant Garde" w:eastAsia="Times New Roman" w:hAnsi="ITC Avant Garde" w:cs="Arial"/>
          <w:bCs/>
          <w:iCs/>
          <w:lang w:val="es-ES_tradnl"/>
        </w:rPr>
        <w:t xml:space="preserve">El numeral 2.7 </w:t>
      </w:r>
      <w:r w:rsidR="00D32DD7" w:rsidRPr="00826B76">
        <w:rPr>
          <w:rFonts w:ascii="ITC Avant Garde" w:eastAsia="Times New Roman" w:hAnsi="ITC Avant Garde" w:cs="Arial"/>
          <w:bCs/>
          <w:iCs/>
          <w:lang w:val="es-ES_tradnl"/>
        </w:rPr>
        <w:t xml:space="preserve">inciso </w:t>
      </w:r>
      <w:r w:rsidR="002272B4" w:rsidRPr="00826B76">
        <w:rPr>
          <w:rFonts w:ascii="ITC Avant Garde" w:eastAsia="Times New Roman" w:hAnsi="ITC Avant Garde" w:cs="Arial"/>
          <w:bCs/>
          <w:iCs/>
          <w:lang w:val="es-ES_tradnl"/>
        </w:rPr>
        <w:t>(</w:t>
      </w:r>
      <w:r w:rsidR="00D32DD7" w:rsidRPr="00826B76">
        <w:rPr>
          <w:rFonts w:ascii="ITC Avant Garde" w:eastAsia="Times New Roman" w:hAnsi="ITC Avant Garde" w:cs="Arial"/>
          <w:bCs/>
          <w:iCs/>
          <w:lang w:val="es-ES_tradnl"/>
        </w:rPr>
        <w:t xml:space="preserve">ii), </w:t>
      </w:r>
      <w:r w:rsidRPr="00826B76">
        <w:rPr>
          <w:rFonts w:ascii="ITC Avant Garde" w:eastAsia="Times New Roman" w:hAnsi="ITC Avant Garde" w:cs="Arial"/>
          <w:bCs/>
          <w:iCs/>
          <w:lang w:val="es-ES_tradnl"/>
        </w:rPr>
        <w:t>señala que ante la revisión de Altán</w:t>
      </w:r>
      <w:r w:rsidR="00D32DD7" w:rsidRPr="00826B76">
        <w:rPr>
          <w:rFonts w:ascii="ITC Avant Garde" w:eastAsia="Times New Roman" w:hAnsi="ITC Avant Garde" w:cs="Arial"/>
          <w:bCs/>
          <w:iCs/>
          <w:lang w:val="es-ES_tradnl"/>
        </w:rPr>
        <w:t xml:space="preserve"> del cumplimiento de las obligaciones del Contrato,</w:t>
      </w:r>
      <w:r w:rsidRPr="00826B76">
        <w:rPr>
          <w:rFonts w:ascii="ITC Avant Garde" w:eastAsia="Times New Roman" w:hAnsi="ITC Avant Garde" w:cs="Arial"/>
          <w:bCs/>
          <w:iCs/>
          <w:lang w:val="es-ES_tradnl"/>
        </w:rPr>
        <w:t xml:space="preserve"> el Cliente deberá proporcionar un espacio de trabajo, suministrar la información que le sea requerida y ejecutar cualquier acción que res</w:t>
      </w:r>
      <w:r w:rsidR="00D32DD7" w:rsidRPr="00826B76">
        <w:rPr>
          <w:rFonts w:ascii="ITC Avant Garde" w:eastAsia="Times New Roman" w:hAnsi="ITC Avant Garde" w:cs="Arial"/>
          <w:bCs/>
          <w:iCs/>
          <w:lang w:val="es-ES_tradnl"/>
        </w:rPr>
        <w:t>ulte necesaria para comprobar dicho</w:t>
      </w:r>
      <w:r w:rsidRPr="00826B76">
        <w:rPr>
          <w:rFonts w:ascii="ITC Avant Garde" w:eastAsia="Times New Roman" w:hAnsi="ITC Avant Garde" w:cs="Arial"/>
          <w:bCs/>
          <w:iCs/>
          <w:lang w:val="es-ES_tradnl"/>
        </w:rPr>
        <w:t xml:space="preserve"> cumplimiento de lo cual, se requiere que Altán precise cuáles son las acciones que pretende </w:t>
      </w:r>
      <w:r w:rsidR="0041244B" w:rsidRPr="00826B76">
        <w:rPr>
          <w:rFonts w:ascii="ITC Avant Garde" w:eastAsia="Times New Roman" w:hAnsi="ITC Avant Garde" w:cs="Arial"/>
          <w:bCs/>
          <w:iCs/>
          <w:lang w:val="es-ES_tradnl"/>
        </w:rPr>
        <w:t xml:space="preserve">que el Cliente ejecute </w:t>
      </w:r>
      <w:r w:rsidRPr="00826B76">
        <w:rPr>
          <w:rFonts w:ascii="ITC Avant Garde" w:eastAsia="Times New Roman" w:hAnsi="ITC Avant Garde" w:cs="Arial"/>
          <w:bCs/>
          <w:iCs/>
          <w:lang w:val="es-ES_tradnl"/>
        </w:rPr>
        <w:t>para comprobar el cumplimiento de las obligaciones señaladas.</w:t>
      </w:r>
    </w:p>
    <w:p w14:paraId="229394B7" w14:textId="77777777" w:rsidR="00826B76" w:rsidRPr="00826B76" w:rsidRDefault="005E7583"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
          <w:bCs/>
          <w:iCs/>
          <w:lang w:val="es-ES_tradnl"/>
        </w:rPr>
        <w:t xml:space="preserve">Cláusula Tercera. Notificación al Cliente. </w:t>
      </w:r>
      <w:r w:rsidRPr="00826B76">
        <w:rPr>
          <w:rFonts w:ascii="ITC Avant Garde" w:eastAsia="Times New Roman" w:hAnsi="ITC Avant Garde" w:cs="Arial"/>
          <w:bCs/>
          <w:iCs/>
          <w:lang w:val="es-ES_tradnl"/>
        </w:rPr>
        <w:t>En el numeral 3.2 se señala que</w:t>
      </w:r>
      <w:r w:rsidR="0041244B" w:rsidRPr="00826B76">
        <w:rPr>
          <w:rFonts w:ascii="ITC Avant Garde" w:eastAsia="Times New Roman" w:hAnsi="ITC Avant Garde" w:cs="Arial"/>
          <w:bCs/>
          <w:iCs/>
          <w:lang w:val="es-ES_tradnl"/>
        </w:rPr>
        <w:t xml:space="preserve"> </w:t>
      </w:r>
      <w:r w:rsidR="008E3E36" w:rsidRPr="00826B76">
        <w:rPr>
          <w:rFonts w:ascii="ITC Avant Garde" w:eastAsia="Times New Roman" w:hAnsi="ITC Avant Garde" w:cs="Arial"/>
          <w:bCs/>
          <w:iCs/>
          <w:lang w:val="es-ES_tradnl"/>
        </w:rPr>
        <w:t>en caso de que</w:t>
      </w:r>
      <w:r w:rsidRPr="00826B76">
        <w:rPr>
          <w:rFonts w:ascii="ITC Avant Garde" w:eastAsia="Times New Roman" w:hAnsi="ITC Avant Garde" w:cs="Arial"/>
          <w:bCs/>
          <w:iCs/>
          <w:lang w:val="es-ES_tradnl"/>
        </w:rPr>
        <w:t xml:space="preserve"> </w:t>
      </w:r>
      <w:r w:rsidR="00AD2DF1" w:rsidRPr="00826B76">
        <w:rPr>
          <w:rFonts w:ascii="ITC Avant Garde" w:eastAsia="Times New Roman" w:hAnsi="ITC Avant Garde" w:cs="Arial"/>
          <w:bCs/>
          <w:iCs/>
          <w:lang w:val="es-ES_tradnl"/>
        </w:rPr>
        <w:t xml:space="preserve">un </w:t>
      </w:r>
      <w:r w:rsidRPr="00826B76">
        <w:rPr>
          <w:rFonts w:ascii="ITC Avant Garde" w:eastAsia="Times New Roman" w:hAnsi="ITC Avant Garde" w:cs="Arial"/>
          <w:bCs/>
          <w:iCs/>
          <w:lang w:val="es-ES_tradnl"/>
        </w:rPr>
        <w:t xml:space="preserve">equipo, software o hardware </w:t>
      </w:r>
      <w:r w:rsidR="00AD2DF1" w:rsidRPr="00826B76">
        <w:rPr>
          <w:rFonts w:ascii="ITC Avant Garde" w:eastAsia="Times New Roman" w:hAnsi="ITC Avant Garde" w:cs="Arial"/>
          <w:bCs/>
          <w:iCs/>
          <w:lang w:val="es-ES_tradnl"/>
        </w:rPr>
        <w:t xml:space="preserve">del Cliente impida </w:t>
      </w:r>
      <w:r w:rsidRPr="00826B76">
        <w:rPr>
          <w:rFonts w:ascii="ITC Avant Garde" w:eastAsia="Times New Roman" w:hAnsi="ITC Avant Garde" w:cs="Arial"/>
          <w:bCs/>
          <w:iCs/>
          <w:lang w:val="es-ES_tradnl"/>
        </w:rPr>
        <w:t>la prestación de los servicios</w:t>
      </w:r>
      <w:r w:rsidR="00AD2DF1" w:rsidRPr="00826B76">
        <w:rPr>
          <w:rFonts w:ascii="ITC Avant Garde" w:eastAsia="Times New Roman" w:hAnsi="ITC Avant Garde" w:cs="Arial"/>
          <w:bCs/>
          <w:iCs/>
          <w:lang w:val="es-ES_tradnl"/>
        </w:rPr>
        <w:t xml:space="preserve">, </w:t>
      </w:r>
      <w:r w:rsidR="008E3E36" w:rsidRPr="00826B76">
        <w:rPr>
          <w:rFonts w:ascii="ITC Avant Garde" w:eastAsia="Times New Roman" w:hAnsi="ITC Avant Garde" w:cs="Arial"/>
          <w:bCs/>
          <w:iCs/>
          <w:lang w:val="es-ES_tradnl"/>
        </w:rPr>
        <w:t>caus</w:t>
      </w:r>
      <w:r w:rsidR="006A366F" w:rsidRPr="00826B76">
        <w:rPr>
          <w:rFonts w:ascii="ITC Avant Garde" w:eastAsia="Times New Roman" w:hAnsi="ITC Avant Garde" w:cs="Arial"/>
          <w:bCs/>
          <w:iCs/>
          <w:lang w:val="es-ES_tradnl"/>
        </w:rPr>
        <w:t>e</w:t>
      </w:r>
      <w:r w:rsidR="008E3E36" w:rsidRPr="00826B76">
        <w:rPr>
          <w:rFonts w:ascii="ITC Avant Garde" w:eastAsia="Times New Roman" w:hAnsi="ITC Avant Garde" w:cs="Arial"/>
          <w:bCs/>
          <w:iCs/>
          <w:lang w:val="es-ES_tradnl"/>
        </w:rPr>
        <w:t xml:space="preserve"> un peligro, interferencia u obstrucción de los mismos </w:t>
      </w:r>
      <w:r w:rsidR="00412E98" w:rsidRPr="00826B76">
        <w:rPr>
          <w:rFonts w:ascii="ITC Avant Garde" w:eastAsia="Times New Roman" w:hAnsi="ITC Avant Garde" w:cs="Arial"/>
          <w:bCs/>
          <w:iCs/>
          <w:lang w:val="es-ES_tradnl"/>
        </w:rPr>
        <w:t xml:space="preserve">el Cliente una vez que Altán se lo notifique </w:t>
      </w:r>
      <w:r w:rsidR="00AD2DF1" w:rsidRPr="00826B76">
        <w:rPr>
          <w:rFonts w:ascii="ITC Avant Garde" w:eastAsia="Times New Roman" w:hAnsi="ITC Avant Garde" w:cs="Arial"/>
          <w:bCs/>
          <w:iCs/>
          <w:lang w:val="es-ES_tradnl"/>
        </w:rPr>
        <w:t>deberá eliminar</w:t>
      </w:r>
      <w:r w:rsidR="008E3E36" w:rsidRPr="00826B76">
        <w:rPr>
          <w:rFonts w:ascii="ITC Avant Garde" w:eastAsia="Times New Roman" w:hAnsi="ITC Avant Garde" w:cs="Arial"/>
          <w:bCs/>
          <w:iCs/>
          <w:lang w:val="es-ES_tradnl"/>
        </w:rPr>
        <w:t xml:space="preserve"> el peligro, interferencia u obstrucción</w:t>
      </w:r>
      <w:r w:rsidRPr="00826B76">
        <w:rPr>
          <w:rFonts w:ascii="ITC Avant Garde" w:eastAsia="Times New Roman" w:hAnsi="ITC Avant Garde" w:cs="Arial"/>
          <w:bCs/>
          <w:iCs/>
          <w:lang w:val="es-ES_tradnl"/>
        </w:rPr>
        <w:t xml:space="preserve">, de lo cual se observa que no se define el plazo en el cual el Cliente deberá eliminar </w:t>
      </w:r>
      <w:r w:rsidR="009A1435" w:rsidRPr="00826B76">
        <w:rPr>
          <w:rFonts w:ascii="ITC Avant Garde" w:eastAsia="Times New Roman" w:hAnsi="ITC Avant Garde" w:cs="Arial"/>
          <w:bCs/>
          <w:iCs/>
          <w:lang w:val="es-ES_tradnl"/>
        </w:rPr>
        <w:t xml:space="preserve">el peligro, interferencia u obstrucción </w:t>
      </w:r>
      <w:r w:rsidRPr="00826B76">
        <w:rPr>
          <w:rFonts w:ascii="ITC Avant Garde" w:eastAsia="Times New Roman" w:hAnsi="ITC Avant Garde" w:cs="Arial"/>
          <w:bCs/>
          <w:iCs/>
          <w:lang w:val="es-ES_tradnl"/>
        </w:rPr>
        <w:t>señalada por lo que se requiere indicar dicho plazo.</w:t>
      </w:r>
    </w:p>
    <w:p w14:paraId="742E77EA" w14:textId="77777777" w:rsidR="00826B76" w:rsidRPr="00826B76" w:rsidRDefault="00552073"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hAnsi="ITC Avant Garde"/>
          <w:b/>
          <w:color w:val="000000"/>
          <w:lang w:val="es-ES"/>
        </w:rPr>
        <w:t xml:space="preserve">Cláusula Tercera. Certificado de homologación de equipo terminal. </w:t>
      </w:r>
      <w:r w:rsidR="009E5049" w:rsidRPr="00826B76">
        <w:rPr>
          <w:rFonts w:ascii="ITC Avant Garde" w:hAnsi="ITC Avant Garde"/>
          <w:color w:val="000000"/>
          <w:lang w:val="es-ES"/>
        </w:rPr>
        <w:t>En el numeral 3.3</w:t>
      </w:r>
      <w:r w:rsidR="000C1411" w:rsidRPr="00826B76">
        <w:rPr>
          <w:rFonts w:ascii="ITC Avant Garde" w:hAnsi="ITC Avant Garde"/>
          <w:color w:val="000000"/>
          <w:lang w:val="es-ES"/>
        </w:rPr>
        <w:t>,</w:t>
      </w:r>
      <w:r w:rsidR="009E5049" w:rsidRPr="00826B76">
        <w:rPr>
          <w:rFonts w:ascii="ITC Avant Garde" w:hAnsi="ITC Avant Garde"/>
          <w:color w:val="000000"/>
          <w:lang w:val="es-ES"/>
        </w:rPr>
        <w:t xml:space="preserve"> Altán</w:t>
      </w:r>
      <w:r w:rsidR="00E74F51" w:rsidRPr="00826B76">
        <w:rPr>
          <w:rFonts w:ascii="ITC Avant Garde" w:hAnsi="ITC Avant Garde"/>
          <w:color w:val="000000"/>
          <w:lang w:val="es-ES"/>
        </w:rPr>
        <w:t xml:space="preserve"> señala </w:t>
      </w:r>
      <w:r w:rsidR="00E87729" w:rsidRPr="00826B76">
        <w:rPr>
          <w:rFonts w:ascii="ITC Avant Garde" w:hAnsi="ITC Avant Garde"/>
          <w:color w:val="000000"/>
          <w:lang w:val="es-ES"/>
        </w:rPr>
        <w:t>que cualquier equipo terminal del Cliente, antes de ser interconectado a la red compartida o cualquier infraestructura de Altán deberá ser homologado y el Cliente deberá entregar copia del certificado de homologación a Altán.</w:t>
      </w:r>
    </w:p>
    <w:p w14:paraId="6AC6E3A0" w14:textId="77777777" w:rsidR="00826B76" w:rsidRPr="00826B76" w:rsidRDefault="00185104" w:rsidP="00826B76">
      <w:pPr>
        <w:spacing w:before="240" w:after="200"/>
        <w:jc w:val="both"/>
        <w:rPr>
          <w:rFonts w:ascii="ITC Avant Garde" w:hAnsi="ITC Avant Garde"/>
          <w:color w:val="000000"/>
          <w:lang w:val="es-ES"/>
        </w:rPr>
      </w:pPr>
      <w:r w:rsidRPr="00826B76">
        <w:rPr>
          <w:rFonts w:ascii="ITC Avant Garde" w:hAnsi="ITC Avant Garde"/>
          <w:color w:val="000000"/>
          <w:lang w:val="es-ES"/>
        </w:rPr>
        <w:lastRenderedPageBreak/>
        <w:t xml:space="preserve">Al respecto </w:t>
      </w:r>
      <w:r w:rsidR="00966A98" w:rsidRPr="00826B76">
        <w:rPr>
          <w:rFonts w:ascii="ITC Avant Garde" w:hAnsi="ITC Avant Garde"/>
          <w:color w:val="000000"/>
          <w:lang w:val="es-ES"/>
        </w:rPr>
        <w:t xml:space="preserve">se precisa que los </w:t>
      </w:r>
      <w:r w:rsidR="002272B4" w:rsidRPr="00826B76">
        <w:rPr>
          <w:rFonts w:ascii="ITC Avant Garde" w:hAnsi="ITC Avant Garde"/>
          <w:color w:val="000000"/>
          <w:lang w:val="es-ES"/>
        </w:rPr>
        <w:t xml:space="preserve">equipos terminales no se interconectan a la red </w:t>
      </w:r>
      <w:r w:rsidR="00966A98" w:rsidRPr="00826B76">
        <w:rPr>
          <w:rFonts w:ascii="ITC Avant Garde" w:hAnsi="ITC Avant Garde"/>
          <w:color w:val="000000"/>
          <w:lang w:val="es-ES"/>
        </w:rPr>
        <w:t xml:space="preserve">o a cualquier infraestructura de la misma, por lo cual se requiere modificar la redacción señalando </w:t>
      </w:r>
      <w:r w:rsidR="00E87729" w:rsidRPr="00826B76">
        <w:rPr>
          <w:rFonts w:ascii="ITC Avant Garde" w:hAnsi="ITC Avant Garde"/>
          <w:color w:val="000000"/>
          <w:lang w:val="es-ES"/>
        </w:rPr>
        <w:t xml:space="preserve">únicamente </w:t>
      </w:r>
      <w:r w:rsidR="00966A98" w:rsidRPr="00826B76">
        <w:rPr>
          <w:rFonts w:ascii="ITC Avant Garde" w:hAnsi="ITC Avant Garde"/>
          <w:color w:val="000000"/>
          <w:lang w:val="es-ES"/>
        </w:rPr>
        <w:t xml:space="preserve">que el equipo terminal antes de ser utilizado en la </w:t>
      </w:r>
      <w:r w:rsidR="001A3609" w:rsidRPr="00826B76">
        <w:rPr>
          <w:rFonts w:ascii="ITC Avant Garde" w:hAnsi="ITC Avant Garde"/>
          <w:color w:val="000000"/>
          <w:lang w:val="es-ES"/>
        </w:rPr>
        <w:t xml:space="preserve">red de Altán para la </w:t>
      </w:r>
      <w:r w:rsidR="00966A98" w:rsidRPr="00826B76">
        <w:rPr>
          <w:rFonts w:ascii="ITC Avant Garde" w:hAnsi="ITC Avant Garde"/>
          <w:color w:val="000000"/>
          <w:lang w:val="es-ES"/>
        </w:rPr>
        <w:t xml:space="preserve">prestación de los servicios deberá ser homologado. </w:t>
      </w:r>
    </w:p>
    <w:p w14:paraId="79670318" w14:textId="77777777" w:rsidR="00826B76" w:rsidRPr="00826B76" w:rsidRDefault="00552073" w:rsidP="00826B76">
      <w:pPr>
        <w:pStyle w:val="Prrafodelista"/>
        <w:numPr>
          <w:ilvl w:val="1"/>
          <w:numId w:val="9"/>
        </w:numPr>
        <w:tabs>
          <w:tab w:val="left" w:pos="567"/>
        </w:tabs>
        <w:spacing w:before="240"/>
        <w:ind w:left="0" w:firstLine="0"/>
        <w:jc w:val="both"/>
        <w:rPr>
          <w:rFonts w:ascii="ITC Avant Garde" w:hAnsi="ITC Avant Garde"/>
          <w:b/>
          <w:color w:val="000000"/>
          <w:lang w:val="es-ES"/>
        </w:rPr>
      </w:pPr>
      <w:r w:rsidRPr="00826B76">
        <w:rPr>
          <w:rFonts w:ascii="ITC Avant Garde" w:hAnsi="ITC Avant Garde"/>
          <w:b/>
          <w:color w:val="000000"/>
          <w:lang w:val="es-ES"/>
        </w:rPr>
        <w:t xml:space="preserve">Cláusula Tercera. Acceso a instalaciones. </w:t>
      </w:r>
      <w:r w:rsidRPr="00826B76">
        <w:rPr>
          <w:rFonts w:ascii="ITC Avant Garde" w:hAnsi="ITC Avant Garde"/>
          <w:color w:val="000000"/>
          <w:lang w:val="es-ES"/>
        </w:rPr>
        <w:t xml:space="preserve">En el numeral 3.5 </w:t>
      </w:r>
      <w:r w:rsidR="00F32201" w:rsidRPr="00826B76">
        <w:rPr>
          <w:rFonts w:ascii="ITC Avant Garde" w:hAnsi="ITC Avant Garde"/>
          <w:color w:val="000000"/>
          <w:lang w:val="es-ES"/>
        </w:rPr>
        <w:t xml:space="preserve">se </w:t>
      </w:r>
      <w:r w:rsidRPr="00826B76">
        <w:rPr>
          <w:rFonts w:ascii="ITC Avant Garde" w:hAnsi="ITC Avant Garde"/>
          <w:color w:val="000000"/>
          <w:lang w:val="es-ES"/>
        </w:rPr>
        <w:t>señala</w:t>
      </w:r>
      <w:r w:rsidR="00F32201" w:rsidRPr="00826B76">
        <w:rPr>
          <w:rFonts w:ascii="ITC Avant Garde" w:hAnsi="ITC Avant Garde"/>
          <w:color w:val="000000"/>
          <w:lang w:val="es-ES"/>
        </w:rPr>
        <w:t xml:space="preserve"> que el Cliente conviene dar acceso a sus instalaciones a Altán para que éste pueda dar mantenimiento a la Red Compartida y dem</w:t>
      </w:r>
      <w:r w:rsidR="001A3609" w:rsidRPr="00826B76">
        <w:rPr>
          <w:rFonts w:ascii="ITC Avant Garde" w:hAnsi="ITC Avant Garde"/>
          <w:color w:val="000000"/>
          <w:lang w:val="es-ES"/>
        </w:rPr>
        <w:t>ás infraestructura</w:t>
      </w:r>
      <w:r w:rsidR="00F32201" w:rsidRPr="00826B76">
        <w:rPr>
          <w:rFonts w:ascii="ITC Avant Garde" w:hAnsi="ITC Avant Garde"/>
          <w:color w:val="000000"/>
          <w:lang w:val="es-ES"/>
        </w:rPr>
        <w:t>, así como</w:t>
      </w:r>
      <w:r w:rsidR="001A3609" w:rsidRPr="00826B76">
        <w:rPr>
          <w:rFonts w:ascii="ITC Avant Garde" w:hAnsi="ITC Avant Garde"/>
          <w:color w:val="000000"/>
          <w:lang w:val="es-ES"/>
        </w:rPr>
        <w:t xml:space="preserve"> para</w:t>
      </w:r>
      <w:r w:rsidR="00F32201" w:rsidRPr="00826B76">
        <w:rPr>
          <w:rFonts w:ascii="ITC Avant Garde" w:hAnsi="ITC Avant Garde"/>
          <w:color w:val="000000"/>
          <w:lang w:val="es-ES"/>
        </w:rPr>
        <w:t xml:space="preserve"> reparar cualquier falla o reemplazar cualquier equipo. </w:t>
      </w:r>
    </w:p>
    <w:p w14:paraId="0397BA35" w14:textId="77777777" w:rsidR="00826B76" w:rsidRPr="00826B76" w:rsidRDefault="00CB1EDA" w:rsidP="00826B76">
      <w:pPr>
        <w:spacing w:before="240" w:after="200" w:line="276" w:lineRule="auto"/>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 xml:space="preserve">De lo </w:t>
      </w:r>
      <w:r w:rsidR="006A366F" w:rsidRPr="00826B76">
        <w:rPr>
          <w:rFonts w:ascii="ITC Avant Garde" w:eastAsia="Times New Roman" w:hAnsi="ITC Avant Garde" w:cs="Arial"/>
          <w:bCs/>
          <w:iCs/>
          <w:lang w:val="es-ES_tradnl"/>
        </w:rPr>
        <w:t>anterior</w:t>
      </w:r>
      <w:r w:rsidRPr="00826B76">
        <w:rPr>
          <w:rFonts w:ascii="ITC Avant Garde" w:eastAsia="Times New Roman" w:hAnsi="ITC Avant Garde" w:cs="Arial"/>
          <w:bCs/>
          <w:iCs/>
          <w:lang w:val="es-ES_tradnl"/>
        </w:rPr>
        <w:t>, se observa que para realizar el mantenimiento de la red compartida no es necesario el acceso a las instalaciones del Cliente,</w:t>
      </w:r>
      <w:r w:rsidR="003C02AD" w:rsidRPr="00826B76">
        <w:rPr>
          <w:rFonts w:ascii="ITC Avant Garde" w:eastAsia="Times New Roman" w:hAnsi="ITC Avant Garde" w:cs="Arial"/>
          <w:bCs/>
          <w:iCs/>
          <w:lang w:val="es-ES_tradnl"/>
        </w:rPr>
        <w:t xml:space="preserve"> ya que la infraestructura que conforma la misma no se encuentra dentro de las instalaciones del Cliente, </w:t>
      </w:r>
      <w:r w:rsidRPr="00826B76">
        <w:rPr>
          <w:rFonts w:ascii="ITC Avant Garde" w:eastAsia="Times New Roman" w:hAnsi="ITC Avant Garde" w:cs="Arial"/>
          <w:bCs/>
          <w:iCs/>
          <w:lang w:val="es-ES_tradnl"/>
        </w:rPr>
        <w:t xml:space="preserve"> por lo que se requiere modificar la redacción del numeral 3.5 a efecto de considerar que el acceso a las instalaciones del Cliente se realizará para la atención de fallas o reemplazo de equipo proporcionado por Altán ubicado en las instalaciones del Cliente</w:t>
      </w:r>
      <w:r w:rsidR="00001C2C" w:rsidRPr="00826B76">
        <w:rPr>
          <w:rFonts w:ascii="ITC Avant Garde" w:eastAsia="Times New Roman" w:hAnsi="ITC Avant Garde" w:cs="Arial"/>
          <w:bCs/>
          <w:iCs/>
          <w:lang w:val="es-ES_tradnl"/>
        </w:rPr>
        <w:t>, o en su caso justificar por qué es necesario acceder a las instalaciones del Cliente para dar mantenimiento a la Red Compartida</w:t>
      </w:r>
      <w:r w:rsidRPr="00826B76">
        <w:rPr>
          <w:rFonts w:ascii="ITC Avant Garde" w:eastAsia="Times New Roman" w:hAnsi="ITC Avant Garde" w:cs="Arial"/>
          <w:bCs/>
          <w:iCs/>
          <w:lang w:val="es-ES_tradnl"/>
        </w:rPr>
        <w:t>.</w:t>
      </w:r>
    </w:p>
    <w:p w14:paraId="202861F3" w14:textId="77777777" w:rsidR="00826B76" w:rsidRPr="00826B76" w:rsidRDefault="00A570FF"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Quinta. Seguros. </w:t>
      </w:r>
      <w:r w:rsidRPr="00826B76">
        <w:rPr>
          <w:rFonts w:ascii="ITC Avant Garde" w:eastAsia="Times New Roman" w:hAnsi="ITC Avant Garde" w:cs="Arial"/>
          <w:bCs/>
          <w:iCs/>
          <w:lang w:val="es-ES_tradnl"/>
        </w:rPr>
        <w:t xml:space="preserve">En el numeral 5.1 se señala que las Partes se obligan a contratar y mantener vigentes los seguros conforme a la ley aplicable, de lo cual se requiere precisar qué seguros adicionales al de Responsabilidad Civil señalado en el numeral 5.2 </w:t>
      </w:r>
      <w:r w:rsidR="00F15F17" w:rsidRPr="00826B76">
        <w:rPr>
          <w:rFonts w:ascii="ITC Avant Garde" w:eastAsia="Times New Roman" w:hAnsi="ITC Avant Garde" w:cs="Arial"/>
          <w:bCs/>
          <w:iCs/>
          <w:lang w:val="es-ES_tradnl"/>
        </w:rPr>
        <w:t>son</w:t>
      </w:r>
      <w:r w:rsidRPr="00826B76">
        <w:rPr>
          <w:rFonts w:ascii="ITC Avant Garde" w:eastAsia="Times New Roman" w:hAnsi="ITC Avant Garde" w:cs="Arial"/>
          <w:bCs/>
          <w:iCs/>
          <w:lang w:val="es-ES_tradnl"/>
        </w:rPr>
        <w:t xml:space="preserve"> necesario</w:t>
      </w:r>
      <w:r w:rsidR="00F15F17" w:rsidRPr="00826B76">
        <w:rPr>
          <w:rFonts w:ascii="ITC Avant Garde" w:eastAsia="Times New Roman" w:hAnsi="ITC Avant Garde" w:cs="Arial"/>
          <w:bCs/>
          <w:iCs/>
          <w:lang w:val="es-ES_tradnl"/>
        </w:rPr>
        <w:t>s</w:t>
      </w:r>
      <w:r w:rsidRPr="00826B76">
        <w:rPr>
          <w:rFonts w:ascii="ITC Avant Garde" w:eastAsia="Times New Roman" w:hAnsi="ITC Avant Garde" w:cs="Arial"/>
          <w:bCs/>
          <w:iCs/>
          <w:lang w:val="es-ES_tradnl"/>
        </w:rPr>
        <w:t xml:space="preserve"> contratar.</w:t>
      </w:r>
    </w:p>
    <w:p w14:paraId="3871C3D1" w14:textId="77777777" w:rsidR="00826B76" w:rsidRPr="00826B76" w:rsidRDefault="00D04691"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Séptima. Vigencia. </w:t>
      </w:r>
      <w:r w:rsidRPr="00826B76">
        <w:rPr>
          <w:rFonts w:ascii="ITC Avant Garde" w:eastAsia="Times New Roman" w:hAnsi="ITC Avant Garde" w:cs="Arial"/>
          <w:bCs/>
          <w:iCs/>
          <w:lang w:val="es-ES_tradnl"/>
        </w:rPr>
        <w:t>El numeral 7.1 establece que el Contrato tendrá una vigencia de 5 (cinco) años y se prorrogará automáticamente por periodos de 1 (un) año, de lo cual se requiere incluir un procedimiento de terminación anticipada durante el periodo de 5 (cinco) años señalados, a efecto de otorgar certeza sobre el procedimiento aplicable a dicha terminación.</w:t>
      </w:r>
    </w:p>
    <w:p w14:paraId="50CD4E4F" w14:textId="77777777" w:rsidR="00826B76" w:rsidRPr="00826B76" w:rsidRDefault="009F18C4" w:rsidP="00826B76">
      <w:pPr>
        <w:pStyle w:val="Prrafodelista"/>
        <w:tabs>
          <w:tab w:val="left" w:pos="567"/>
        </w:tabs>
        <w:spacing w:before="240"/>
        <w:ind w:left="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 xml:space="preserve">Asimismo, se requiere </w:t>
      </w:r>
      <w:r w:rsidR="00A13AAD" w:rsidRPr="00826B76">
        <w:rPr>
          <w:rFonts w:ascii="ITC Avant Garde" w:eastAsia="Times New Roman" w:hAnsi="ITC Avant Garde" w:cs="Arial"/>
          <w:bCs/>
          <w:iCs/>
          <w:lang w:val="es-ES_tradnl"/>
        </w:rPr>
        <w:t xml:space="preserve">que </w:t>
      </w:r>
      <w:r w:rsidR="006C09C6" w:rsidRPr="00826B76">
        <w:rPr>
          <w:rFonts w:ascii="ITC Avant Garde" w:eastAsia="Times New Roman" w:hAnsi="ITC Avant Garde" w:cs="Arial"/>
          <w:bCs/>
          <w:iCs/>
          <w:lang w:val="es-ES_tradnl"/>
        </w:rPr>
        <w:t>Altán</w:t>
      </w:r>
      <w:r w:rsidR="00A13AAD" w:rsidRPr="00826B76">
        <w:rPr>
          <w:rFonts w:ascii="ITC Avant Garde" w:eastAsia="Times New Roman" w:hAnsi="ITC Avant Garde" w:cs="Arial"/>
          <w:bCs/>
          <w:iCs/>
          <w:lang w:val="es-ES_tradnl"/>
        </w:rPr>
        <w:t xml:space="preserve"> explique las razones por las cuales es necesario establecer la vigencia del Contrato a</w:t>
      </w:r>
      <w:r w:rsidR="006C09C6" w:rsidRPr="00826B76">
        <w:rPr>
          <w:rFonts w:ascii="ITC Avant Garde" w:eastAsia="Times New Roman" w:hAnsi="ITC Avant Garde" w:cs="Arial"/>
          <w:bCs/>
          <w:iCs/>
          <w:lang w:val="es-ES_tradnl"/>
        </w:rPr>
        <w:t xml:space="preserve"> 5 (cinco) años</w:t>
      </w:r>
      <w:r w:rsidRPr="00826B76">
        <w:rPr>
          <w:rFonts w:ascii="ITC Avant Garde" w:eastAsia="Times New Roman" w:hAnsi="ITC Avant Garde" w:cs="Arial"/>
          <w:bCs/>
          <w:iCs/>
          <w:lang w:val="es-ES_tradnl"/>
        </w:rPr>
        <w:t>.</w:t>
      </w:r>
    </w:p>
    <w:p w14:paraId="556E91DF" w14:textId="77777777" w:rsidR="00826B76" w:rsidRPr="00826B76" w:rsidRDefault="0018168F"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Séptima. Suspensión. </w:t>
      </w:r>
      <w:r w:rsidRPr="00826B76">
        <w:rPr>
          <w:rFonts w:ascii="ITC Avant Garde" w:eastAsia="Times New Roman" w:hAnsi="ITC Avant Garde" w:cs="Arial"/>
          <w:bCs/>
          <w:iCs/>
          <w:lang w:val="es-ES_tradnl"/>
        </w:rPr>
        <w:t xml:space="preserve">En el numeral 7.4 se señalan las causas que pueden derivar en la suspensión total o parcial de los servicios, asimismo en el penúltimo párrafo se señala que Altán tomará en cuenta, entre otros factores la gravedad de la causa que dio origen a la suspensión y las afectaciones que pueden causar, en este sentido se solicita a Altán </w:t>
      </w:r>
      <w:r w:rsidR="00DA04D9" w:rsidRPr="00826B76">
        <w:rPr>
          <w:rFonts w:ascii="ITC Avant Garde" w:eastAsia="Times New Roman" w:hAnsi="ITC Avant Garde" w:cs="Arial"/>
          <w:bCs/>
          <w:iCs/>
          <w:lang w:val="es-ES_tradnl"/>
        </w:rPr>
        <w:t>modificar la redacción de dicho numeral a efecto de reducir la discrecionalidad con la que cuenta para definir aquellas situaciones que resultan de gravedad suficiente para suspender total o parcialmente los servicios.</w:t>
      </w:r>
    </w:p>
    <w:p w14:paraId="3BBA97D6" w14:textId="77777777" w:rsidR="00826B76" w:rsidRPr="00826B76" w:rsidRDefault="00A570FF" w:rsidP="00826B76">
      <w:pPr>
        <w:pStyle w:val="Prrafodelista"/>
        <w:numPr>
          <w:ilvl w:val="1"/>
          <w:numId w:val="9"/>
        </w:numPr>
        <w:tabs>
          <w:tab w:val="left" w:pos="567"/>
        </w:tabs>
        <w:spacing w:before="240"/>
        <w:ind w:left="0" w:firstLine="0"/>
        <w:jc w:val="both"/>
        <w:rPr>
          <w:rFonts w:ascii="ITC Avant Garde" w:eastAsia="Times New Roman" w:hAnsi="ITC Avant Garde" w:cs="Arial"/>
          <w:bCs/>
          <w:iCs/>
          <w:color w:val="0070C0"/>
          <w:lang w:val="es-ES_tradnl"/>
        </w:rPr>
      </w:pPr>
      <w:r w:rsidRPr="00826B76">
        <w:rPr>
          <w:rFonts w:ascii="ITC Avant Garde" w:eastAsia="Times New Roman" w:hAnsi="ITC Avant Garde" w:cs="Arial"/>
          <w:b/>
          <w:bCs/>
          <w:iCs/>
          <w:lang w:val="es-ES_tradnl"/>
        </w:rPr>
        <w:t>Cláusula Séptima</w:t>
      </w:r>
      <w:r w:rsidRPr="00826B76">
        <w:rPr>
          <w:rFonts w:ascii="ITC Avant Garde" w:eastAsia="Times New Roman" w:hAnsi="ITC Avant Garde" w:cs="Arial"/>
          <w:bCs/>
          <w:iCs/>
          <w:lang w:val="es-ES_tradnl"/>
        </w:rPr>
        <w:t xml:space="preserve">. </w:t>
      </w:r>
      <w:r w:rsidRPr="00826B76">
        <w:rPr>
          <w:rFonts w:ascii="ITC Avant Garde" w:eastAsia="Times New Roman" w:hAnsi="ITC Avant Garde" w:cs="Arial"/>
          <w:b/>
          <w:bCs/>
          <w:iCs/>
          <w:lang w:val="es-ES_tradnl"/>
        </w:rPr>
        <w:t xml:space="preserve">Eventos de incumplimiento. </w:t>
      </w:r>
      <w:r w:rsidR="00F67F4D" w:rsidRPr="00826B76">
        <w:rPr>
          <w:rFonts w:ascii="ITC Avant Garde" w:eastAsia="Times New Roman" w:hAnsi="ITC Avant Garde" w:cs="Arial"/>
          <w:bCs/>
          <w:iCs/>
          <w:lang w:val="es-ES_tradnl"/>
        </w:rPr>
        <w:t xml:space="preserve">Se requiere </w:t>
      </w:r>
      <w:r w:rsidR="002B6B5F" w:rsidRPr="00826B76">
        <w:rPr>
          <w:rFonts w:ascii="ITC Avant Garde" w:eastAsia="Times New Roman" w:hAnsi="ITC Avant Garde" w:cs="Arial"/>
          <w:bCs/>
          <w:iCs/>
          <w:lang w:val="es-ES_tradnl"/>
        </w:rPr>
        <w:t xml:space="preserve">precisar </w:t>
      </w:r>
      <w:r w:rsidRPr="00826B76">
        <w:rPr>
          <w:rFonts w:ascii="ITC Avant Garde" w:eastAsia="Times New Roman" w:hAnsi="ITC Avant Garde" w:cs="Arial"/>
          <w:bCs/>
          <w:iCs/>
          <w:lang w:val="es-ES_tradnl"/>
        </w:rPr>
        <w:t>si los eventos de incumplimiento señalados en el numeral 7.4</w:t>
      </w:r>
      <w:r w:rsidR="00F67F4D" w:rsidRPr="00826B76">
        <w:rPr>
          <w:rFonts w:ascii="ITC Avant Garde" w:eastAsia="Times New Roman" w:hAnsi="ITC Avant Garde" w:cs="Arial"/>
          <w:bCs/>
          <w:iCs/>
          <w:lang w:val="es-ES_tradnl"/>
        </w:rPr>
        <w:t xml:space="preserve"> inciso iv)</w:t>
      </w:r>
      <w:r w:rsidRPr="00826B76">
        <w:rPr>
          <w:rFonts w:ascii="ITC Avant Garde" w:eastAsia="Times New Roman" w:hAnsi="ITC Avant Garde" w:cs="Arial"/>
          <w:bCs/>
          <w:iCs/>
          <w:lang w:val="es-ES_tradnl"/>
        </w:rPr>
        <w:t xml:space="preserve"> y 7.7 </w:t>
      </w:r>
      <w:r w:rsidR="00F67F4D" w:rsidRPr="00826B76">
        <w:rPr>
          <w:rFonts w:ascii="ITC Avant Garde" w:eastAsia="Times New Roman" w:hAnsi="ITC Avant Garde" w:cs="Arial"/>
          <w:bCs/>
          <w:iCs/>
          <w:lang w:val="es-ES_tradnl"/>
        </w:rPr>
        <w:t xml:space="preserve">inciso v) </w:t>
      </w:r>
      <w:r w:rsidRPr="00826B76">
        <w:rPr>
          <w:rFonts w:ascii="ITC Avant Garde" w:eastAsia="Times New Roman" w:hAnsi="ITC Avant Garde" w:cs="Arial"/>
          <w:bCs/>
          <w:iCs/>
          <w:lang w:val="es-ES_tradnl"/>
        </w:rPr>
        <w:t>serán causa de rescisión o suspensión del servicio.</w:t>
      </w:r>
    </w:p>
    <w:p w14:paraId="72F66EF5" w14:textId="77777777" w:rsidR="00826B76" w:rsidRPr="00826B76" w:rsidRDefault="00F67F4D" w:rsidP="00826B76">
      <w:pPr>
        <w:pStyle w:val="Prrafodelista"/>
        <w:numPr>
          <w:ilvl w:val="1"/>
          <w:numId w:val="9"/>
        </w:numPr>
        <w:tabs>
          <w:tab w:val="left" w:pos="567"/>
        </w:tabs>
        <w:spacing w:before="240"/>
        <w:ind w:left="0" w:firstLine="0"/>
        <w:jc w:val="both"/>
        <w:rPr>
          <w:rFonts w:ascii="ITC Avant Garde" w:eastAsia="Times New Roman" w:hAnsi="ITC Avant Garde" w:cs="Arial"/>
          <w:bCs/>
          <w:iCs/>
          <w:color w:val="0070C0"/>
          <w:lang w:val="es-ES_tradnl"/>
        </w:rPr>
      </w:pPr>
      <w:r w:rsidRPr="00826B76">
        <w:rPr>
          <w:rFonts w:ascii="ITC Avant Garde" w:eastAsia="Times New Roman" w:hAnsi="ITC Avant Garde" w:cs="Arial"/>
          <w:b/>
          <w:bCs/>
          <w:iCs/>
          <w:lang w:val="es-ES_tradnl"/>
        </w:rPr>
        <w:lastRenderedPageBreak/>
        <w:t>Cláusula Séptima</w:t>
      </w:r>
      <w:r w:rsidRPr="00826B76">
        <w:rPr>
          <w:rFonts w:ascii="ITC Avant Garde" w:eastAsia="Times New Roman" w:hAnsi="ITC Avant Garde" w:cs="Arial"/>
          <w:bCs/>
          <w:iCs/>
          <w:lang w:val="es-ES_tradnl"/>
        </w:rPr>
        <w:t xml:space="preserve">. </w:t>
      </w:r>
      <w:r w:rsidRPr="00826B76">
        <w:rPr>
          <w:rFonts w:ascii="ITC Avant Garde" w:eastAsia="Times New Roman" w:hAnsi="ITC Avant Garde" w:cs="Arial"/>
          <w:b/>
          <w:bCs/>
          <w:iCs/>
          <w:lang w:val="es-ES_tradnl"/>
        </w:rPr>
        <w:t xml:space="preserve">Plazo para la </w:t>
      </w:r>
      <w:r w:rsidR="003C02AD" w:rsidRPr="00826B76">
        <w:rPr>
          <w:rFonts w:ascii="ITC Avant Garde" w:eastAsia="Times New Roman" w:hAnsi="ITC Avant Garde" w:cs="Arial"/>
          <w:b/>
          <w:bCs/>
          <w:iCs/>
          <w:lang w:val="es-ES_tradnl"/>
        </w:rPr>
        <w:t>rescisión</w:t>
      </w:r>
      <w:r w:rsidRPr="00826B76">
        <w:rPr>
          <w:rFonts w:ascii="ITC Avant Garde" w:eastAsia="Times New Roman" w:hAnsi="ITC Avant Garde" w:cs="Arial"/>
          <w:b/>
          <w:bCs/>
          <w:iCs/>
          <w:lang w:val="es-ES_tradnl"/>
        </w:rPr>
        <w:t xml:space="preserve">. </w:t>
      </w:r>
      <w:r w:rsidRPr="00826B76">
        <w:rPr>
          <w:rFonts w:ascii="ITC Avant Garde" w:eastAsia="Times New Roman" w:hAnsi="ITC Avant Garde" w:cs="Arial"/>
          <w:bCs/>
          <w:iCs/>
          <w:lang w:val="es-ES_tradnl"/>
        </w:rPr>
        <w:t xml:space="preserve">En el numeral 7.7 inciso </w:t>
      </w:r>
      <w:r w:rsidR="002E09D8" w:rsidRPr="00826B76">
        <w:rPr>
          <w:rFonts w:ascii="ITC Avant Garde" w:eastAsia="Times New Roman" w:hAnsi="ITC Avant Garde" w:cs="Arial"/>
          <w:bCs/>
          <w:iCs/>
          <w:lang w:val="es-ES_tradnl"/>
        </w:rPr>
        <w:t>(</w:t>
      </w:r>
      <w:r w:rsidRPr="00826B76">
        <w:rPr>
          <w:rFonts w:ascii="ITC Avant Garde" w:eastAsia="Times New Roman" w:hAnsi="ITC Avant Garde" w:cs="Arial"/>
          <w:bCs/>
          <w:iCs/>
          <w:lang w:val="es-ES_tradnl"/>
        </w:rPr>
        <w:t>ii) se señala que Altán podrá rescindir el Contrato en caso de que el Cliente incumpla con cualquier obligación de pago, y dicho incumplimiento no sea subsanado en un plazo que no está señalado por lo cual s</w:t>
      </w:r>
      <w:r w:rsidR="00BC7C22" w:rsidRPr="00826B76">
        <w:rPr>
          <w:rFonts w:ascii="ITC Avant Garde" w:eastAsia="Times New Roman" w:hAnsi="ITC Avant Garde" w:cs="Arial"/>
          <w:bCs/>
          <w:iCs/>
          <w:lang w:val="es-ES_tradnl"/>
        </w:rPr>
        <w:t>e requiere definir dicho plazo.</w:t>
      </w:r>
    </w:p>
    <w:p w14:paraId="1F65C865" w14:textId="77777777" w:rsidR="00826B76" w:rsidRPr="00826B76" w:rsidRDefault="003C02AD" w:rsidP="00826B76">
      <w:pPr>
        <w:pStyle w:val="Prrafodelista"/>
        <w:tabs>
          <w:tab w:val="left" w:pos="567"/>
        </w:tabs>
        <w:spacing w:before="240"/>
        <w:ind w:left="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Asimismo, se requiere establecer el plazo para que surta efectos la rescisión a partir de la notificación de ésta al Cliente.</w:t>
      </w:r>
    </w:p>
    <w:p w14:paraId="19580B5D" w14:textId="77777777" w:rsidR="00826B76" w:rsidRPr="00826B76" w:rsidRDefault="002B128E" w:rsidP="00826B76">
      <w:pPr>
        <w:pStyle w:val="Prrafodelista"/>
        <w:numPr>
          <w:ilvl w:val="1"/>
          <w:numId w:val="9"/>
        </w:numPr>
        <w:tabs>
          <w:tab w:val="left" w:pos="567"/>
        </w:tabs>
        <w:spacing w:before="240"/>
        <w:ind w:left="0" w:firstLine="0"/>
        <w:jc w:val="both"/>
        <w:rPr>
          <w:rFonts w:ascii="ITC Avant Garde" w:eastAsia="Times New Roman" w:hAnsi="ITC Avant Garde" w:cs="Arial"/>
          <w:bCs/>
          <w:iCs/>
          <w:color w:val="0070C0"/>
          <w:lang w:val="es-ES_tradnl"/>
        </w:rPr>
      </w:pPr>
      <w:r w:rsidRPr="00826B76">
        <w:rPr>
          <w:rFonts w:ascii="ITC Avant Garde" w:eastAsia="Times New Roman" w:hAnsi="ITC Avant Garde" w:cs="Arial"/>
          <w:b/>
          <w:bCs/>
          <w:iCs/>
          <w:lang w:val="es-ES_tradnl"/>
        </w:rPr>
        <w:t>Cláusula Séptima</w:t>
      </w:r>
      <w:r w:rsidRPr="00826B76">
        <w:rPr>
          <w:rFonts w:ascii="ITC Avant Garde" w:eastAsia="Times New Roman" w:hAnsi="ITC Avant Garde" w:cs="Arial"/>
          <w:bCs/>
          <w:iCs/>
          <w:lang w:val="es-ES_tradnl"/>
        </w:rPr>
        <w:t>.</w:t>
      </w:r>
      <w:r w:rsidRPr="00826B76">
        <w:rPr>
          <w:rFonts w:ascii="ITC Avant Garde" w:eastAsia="Times New Roman" w:hAnsi="ITC Avant Garde" w:cs="Arial"/>
          <w:b/>
          <w:bCs/>
          <w:iCs/>
          <w:lang w:val="es-ES_tradnl"/>
        </w:rPr>
        <w:t xml:space="preserve"> Rescisión Altán. </w:t>
      </w:r>
      <w:r w:rsidRPr="00826B76">
        <w:rPr>
          <w:rFonts w:ascii="ITC Avant Garde" w:eastAsia="Times New Roman" w:hAnsi="ITC Avant Garde" w:cs="Arial"/>
          <w:bCs/>
          <w:iCs/>
          <w:lang w:val="es-ES_tradnl"/>
        </w:rPr>
        <w:t xml:space="preserve">En el numeral 7.7 inciso vi), se señala que si el Cliente incumple con cualquier otra obligación del Contrato Altán podrá rescindir el mismo, de lo cual </w:t>
      </w:r>
      <w:r w:rsidR="00155B14" w:rsidRPr="00826B76">
        <w:rPr>
          <w:rFonts w:ascii="ITC Avant Garde" w:eastAsia="Times New Roman" w:hAnsi="ITC Avant Garde" w:cs="Arial"/>
          <w:bCs/>
          <w:iCs/>
          <w:lang w:val="es-ES_tradnl"/>
        </w:rPr>
        <w:t xml:space="preserve">a efecto de evitar discrecionalidad, </w:t>
      </w:r>
      <w:r w:rsidRPr="00826B76">
        <w:rPr>
          <w:rFonts w:ascii="ITC Avant Garde" w:eastAsia="Times New Roman" w:hAnsi="ITC Avant Garde" w:cs="Arial"/>
          <w:bCs/>
          <w:iCs/>
          <w:lang w:val="es-ES_tradnl"/>
        </w:rPr>
        <w:t>se requiere a Altán especificar cuál sería la obligación adicional a aquellas señaladas en los incisos i) a iv) que podría tener como consecuencia la rescisión del Contrato.</w:t>
      </w:r>
    </w:p>
    <w:p w14:paraId="07464733" w14:textId="77777777" w:rsidR="00826B76" w:rsidRPr="00826B76" w:rsidRDefault="00F10CE3" w:rsidP="00826B76">
      <w:pPr>
        <w:pStyle w:val="Prrafodelista"/>
        <w:numPr>
          <w:ilvl w:val="1"/>
          <w:numId w:val="9"/>
        </w:numPr>
        <w:tabs>
          <w:tab w:val="left" w:pos="567"/>
        </w:tabs>
        <w:spacing w:before="240"/>
        <w:ind w:left="0" w:firstLine="0"/>
        <w:jc w:val="both"/>
        <w:rPr>
          <w:rFonts w:ascii="ITC Avant Garde" w:eastAsia="Times New Roman" w:hAnsi="ITC Avant Garde" w:cs="Arial"/>
          <w:bCs/>
          <w:iCs/>
          <w:color w:val="0070C0"/>
          <w:lang w:val="es-ES_tradnl"/>
        </w:rPr>
      </w:pPr>
      <w:r w:rsidRPr="00826B76">
        <w:rPr>
          <w:rFonts w:ascii="ITC Avant Garde" w:eastAsia="Times New Roman" w:hAnsi="ITC Avant Garde" w:cs="Arial"/>
          <w:b/>
          <w:bCs/>
          <w:iCs/>
          <w:lang w:val="es-ES_tradnl"/>
        </w:rPr>
        <w:t>Cláusula Octava</w:t>
      </w:r>
      <w:r w:rsidRPr="00826B76">
        <w:rPr>
          <w:rFonts w:ascii="ITC Avant Garde" w:eastAsia="Times New Roman" w:hAnsi="ITC Avant Garde" w:cs="Arial"/>
          <w:bCs/>
          <w:iCs/>
          <w:lang w:val="es-ES_tradnl"/>
        </w:rPr>
        <w:t>.</w:t>
      </w:r>
      <w:r w:rsidRPr="00826B76">
        <w:rPr>
          <w:rFonts w:ascii="ITC Avant Garde" w:eastAsia="Times New Roman" w:hAnsi="ITC Avant Garde" w:cs="Arial"/>
          <w:b/>
          <w:bCs/>
          <w:iCs/>
          <w:lang w:val="es-ES_tradnl"/>
        </w:rPr>
        <w:t xml:space="preserve"> Fuerza Mayor. </w:t>
      </w:r>
      <w:r w:rsidRPr="00826B76">
        <w:rPr>
          <w:rFonts w:ascii="ITC Avant Garde" w:eastAsia="Times New Roman" w:hAnsi="ITC Avant Garde" w:cs="Arial"/>
          <w:bCs/>
          <w:iCs/>
          <w:lang w:val="es-ES_tradnl"/>
        </w:rPr>
        <w:t>En el numeral 8.3 inciso ii), se señala como causa de Fuerza Mayor las fallas en el suministro de energía eléctrica, de lo cual se requiere la eliminación de dicho inciso toda vez que es responsabilidad de</w:t>
      </w:r>
      <w:r w:rsidR="000868F7" w:rsidRPr="00826B76">
        <w:rPr>
          <w:rFonts w:ascii="ITC Avant Garde" w:eastAsia="Times New Roman" w:hAnsi="ITC Avant Garde" w:cs="Arial"/>
          <w:bCs/>
          <w:iCs/>
          <w:lang w:val="es-ES_tradnl"/>
        </w:rPr>
        <w:t xml:space="preserve"> Altán</w:t>
      </w:r>
      <w:r w:rsidRPr="00826B76">
        <w:rPr>
          <w:rFonts w:ascii="ITC Avant Garde" w:eastAsia="Times New Roman" w:hAnsi="ITC Avant Garde" w:cs="Arial"/>
          <w:bCs/>
          <w:iCs/>
          <w:lang w:val="es-ES_tradnl"/>
        </w:rPr>
        <w:t xml:space="preserve"> contar con respaldo en la provisión de energía el</w:t>
      </w:r>
      <w:r w:rsidR="00620976" w:rsidRPr="00826B76">
        <w:rPr>
          <w:rFonts w:ascii="ITC Avant Garde" w:eastAsia="Times New Roman" w:hAnsi="ITC Avant Garde" w:cs="Arial"/>
          <w:bCs/>
          <w:iCs/>
          <w:lang w:val="es-ES_tradnl"/>
        </w:rPr>
        <w:t>éctrica para garantizar la continuidad en la prestación de los servicios.</w:t>
      </w:r>
    </w:p>
    <w:p w14:paraId="08AF2850" w14:textId="77777777" w:rsidR="00826B76" w:rsidRPr="00826B76" w:rsidRDefault="00587810"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Novena. Aspectos regulatorios. </w:t>
      </w:r>
      <w:r w:rsidRPr="00826B76">
        <w:rPr>
          <w:rFonts w:ascii="ITC Avant Garde" w:eastAsia="Times New Roman" w:hAnsi="ITC Avant Garde" w:cs="Arial"/>
          <w:bCs/>
          <w:iCs/>
          <w:lang w:val="es-ES_tradnl"/>
        </w:rPr>
        <w:t xml:space="preserve">En el numeral 9.2, inciso iii) se señala que las ofertas de referencia y sus modificaciones posteriores podrán hacerse extensivas al Cliente bajo condiciones de no discriminación si éste así lo solicita, de lo cual se requiere a Altán modificar dicho inciso de acuerdo a lo establecido en la condición 12 de la Concesión, </w:t>
      </w:r>
      <w:r w:rsidR="00CB28FF" w:rsidRPr="00826B76">
        <w:rPr>
          <w:rFonts w:ascii="ITC Avant Garde" w:eastAsia="Times New Roman" w:hAnsi="ITC Avant Garde" w:cs="Arial"/>
          <w:bCs/>
          <w:iCs/>
          <w:lang w:val="es-ES_tradnl"/>
        </w:rPr>
        <w:t>misma que</w:t>
      </w:r>
      <w:r w:rsidRPr="00826B76">
        <w:rPr>
          <w:rFonts w:ascii="ITC Avant Garde" w:eastAsia="Times New Roman" w:hAnsi="ITC Avant Garde" w:cs="Arial"/>
          <w:bCs/>
          <w:iCs/>
          <w:lang w:val="es-ES_tradnl"/>
        </w:rPr>
        <w:t xml:space="preserve"> establece que las modificaciones a las ofertas de referencia deberán hacerse extensivas a los clientes que las soliciten bajo condiciones de no discriminación.</w:t>
      </w:r>
    </w:p>
    <w:p w14:paraId="1997FD2B" w14:textId="77777777" w:rsidR="00826B76" w:rsidRPr="00826B76" w:rsidRDefault="0009015E"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Novena. Aspectos regulatorios. </w:t>
      </w:r>
      <w:r w:rsidRPr="00826B76">
        <w:rPr>
          <w:rFonts w:ascii="ITC Avant Garde" w:eastAsia="Times New Roman" w:hAnsi="ITC Avant Garde" w:cs="Arial"/>
          <w:bCs/>
          <w:iCs/>
          <w:lang w:val="es-ES_tradnl"/>
        </w:rPr>
        <w:t>En el numeral 9.2, inciso iv) se señala que Altán está sujeto a la s</w:t>
      </w:r>
      <w:r w:rsidR="007F1419" w:rsidRPr="00826B76">
        <w:rPr>
          <w:rFonts w:ascii="ITC Avant Garde" w:eastAsia="Times New Roman" w:hAnsi="ITC Avant Garde" w:cs="Arial"/>
          <w:bCs/>
          <w:iCs/>
          <w:lang w:val="es-ES_tradnl"/>
        </w:rPr>
        <w:t>upervisión del Instituto y Prom</w:t>
      </w:r>
      <w:r w:rsidRPr="00826B76">
        <w:rPr>
          <w:rFonts w:ascii="ITC Avant Garde" w:eastAsia="Times New Roman" w:hAnsi="ITC Avant Garde" w:cs="Arial"/>
          <w:bCs/>
          <w:iCs/>
          <w:lang w:val="es-ES_tradnl"/>
        </w:rPr>
        <w:t>tel, por lo que podría estar obligado a proporcionarles información relacionada al Cliente, y para tal efecto realizar auditorías de conformidad con lo establecido en el Contrato. De la revisión del Contrato no se observa el procedimiento para la realización de dichas auditorías por lo que con el fin de otorgar certeza al Cliente se requiere incluir dicho procedimiento, o adecuar la redacción a efecto de apegarse a lo señalado en el Contrato.</w:t>
      </w:r>
    </w:p>
    <w:p w14:paraId="58D2B010" w14:textId="77777777" w:rsidR="00826B76" w:rsidRPr="00826B76" w:rsidRDefault="00065091"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Décimo Cuarta. Modificaciones. </w:t>
      </w:r>
      <w:r w:rsidRPr="00826B76">
        <w:rPr>
          <w:rFonts w:ascii="ITC Avant Garde" w:eastAsia="Times New Roman" w:hAnsi="ITC Avant Garde" w:cs="Arial"/>
          <w:bCs/>
          <w:iCs/>
          <w:lang w:val="es-ES_tradnl"/>
        </w:rPr>
        <w:t xml:space="preserve">En el numeral 14.1 se señala que cualquier modificación a los términos del Contrato deberá constar por escrito firmado </w:t>
      </w:r>
      <w:r w:rsidR="00B53FDC" w:rsidRPr="00826B76">
        <w:rPr>
          <w:rFonts w:ascii="ITC Avant Garde" w:eastAsia="Times New Roman" w:hAnsi="ITC Avant Garde" w:cs="Arial"/>
          <w:bCs/>
          <w:iCs/>
          <w:lang w:val="es-ES_tradnl"/>
        </w:rPr>
        <w:t>entre las Partes, de lo cual se requiere precisar de acuerdo a lo establecido en la Concesión que los cambios realizados en la oferta de referencia deberán ser autorizados por el Instituto antes de su aplicación.</w:t>
      </w:r>
    </w:p>
    <w:p w14:paraId="50933B3B" w14:textId="77777777" w:rsidR="00826B76" w:rsidRPr="00826B76" w:rsidRDefault="00192BBC" w:rsidP="00826B76">
      <w:pPr>
        <w:pStyle w:val="Prrafodelista"/>
        <w:numPr>
          <w:ilvl w:val="1"/>
          <w:numId w:val="9"/>
        </w:numPr>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
          <w:bCs/>
          <w:iCs/>
          <w:lang w:val="es-ES_tradnl"/>
        </w:rPr>
        <w:t xml:space="preserve">Cláusula Décimo Quinta. Obligaciones anticorrupción. </w:t>
      </w:r>
      <w:r w:rsidRPr="00826B76">
        <w:rPr>
          <w:rFonts w:ascii="ITC Avant Garde" w:eastAsia="Times New Roman" w:hAnsi="ITC Avant Garde" w:cs="Arial"/>
          <w:bCs/>
          <w:iCs/>
          <w:lang w:val="es-ES_tradnl"/>
        </w:rPr>
        <w:t xml:space="preserve">El numeral 15.2, inciso iv), establece que los representantes de cada una de las Partes participarán en sesiones de capacitación sobre las leyes en materia de anticorrupción, y que se hará constar su participación a través de la firma de constancias que la otra Parte le entregue y que </w:t>
      </w:r>
      <w:r w:rsidRPr="00826B76">
        <w:rPr>
          <w:rFonts w:ascii="ITC Avant Garde" w:eastAsia="Times New Roman" w:hAnsi="ITC Avant Garde" w:cs="Arial"/>
          <w:bCs/>
          <w:iCs/>
          <w:lang w:val="es-ES_tradnl"/>
        </w:rPr>
        <w:lastRenderedPageBreak/>
        <w:t>cada Parte está facultada para evaluar el nivel de cumplimiento de la otra Parte, de lo cual se observa que no existe un criterio claro sobre el cumplimiento de dicha obligación al contar con discrecionalidad de ambas partes para medir el cumplimiento de lo establecido en el numeral 15.2 de lo cual se requiere la modificación del inciso iv) a efecto de no incluir obligaciones que no contengan criterios claros sobre su cumplimiento, o en su caso justifique la inclusión de dichas obligaciones en el Contrato.</w:t>
      </w:r>
    </w:p>
    <w:p w14:paraId="258F2D4B" w14:textId="77777777" w:rsidR="00826B76" w:rsidRPr="00826B76" w:rsidRDefault="0011165B"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Décimo Quinta. </w:t>
      </w:r>
      <w:r w:rsidR="00EB278A" w:rsidRPr="00826B76">
        <w:rPr>
          <w:rFonts w:ascii="ITC Avant Garde" w:eastAsia="Times New Roman" w:hAnsi="ITC Avant Garde" w:cs="Arial"/>
          <w:b/>
          <w:bCs/>
          <w:iCs/>
          <w:lang w:val="es-ES_tradnl"/>
        </w:rPr>
        <w:t xml:space="preserve">Obligaciones </w:t>
      </w:r>
      <w:r w:rsidR="006D095A" w:rsidRPr="00826B76">
        <w:rPr>
          <w:rFonts w:ascii="ITC Avant Garde" w:eastAsia="Times New Roman" w:hAnsi="ITC Avant Garde" w:cs="Arial"/>
          <w:b/>
          <w:bCs/>
          <w:iCs/>
          <w:lang w:val="es-ES_tradnl"/>
        </w:rPr>
        <w:t xml:space="preserve">en materia de </w:t>
      </w:r>
      <w:r w:rsidR="00EB278A" w:rsidRPr="00826B76">
        <w:rPr>
          <w:rFonts w:ascii="ITC Avant Garde" w:eastAsia="Times New Roman" w:hAnsi="ITC Avant Garde" w:cs="Arial"/>
          <w:b/>
          <w:bCs/>
          <w:iCs/>
          <w:lang w:val="es-ES_tradnl"/>
        </w:rPr>
        <w:t>comercio internacional</w:t>
      </w:r>
      <w:r w:rsidR="006D095A" w:rsidRPr="00826B76">
        <w:rPr>
          <w:rFonts w:ascii="ITC Avant Garde" w:eastAsia="Times New Roman" w:hAnsi="ITC Avant Garde" w:cs="Arial"/>
          <w:b/>
          <w:bCs/>
          <w:iCs/>
          <w:lang w:val="es-ES_tradnl"/>
        </w:rPr>
        <w:t xml:space="preserve"> y de anti</w:t>
      </w:r>
      <w:r w:rsidR="00934B19" w:rsidRPr="00826B76">
        <w:rPr>
          <w:rFonts w:ascii="ITC Avant Garde" w:eastAsia="Times New Roman" w:hAnsi="ITC Avant Garde" w:cs="Arial"/>
          <w:b/>
          <w:bCs/>
          <w:iCs/>
          <w:lang w:val="es-ES_tradnl"/>
        </w:rPr>
        <w:t xml:space="preserve"> </w:t>
      </w:r>
      <w:r w:rsidR="006D095A" w:rsidRPr="00826B76">
        <w:rPr>
          <w:rFonts w:ascii="ITC Avant Garde" w:eastAsia="Times New Roman" w:hAnsi="ITC Avant Garde" w:cs="Arial"/>
          <w:b/>
          <w:bCs/>
          <w:iCs/>
          <w:lang w:val="es-ES_tradnl"/>
        </w:rPr>
        <w:t xml:space="preserve">lavado de dinero. </w:t>
      </w:r>
      <w:r w:rsidRPr="00826B76">
        <w:rPr>
          <w:rFonts w:ascii="ITC Avant Garde" w:eastAsia="Times New Roman" w:hAnsi="ITC Avant Garde" w:cs="Arial"/>
          <w:b/>
          <w:bCs/>
          <w:iCs/>
          <w:lang w:val="es-ES_tradnl"/>
        </w:rPr>
        <w:t xml:space="preserve"> </w:t>
      </w:r>
      <w:r w:rsidR="006D095A" w:rsidRPr="00826B76">
        <w:rPr>
          <w:rFonts w:ascii="ITC Avant Garde" w:eastAsia="Times New Roman" w:hAnsi="ITC Avant Garde" w:cs="Arial"/>
          <w:bCs/>
          <w:iCs/>
          <w:lang w:val="es-ES_tradnl"/>
        </w:rPr>
        <w:t>Los numerales</w:t>
      </w:r>
      <w:r w:rsidR="00EB278A" w:rsidRPr="00826B76">
        <w:rPr>
          <w:rFonts w:ascii="ITC Avant Garde" w:eastAsia="Times New Roman" w:hAnsi="ITC Avant Garde" w:cs="Arial"/>
          <w:bCs/>
          <w:iCs/>
          <w:lang w:val="es-ES_tradnl"/>
        </w:rPr>
        <w:t xml:space="preserve"> </w:t>
      </w:r>
      <w:r w:rsidR="00F15F17" w:rsidRPr="00826B76">
        <w:rPr>
          <w:rFonts w:ascii="ITC Avant Garde" w:eastAsia="Times New Roman" w:hAnsi="ITC Avant Garde" w:cs="Arial"/>
          <w:bCs/>
          <w:iCs/>
          <w:lang w:val="es-ES_tradnl"/>
        </w:rPr>
        <w:t xml:space="preserve">15.2, </w:t>
      </w:r>
      <w:r w:rsidR="00EB278A" w:rsidRPr="00826B76">
        <w:rPr>
          <w:rFonts w:ascii="ITC Avant Garde" w:eastAsia="Times New Roman" w:hAnsi="ITC Avant Garde" w:cs="Arial"/>
          <w:bCs/>
          <w:iCs/>
          <w:lang w:val="es-ES_tradnl"/>
        </w:rPr>
        <w:t>15.3</w:t>
      </w:r>
      <w:r w:rsidR="006D095A" w:rsidRPr="00826B76">
        <w:rPr>
          <w:rFonts w:ascii="ITC Avant Garde" w:eastAsia="Times New Roman" w:hAnsi="ITC Avant Garde" w:cs="Arial"/>
          <w:bCs/>
          <w:iCs/>
          <w:lang w:val="es-ES_tradnl"/>
        </w:rPr>
        <w:t xml:space="preserve"> y 15.4</w:t>
      </w:r>
      <w:r w:rsidR="00EB278A" w:rsidRPr="00826B76">
        <w:rPr>
          <w:rFonts w:ascii="ITC Avant Garde" w:eastAsia="Times New Roman" w:hAnsi="ITC Avant Garde" w:cs="Arial"/>
          <w:bCs/>
          <w:iCs/>
          <w:lang w:val="es-ES_tradnl"/>
        </w:rPr>
        <w:t xml:space="preserve"> señala</w:t>
      </w:r>
      <w:r w:rsidR="006D095A" w:rsidRPr="00826B76">
        <w:rPr>
          <w:rFonts w:ascii="ITC Avant Garde" w:eastAsia="Times New Roman" w:hAnsi="ITC Avant Garde" w:cs="Arial"/>
          <w:bCs/>
          <w:iCs/>
          <w:lang w:val="es-ES_tradnl"/>
        </w:rPr>
        <w:t>n</w:t>
      </w:r>
      <w:r w:rsidR="00EB278A" w:rsidRPr="00826B76">
        <w:rPr>
          <w:rFonts w:ascii="ITC Avant Garde" w:eastAsia="Times New Roman" w:hAnsi="ITC Avant Garde" w:cs="Arial"/>
          <w:bCs/>
          <w:iCs/>
          <w:lang w:val="es-ES_tradnl"/>
        </w:rPr>
        <w:t xml:space="preserve"> diversas obligaciones que las Partes deben cumplir, sin embargo </w:t>
      </w:r>
      <w:r w:rsidR="009E36CC" w:rsidRPr="00826B76">
        <w:rPr>
          <w:rFonts w:ascii="ITC Avant Garde" w:eastAsia="Times New Roman" w:hAnsi="ITC Avant Garde" w:cs="Arial"/>
          <w:bCs/>
          <w:iCs/>
          <w:lang w:val="es-ES_tradnl"/>
        </w:rPr>
        <w:t xml:space="preserve">las mismas </w:t>
      </w:r>
      <w:r w:rsidR="00EB278A" w:rsidRPr="00826B76">
        <w:rPr>
          <w:rFonts w:ascii="ITC Avant Garde" w:eastAsia="Times New Roman" w:hAnsi="ITC Avant Garde" w:cs="Arial"/>
          <w:bCs/>
          <w:iCs/>
          <w:lang w:val="es-ES_tradnl"/>
        </w:rPr>
        <w:t>están referenciadas a leyes y reglamentos extranjeros por lo cual se requiere eliminar dicho</w:t>
      </w:r>
      <w:r w:rsidR="00303D18" w:rsidRPr="00826B76">
        <w:rPr>
          <w:rFonts w:ascii="ITC Avant Garde" w:eastAsia="Times New Roman" w:hAnsi="ITC Avant Garde" w:cs="Arial"/>
          <w:bCs/>
          <w:iCs/>
          <w:lang w:val="es-ES_tradnl"/>
        </w:rPr>
        <w:t>s</w:t>
      </w:r>
      <w:r w:rsidR="00EB278A" w:rsidRPr="00826B76">
        <w:rPr>
          <w:rFonts w:ascii="ITC Avant Garde" w:eastAsia="Times New Roman" w:hAnsi="ITC Avant Garde" w:cs="Arial"/>
          <w:bCs/>
          <w:iCs/>
          <w:lang w:val="es-ES_tradnl"/>
        </w:rPr>
        <w:t xml:space="preserve"> numeral</w:t>
      </w:r>
      <w:r w:rsidR="00303D18" w:rsidRPr="00826B76">
        <w:rPr>
          <w:rFonts w:ascii="ITC Avant Garde" w:eastAsia="Times New Roman" w:hAnsi="ITC Avant Garde" w:cs="Arial"/>
          <w:bCs/>
          <w:iCs/>
          <w:lang w:val="es-ES_tradnl"/>
        </w:rPr>
        <w:t>es</w:t>
      </w:r>
      <w:r w:rsidR="00133145" w:rsidRPr="00826B76">
        <w:rPr>
          <w:rFonts w:ascii="ITC Avant Garde" w:eastAsia="Times New Roman" w:hAnsi="ITC Avant Garde" w:cs="Arial"/>
          <w:bCs/>
          <w:iCs/>
          <w:lang w:val="es-ES_tradnl"/>
        </w:rPr>
        <w:t>,</w:t>
      </w:r>
      <w:r w:rsidR="00EB278A" w:rsidRPr="00826B76">
        <w:rPr>
          <w:rFonts w:ascii="ITC Avant Garde" w:eastAsia="Times New Roman" w:hAnsi="ITC Avant Garde" w:cs="Arial"/>
          <w:bCs/>
          <w:iCs/>
          <w:lang w:val="es-ES_tradnl"/>
        </w:rPr>
        <w:t xml:space="preserve"> </w:t>
      </w:r>
      <w:r w:rsidR="006D095A" w:rsidRPr="00826B76">
        <w:rPr>
          <w:rFonts w:ascii="ITC Avant Garde" w:eastAsia="Times New Roman" w:hAnsi="ITC Avant Garde" w:cs="Arial"/>
          <w:bCs/>
          <w:iCs/>
          <w:lang w:val="es-ES_tradnl"/>
        </w:rPr>
        <w:t xml:space="preserve">toda vez que las obligaciones de las </w:t>
      </w:r>
      <w:r w:rsidR="00F15F17" w:rsidRPr="00826B76">
        <w:rPr>
          <w:rFonts w:ascii="ITC Avant Garde" w:eastAsia="Times New Roman" w:hAnsi="ITC Avant Garde" w:cs="Arial"/>
          <w:bCs/>
          <w:iCs/>
          <w:lang w:val="es-ES_tradnl"/>
        </w:rPr>
        <w:t>P</w:t>
      </w:r>
      <w:r w:rsidR="006D095A" w:rsidRPr="00826B76">
        <w:rPr>
          <w:rFonts w:ascii="ITC Avant Garde" w:eastAsia="Times New Roman" w:hAnsi="ITC Avant Garde" w:cs="Arial"/>
          <w:bCs/>
          <w:iCs/>
          <w:lang w:val="es-ES_tradnl"/>
        </w:rPr>
        <w:t xml:space="preserve">artes al amparo de la Oferta de Referencia deben de regirse por las disposiciones legales, administrativas y reglamentarias de los Estados Unidos Mexicanos, no así al marco legal y regulatorio de los Estados Unidos de América o de </w:t>
      </w:r>
      <w:r w:rsidR="006A366F" w:rsidRPr="00826B76">
        <w:rPr>
          <w:rFonts w:ascii="ITC Avant Garde" w:eastAsia="Times New Roman" w:hAnsi="ITC Avant Garde" w:cs="Arial"/>
          <w:bCs/>
          <w:iCs/>
          <w:lang w:val="es-ES_tradnl"/>
        </w:rPr>
        <w:t>otros Estados</w:t>
      </w:r>
      <w:r w:rsidR="006D095A" w:rsidRPr="00826B76">
        <w:rPr>
          <w:rFonts w:ascii="ITC Avant Garde" w:eastAsia="Times New Roman" w:hAnsi="ITC Avant Garde" w:cs="Arial"/>
          <w:bCs/>
          <w:iCs/>
          <w:lang w:val="es-ES_tradnl"/>
        </w:rPr>
        <w:t xml:space="preserve">, </w:t>
      </w:r>
      <w:r w:rsidR="00133145" w:rsidRPr="00826B76">
        <w:rPr>
          <w:rFonts w:ascii="ITC Avant Garde" w:eastAsia="Times New Roman" w:hAnsi="ITC Avant Garde" w:cs="Arial"/>
          <w:bCs/>
          <w:iCs/>
          <w:lang w:val="es-ES_tradnl"/>
        </w:rPr>
        <w:t>asimismo se señala que el establecimiento</w:t>
      </w:r>
      <w:r w:rsidR="006D095A" w:rsidRPr="00826B76">
        <w:rPr>
          <w:rFonts w:ascii="ITC Avant Garde" w:eastAsia="Times New Roman" w:hAnsi="ITC Avant Garde" w:cs="Arial"/>
          <w:bCs/>
          <w:iCs/>
          <w:lang w:val="es-ES_tradnl"/>
        </w:rPr>
        <w:t xml:space="preserve"> de obligaciones en materia de comercio internacional y/o lavado de dinero, no forman p</w:t>
      </w:r>
      <w:r w:rsidR="00133145" w:rsidRPr="00826B76">
        <w:rPr>
          <w:rFonts w:ascii="ITC Avant Garde" w:eastAsia="Times New Roman" w:hAnsi="ITC Avant Garde" w:cs="Arial"/>
          <w:bCs/>
          <w:iCs/>
          <w:lang w:val="es-ES_tradnl"/>
        </w:rPr>
        <w:t>arte de la Oferta de Referencia</w:t>
      </w:r>
      <w:r w:rsidR="002C57BE" w:rsidRPr="00826B76">
        <w:rPr>
          <w:rFonts w:ascii="ITC Avant Garde" w:eastAsia="Times New Roman" w:hAnsi="ITC Avant Garde" w:cs="Arial"/>
          <w:bCs/>
          <w:iCs/>
          <w:lang w:val="es-ES_tradnl"/>
        </w:rPr>
        <w:t xml:space="preserve">, o en su caso </w:t>
      </w:r>
      <w:r w:rsidR="002D0638" w:rsidRPr="00826B76">
        <w:rPr>
          <w:rFonts w:ascii="ITC Avant Garde" w:eastAsia="Times New Roman" w:hAnsi="ITC Avant Garde" w:cs="Arial"/>
          <w:bCs/>
          <w:iCs/>
          <w:lang w:val="es-ES_tradnl"/>
        </w:rPr>
        <w:t xml:space="preserve">deberá </w:t>
      </w:r>
      <w:r w:rsidR="002C57BE" w:rsidRPr="00826B76">
        <w:rPr>
          <w:rFonts w:ascii="ITC Avant Garde" w:eastAsia="Times New Roman" w:hAnsi="ITC Avant Garde" w:cs="Arial"/>
          <w:bCs/>
          <w:iCs/>
          <w:lang w:val="es-ES_tradnl"/>
        </w:rPr>
        <w:t>justificar la inclusión de dichas obligaciones en el Contrato.</w:t>
      </w:r>
    </w:p>
    <w:p w14:paraId="47E6EFCE" w14:textId="77777777" w:rsidR="00826B76" w:rsidRPr="00826B76" w:rsidRDefault="00DA686B"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Trato no discriminatorio. </w:t>
      </w:r>
      <w:r w:rsidR="00195F98" w:rsidRPr="00826B76">
        <w:rPr>
          <w:rFonts w:ascii="ITC Avant Garde" w:eastAsia="Times New Roman" w:hAnsi="ITC Avant Garde" w:cs="Arial"/>
          <w:bCs/>
          <w:iCs/>
          <w:lang w:val="es-ES_tradnl"/>
        </w:rPr>
        <w:t xml:space="preserve">En términos del principio de no discriminación establecido en la Concesión, se solicita incluir una cláusula adicional que señale que en caso de que Altán otorgue términos y condiciones </w:t>
      </w:r>
      <w:r w:rsidR="006A366F" w:rsidRPr="00826B76">
        <w:rPr>
          <w:rFonts w:ascii="ITC Avant Garde" w:eastAsia="Times New Roman" w:hAnsi="ITC Avant Garde" w:cs="Arial"/>
          <w:bCs/>
          <w:iCs/>
          <w:lang w:val="es-ES_tradnl"/>
        </w:rPr>
        <w:t xml:space="preserve">más favorables </w:t>
      </w:r>
      <w:r w:rsidR="00195F98" w:rsidRPr="00826B76">
        <w:rPr>
          <w:rFonts w:ascii="ITC Avant Garde" w:eastAsia="Times New Roman" w:hAnsi="ITC Avant Garde" w:cs="Arial"/>
          <w:bCs/>
          <w:iCs/>
          <w:lang w:val="es-ES_tradnl"/>
        </w:rPr>
        <w:t>a otros Clientes, deberá hacer</w:t>
      </w:r>
      <w:r w:rsidR="00016F03" w:rsidRPr="00826B76">
        <w:rPr>
          <w:rFonts w:ascii="ITC Avant Garde" w:eastAsia="Times New Roman" w:hAnsi="ITC Avant Garde" w:cs="Arial"/>
          <w:bCs/>
          <w:iCs/>
          <w:lang w:val="es-ES_tradnl"/>
        </w:rPr>
        <w:t>los</w:t>
      </w:r>
      <w:r w:rsidR="00195F98" w:rsidRPr="00826B76">
        <w:rPr>
          <w:rFonts w:ascii="ITC Avant Garde" w:eastAsia="Times New Roman" w:hAnsi="ITC Avant Garde" w:cs="Arial"/>
          <w:bCs/>
          <w:iCs/>
          <w:lang w:val="es-ES_tradnl"/>
        </w:rPr>
        <w:t xml:space="preserve"> extensivos al Cliente que se lo solicita a partir de la fecha de su solicitud. </w:t>
      </w:r>
    </w:p>
    <w:p w14:paraId="3D1CF1F7" w14:textId="77777777" w:rsidR="00826B76" w:rsidRPr="00826B76" w:rsidRDefault="00D13679" w:rsidP="00826B76">
      <w:pPr>
        <w:pStyle w:val="Prrafodelista"/>
        <w:spacing w:before="240"/>
        <w:ind w:left="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ANÁLISIS DE LOS ANEXOS</w:t>
      </w:r>
    </w:p>
    <w:p w14:paraId="09BD36D0" w14:textId="77777777" w:rsidR="00826B76" w:rsidRPr="00826B76" w:rsidRDefault="00087752" w:rsidP="00826B76">
      <w:pPr>
        <w:pStyle w:val="Prrafodelista"/>
        <w:spacing w:before="240"/>
        <w:ind w:left="0"/>
        <w:jc w:val="both"/>
        <w:rPr>
          <w:rFonts w:ascii="ITC Avant Garde" w:eastAsia="Times New Roman" w:hAnsi="ITC Avant Garde" w:cs="Arial"/>
          <w:b/>
          <w:bCs/>
          <w:iCs/>
          <w:u w:val="single"/>
          <w:lang w:val="es-ES_tradnl"/>
        </w:rPr>
      </w:pPr>
      <w:r w:rsidRPr="00826B76">
        <w:rPr>
          <w:rFonts w:ascii="ITC Avant Garde" w:eastAsia="Times New Roman" w:hAnsi="ITC Avant Garde" w:cs="Arial"/>
          <w:b/>
          <w:bCs/>
          <w:iCs/>
          <w:u w:val="single"/>
          <w:lang w:val="es-ES_tradnl"/>
        </w:rPr>
        <w:t>FACTURACIÓN Y GARANTÍAS</w:t>
      </w:r>
    </w:p>
    <w:p w14:paraId="1B18D63E" w14:textId="77777777" w:rsidR="00826B76" w:rsidRPr="00826B76" w:rsidRDefault="00087752"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Tercera. Formato de CDR/EDR. </w:t>
      </w:r>
      <w:r w:rsidRPr="00826B76">
        <w:rPr>
          <w:rFonts w:ascii="ITC Avant Garde" w:eastAsia="Times New Roman" w:hAnsi="ITC Avant Garde" w:cs="Arial"/>
          <w:bCs/>
          <w:iCs/>
          <w:lang w:val="es-ES_tradnl"/>
        </w:rPr>
        <w:t>En el numeral 3.3 se señala que Altán proporcionará diariamente al Cliente un archivo con los registros de detalle de llamadas (CDR de sus siglas en inglés, Call Detail Records) y los registros de detalle de eventos (EDR de sus siglas en inglés, Event Detail Records) generados por sus usuarios cuyo formato será específico para cada servicio y estará detallado en el Anexo correspondiente. Del análisis de los anexos y apéndices del Contrato se observa la falta de dicho formato por lo que, a efecto de contar con la información necesaria para lectura de los registros señalados se requiere agregar la información faltante en el Anexo correspondiente.</w:t>
      </w:r>
    </w:p>
    <w:p w14:paraId="7D55D0FF" w14:textId="77777777" w:rsidR="00826B76" w:rsidRPr="00826B76" w:rsidRDefault="005D18A8"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 xml:space="preserve">Cláusula Séptima. Incumplimiento garantía. </w:t>
      </w:r>
      <w:r w:rsidRPr="00826B76">
        <w:rPr>
          <w:rFonts w:ascii="ITC Avant Garde" w:eastAsia="Times New Roman" w:hAnsi="ITC Avant Garde" w:cs="Arial"/>
          <w:bCs/>
          <w:iCs/>
          <w:lang w:val="es-ES_tradnl"/>
        </w:rPr>
        <w:t xml:space="preserve">En el numeral 7.3 se señala que la falta de entrega </w:t>
      </w:r>
      <w:r w:rsidR="00543A9F" w:rsidRPr="00826B76">
        <w:rPr>
          <w:rFonts w:ascii="ITC Avant Garde" w:eastAsia="Times New Roman" w:hAnsi="ITC Avant Garde" w:cs="Arial"/>
          <w:bCs/>
          <w:iCs/>
          <w:lang w:val="es-ES_tradnl"/>
        </w:rPr>
        <w:t>por parte del Cliente d</w:t>
      </w:r>
      <w:r w:rsidRPr="00826B76">
        <w:rPr>
          <w:rFonts w:ascii="ITC Avant Garde" w:eastAsia="Times New Roman" w:hAnsi="ITC Avant Garde" w:cs="Arial"/>
          <w:bCs/>
          <w:iCs/>
          <w:lang w:val="es-ES_tradnl"/>
        </w:rPr>
        <w:t>el monto</w:t>
      </w:r>
      <w:r w:rsidR="00543A9F" w:rsidRPr="00826B76">
        <w:rPr>
          <w:rFonts w:ascii="ITC Avant Garde" w:eastAsia="Times New Roman" w:hAnsi="ITC Avant Garde" w:cs="Arial"/>
          <w:bCs/>
          <w:iCs/>
          <w:lang w:val="es-ES_tradnl"/>
        </w:rPr>
        <w:t xml:space="preserve"> adicional de la garantía que se determine</w:t>
      </w:r>
      <w:r w:rsidR="00016F03" w:rsidRPr="00826B76">
        <w:rPr>
          <w:rFonts w:ascii="ITC Avant Garde" w:eastAsia="Times New Roman" w:hAnsi="ITC Avant Garde" w:cs="Arial"/>
          <w:bCs/>
          <w:iCs/>
          <w:lang w:val="es-ES_tradnl"/>
        </w:rPr>
        <w:t xml:space="preserve"> del cálculo trimestral que Alt</w:t>
      </w:r>
      <w:r w:rsidR="00543A9F" w:rsidRPr="00826B76">
        <w:rPr>
          <w:rFonts w:ascii="ITC Avant Garde" w:eastAsia="Times New Roman" w:hAnsi="ITC Avant Garde" w:cs="Arial"/>
          <w:bCs/>
          <w:iCs/>
          <w:lang w:val="es-ES_tradnl"/>
        </w:rPr>
        <w:t>án realice</w:t>
      </w:r>
      <w:r w:rsidRPr="00826B76">
        <w:rPr>
          <w:rFonts w:ascii="ITC Avant Garde" w:eastAsia="Times New Roman" w:hAnsi="ITC Avant Garde" w:cs="Arial"/>
          <w:bCs/>
          <w:iCs/>
          <w:lang w:val="es-ES_tradnl"/>
        </w:rPr>
        <w:t xml:space="preserve"> será una causal de incumplimiento que </w:t>
      </w:r>
      <w:r w:rsidR="00A65B26" w:rsidRPr="00826B76">
        <w:rPr>
          <w:rFonts w:ascii="ITC Avant Garde" w:eastAsia="Times New Roman" w:hAnsi="ITC Avant Garde" w:cs="Arial"/>
          <w:bCs/>
          <w:iCs/>
          <w:lang w:val="es-ES_tradnl"/>
        </w:rPr>
        <w:t>dará lugar a la suspensión del s</w:t>
      </w:r>
      <w:r w:rsidRPr="00826B76">
        <w:rPr>
          <w:rFonts w:ascii="ITC Avant Garde" w:eastAsia="Times New Roman" w:hAnsi="ITC Avant Garde" w:cs="Arial"/>
          <w:bCs/>
          <w:iCs/>
          <w:lang w:val="es-ES_tradnl"/>
        </w:rPr>
        <w:t>ervicio, sin embargo ello es contradictorio con lo señalado en el Contrato en el numeral 7.7 donde se señala que es una causa de rescisión por lo que se solicita aclarar la consecuencia.</w:t>
      </w:r>
    </w:p>
    <w:p w14:paraId="06A29B8D" w14:textId="77777777" w:rsidR="00826B76" w:rsidRPr="00826B76" w:rsidRDefault="008A0B12"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lang w:val="es-ES_tradnl"/>
        </w:rPr>
      </w:pPr>
      <w:r w:rsidRPr="00826B76">
        <w:rPr>
          <w:rFonts w:ascii="ITC Avant Garde" w:eastAsia="Times New Roman" w:hAnsi="ITC Avant Garde" w:cs="Arial"/>
          <w:b/>
          <w:bCs/>
          <w:iCs/>
          <w:lang w:val="es-ES_tradnl"/>
        </w:rPr>
        <w:t>Cláusula Séptima. Devolución importe garantía.</w:t>
      </w:r>
      <w:r w:rsidRPr="00826B76">
        <w:rPr>
          <w:rFonts w:ascii="ITC Avant Garde" w:eastAsia="Times New Roman" w:hAnsi="ITC Avant Garde" w:cs="Arial"/>
          <w:bCs/>
          <w:iCs/>
          <w:lang w:val="es-ES_tradnl"/>
        </w:rPr>
        <w:t xml:space="preserve"> El numeral 7.4 señala que en caso de una reducción del monto de la garantía derivado del cálculo trimestral que Altán </w:t>
      </w:r>
      <w:r w:rsidRPr="00826B76">
        <w:rPr>
          <w:rFonts w:ascii="ITC Avant Garde" w:eastAsia="Times New Roman" w:hAnsi="ITC Avant Garde" w:cs="Arial"/>
          <w:bCs/>
          <w:iCs/>
          <w:lang w:val="es-ES_tradnl"/>
        </w:rPr>
        <w:lastRenderedPageBreak/>
        <w:t>realice, dicho concesionario devolverá dicho monto al Cliente, de lo cual se observa que es necesario que Altán notifique al Cliente sobre dicha reducción a efecto de que el Cliente realice las acciones pertinentes, por lo que se requiere a Altán incluir la notificación correspondiente, asimismo incluir el plazo de diez días para que el banco emisor realice la reducción del monto de la carta de crédito correspondiente.</w:t>
      </w:r>
    </w:p>
    <w:p w14:paraId="61F907BA" w14:textId="77777777" w:rsidR="00826B76" w:rsidRPr="00826B76" w:rsidRDefault="00166FD7" w:rsidP="00826B76">
      <w:pPr>
        <w:pStyle w:val="Prrafodelista"/>
        <w:spacing w:before="240"/>
        <w:ind w:left="0"/>
        <w:jc w:val="both"/>
        <w:rPr>
          <w:rFonts w:ascii="ITC Avant Garde" w:eastAsia="Times New Roman" w:hAnsi="ITC Avant Garde" w:cs="Arial"/>
          <w:b/>
          <w:bCs/>
          <w:iCs/>
          <w:u w:val="single"/>
          <w:lang w:val="es-ES_tradnl"/>
        </w:rPr>
      </w:pPr>
      <w:r w:rsidRPr="00826B76">
        <w:rPr>
          <w:rFonts w:ascii="ITC Avant Garde" w:eastAsia="Times New Roman" w:hAnsi="ITC Avant Garde" w:cs="Arial"/>
          <w:b/>
          <w:bCs/>
          <w:iCs/>
          <w:u w:val="single"/>
          <w:lang w:val="es-ES_tradnl"/>
        </w:rPr>
        <w:t>PROCEDIMIENTOS OPERATIVOS</w:t>
      </w:r>
    </w:p>
    <w:p w14:paraId="03EFA33E" w14:textId="77777777" w:rsidR="00826B76" w:rsidRPr="00826B76" w:rsidRDefault="00BE391F"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
          <w:bCs/>
          <w:iCs/>
          <w:lang w:val="es-ES_tradnl"/>
        </w:rPr>
        <w:t xml:space="preserve">Cláusula Segunda. Especificaciones funcionales. </w:t>
      </w:r>
      <w:r w:rsidRPr="00826B76">
        <w:rPr>
          <w:rFonts w:ascii="ITC Avant Garde" w:eastAsia="Times New Roman" w:hAnsi="ITC Avant Garde" w:cs="Arial"/>
          <w:bCs/>
          <w:iCs/>
          <w:lang w:val="es-ES_tradnl"/>
        </w:rPr>
        <w:t xml:space="preserve">En el numeral 2.5 se señala que el Cliente entregará el documento de especificaciones funcionales y de servicio </w:t>
      </w:r>
      <w:r w:rsidR="006310A4" w:rsidRPr="00826B76">
        <w:rPr>
          <w:rFonts w:ascii="ITC Avant Garde" w:eastAsia="Times New Roman" w:hAnsi="ITC Avant Garde" w:cs="Arial"/>
          <w:bCs/>
          <w:iCs/>
          <w:lang w:val="es-ES_tradnl"/>
        </w:rPr>
        <w:t xml:space="preserve">que contendrá: i) las especificaciones funcionales de los servicios; ii) la definición de los flujos de trabajo, procesos de negocio, interfaces e integraciones con terceras partes, entre otras, en un plazo no mayor a 15 (quince) días naturales posteriores a la firma del Contrato. La información señalada constituye la definición de todos los aspectos necesarios para la prestación del servicio por lo cual, a efecto de contar con un plazo de tiempo suficiente, </w:t>
      </w:r>
      <w:r w:rsidR="00DF593B" w:rsidRPr="00826B76">
        <w:rPr>
          <w:rFonts w:ascii="ITC Avant Garde" w:eastAsia="Times New Roman" w:hAnsi="ITC Avant Garde" w:cs="Arial"/>
          <w:bCs/>
          <w:iCs/>
          <w:lang w:val="es-ES_tradnl"/>
        </w:rPr>
        <w:t xml:space="preserve">considerando </w:t>
      </w:r>
      <w:r w:rsidR="006310A4" w:rsidRPr="00826B76">
        <w:rPr>
          <w:rFonts w:ascii="ITC Avant Garde" w:eastAsia="Times New Roman" w:hAnsi="ITC Avant Garde" w:cs="Arial"/>
          <w:bCs/>
          <w:iCs/>
          <w:lang w:val="es-ES_tradnl"/>
        </w:rPr>
        <w:t xml:space="preserve">la cantidad de información y definiciones que el Cliente debe incluir </w:t>
      </w:r>
      <w:r w:rsidR="00DF593B" w:rsidRPr="00826B76">
        <w:rPr>
          <w:rFonts w:ascii="ITC Avant Garde" w:eastAsia="Times New Roman" w:hAnsi="ITC Avant Garde" w:cs="Arial"/>
          <w:bCs/>
          <w:iCs/>
          <w:lang w:val="es-ES_tradnl"/>
        </w:rPr>
        <w:t xml:space="preserve">en dicho documento, </w:t>
      </w:r>
      <w:r w:rsidR="006310A4" w:rsidRPr="00826B76">
        <w:rPr>
          <w:rFonts w:ascii="ITC Avant Garde" w:eastAsia="Times New Roman" w:hAnsi="ITC Avant Garde" w:cs="Arial"/>
          <w:bCs/>
          <w:iCs/>
          <w:lang w:val="es-ES_tradnl"/>
        </w:rPr>
        <w:t xml:space="preserve">se requiere </w:t>
      </w:r>
      <w:r w:rsidR="00DF593B" w:rsidRPr="00826B76">
        <w:rPr>
          <w:rFonts w:ascii="ITC Avant Garde" w:eastAsia="Times New Roman" w:hAnsi="ITC Avant Garde" w:cs="Arial"/>
          <w:bCs/>
          <w:iCs/>
          <w:lang w:val="es-ES_tradnl"/>
        </w:rPr>
        <w:t xml:space="preserve">a Altán </w:t>
      </w:r>
      <w:r w:rsidR="006310A4" w:rsidRPr="00826B76">
        <w:rPr>
          <w:rFonts w:ascii="ITC Avant Garde" w:eastAsia="Times New Roman" w:hAnsi="ITC Avant Garde" w:cs="Arial"/>
          <w:bCs/>
          <w:iCs/>
          <w:lang w:val="es-ES_tradnl"/>
        </w:rPr>
        <w:t>la ampliación de dicho plazo</w:t>
      </w:r>
      <w:r w:rsidR="00B11CBE" w:rsidRPr="00826B76">
        <w:rPr>
          <w:rFonts w:ascii="ITC Avant Garde" w:eastAsia="Times New Roman" w:hAnsi="ITC Avant Garde" w:cs="Arial"/>
          <w:bCs/>
          <w:iCs/>
          <w:lang w:val="es-ES_tradnl"/>
        </w:rPr>
        <w:t>, o en su caso justificar por qué</w:t>
      </w:r>
      <w:r w:rsidR="00DF593B" w:rsidRPr="00826B76">
        <w:rPr>
          <w:rFonts w:ascii="ITC Avant Garde" w:eastAsia="Times New Roman" w:hAnsi="ITC Avant Garde" w:cs="Arial"/>
          <w:bCs/>
          <w:iCs/>
          <w:lang w:val="es-ES_tradnl"/>
        </w:rPr>
        <w:t xml:space="preserve"> el mismo</w:t>
      </w:r>
      <w:r w:rsidR="00B11CBE" w:rsidRPr="00826B76">
        <w:rPr>
          <w:rFonts w:ascii="ITC Avant Garde" w:eastAsia="Times New Roman" w:hAnsi="ITC Avant Garde" w:cs="Arial"/>
          <w:bCs/>
          <w:iCs/>
          <w:lang w:val="es-ES_tradnl"/>
        </w:rPr>
        <w:t xml:space="preserve"> resulta suficiente</w:t>
      </w:r>
      <w:r w:rsidR="006310A4" w:rsidRPr="00826B76">
        <w:rPr>
          <w:rFonts w:ascii="ITC Avant Garde" w:eastAsia="Times New Roman" w:hAnsi="ITC Avant Garde" w:cs="Arial"/>
          <w:bCs/>
          <w:iCs/>
          <w:lang w:val="es-ES_tradnl"/>
        </w:rPr>
        <w:t xml:space="preserve">. </w:t>
      </w:r>
    </w:p>
    <w:p w14:paraId="5636276B" w14:textId="77777777" w:rsidR="00826B76" w:rsidRPr="00826B76" w:rsidRDefault="00C83C6D"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
          <w:bCs/>
          <w:iCs/>
          <w:lang w:val="es-ES_tradnl"/>
        </w:rPr>
        <w:t xml:space="preserve">Cláusula Tercera. Notificaciones al Cliente. </w:t>
      </w:r>
      <w:r w:rsidRPr="00826B76">
        <w:rPr>
          <w:rFonts w:ascii="ITC Avant Garde" w:eastAsia="Times New Roman" w:hAnsi="ITC Avant Garde" w:cs="Arial"/>
          <w:bCs/>
          <w:iCs/>
          <w:lang w:val="es-ES_tradnl"/>
        </w:rPr>
        <w:t>En el numeral 3.1 Gestión Operativa y Comercial del Cliente se señala que Altán pondrá a disposición del Cliente el Centro de Operaciones de la red (NOC) para el reporte de fallas y un responsable comercial que gestionará las solicitudes comerciales y técnicas del Cliente. El numeral 3.1.1.1 Organización del Centro de Operaciones, señala que Altán facilitará al Cliente un sistema para el levantamiento de reportes de falla así como un teléfono de contacto.</w:t>
      </w:r>
    </w:p>
    <w:p w14:paraId="0633863F" w14:textId="77777777" w:rsidR="00826B76" w:rsidRPr="00826B76" w:rsidRDefault="00C83C6D" w:rsidP="00826B76">
      <w:pPr>
        <w:spacing w:before="240" w:after="20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 xml:space="preserve">De lo anterior, se observa que la oferta de referencia presentada por Altán contiene los medios a través de los cuales el Cliente tendrá comunicación con Altán, </w:t>
      </w:r>
      <w:r w:rsidR="00166FD7" w:rsidRPr="00826B76">
        <w:rPr>
          <w:rFonts w:ascii="ITC Avant Garde" w:eastAsia="Times New Roman" w:hAnsi="ITC Avant Garde" w:cs="Arial"/>
          <w:bCs/>
          <w:iCs/>
          <w:lang w:val="es-ES_tradnl"/>
        </w:rPr>
        <w:t>sin embargo</w:t>
      </w:r>
      <w:r w:rsidRPr="00826B76">
        <w:rPr>
          <w:rFonts w:ascii="ITC Avant Garde" w:eastAsia="Times New Roman" w:hAnsi="ITC Avant Garde" w:cs="Arial"/>
          <w:bCs/>
          <w:iCs/>
          <w:lang w:val="es-ES_tradnl"/>
        </w:rPr>
        <w:t xml:space="preserve"> no se indica el </w:t>
      </w:r>
      <w:r w:rsidR="002B6B5F" w:rsidRPr="00826B76">
        <w:rPr>
          <w:rFonts w:ascii="ITC Avant Garde" w:eastAsia="Times New Roman" w:hAnsi="ITC Avant Garde" w:cs="Arial"/>
          <w:bCs/>
          <w:iCs/>
          <w:lang w:val="es-ES_tradnl"/>
        </w:rPr>
        <w:t xml:space="preserve">medio </w:t>
      </w:r>
      <w:r w:rsidRPr="00826B76">
        <w:rPr>
          <w:rFonts w:ascii="ITC Avant Garde" w:eastAsia="Times New Roman" w:hAnsi="ITC Avant Garde" w:cs="Arial"/>
          <w:bCs/>
          <w:iCs/>
          <w:lang w:val="es-ES_tradnl"/>
        </w:rPr>
        <w:t>a través del cual Altán notificar</w:t>
      </w:r>
      <w:r w:rsidR="00166FD7" w:rsidRPr="00826B76">
        <w:rPr>
          <w:rFonts w:ascii="ITC Avant Garde" w:eastAsia="Times New Roman" w:hAnsi="ITC Avant Garde" w:cs="Arial"/>
          <w:bCs/>
          <w:iCs/>
          <w:lang w:val="es-ES_tradnl"/>
        </w:rPr>
        <w:t xml:space="preserve">á al Cliente de la programación de trabajos de mantenimiento, entre otras notificaciones que son necesarias para que el Cliente pueda realizar las acciones </w:t>
      </w:r>
      <w:r w:rsidR="00E768F0" w:rsidRPr="00826B76">
        <w:rPr>
          <w:rFonts w:ascii="ITC Avant Garde" w:eastAsia="Times New Roman" w:hAnsi="ITC Avant Garde" w:cs="Arial"/>
          <w:bCs/>
          <w:iCs/>
          <w:lang w:val="es-ES_tradnl"/>
        </w:rPr>
        <w:t>pertinentes</w:t>
      </w:r>
      <w:r w:rsidR="00166FD7" w:rsidRPr="00826B76">
        <w:rPr>
          <w:rFonts w:ascii="ITC Avant Garde" w:eastAsia="Times New Roman" w:hAnsi="ITC Avant Garde" w:cs="Arial"/>
          <w:bCs/>
          <w:iCs/>
          <w:lang w:val="es-ES_tradnl"/>
        </w:rPr>
        <w:t xml:space="preserve"> por lo que se requiere modificar la oferta a efecto de señalar el medio que se utilizará para notificar al Cliente.</w:t>
      </w:r>
    </w:p>
    <w:p w14:paraId="1BDAA2BD" w14:textId="77777777" w:rsidR="00826B76" w:rsidRPr="00826B76" w:rsidRDefault="00BE578F" w:rsidP="00826B76">
      <w:pPr>
        <w:pStyle w:val="Prrafodelista"/>
        <w:numPr>
          <w:ilvl w:val="1"/>
          <w:numId w:val="9"/>
        </w:numPr>
        <w:tabs>
          <w:tab w:val="left" w:pos="567"/>
        </w:tabs>
        <w:spacing w:before="240"/>
        <w:ind w:left="0" w:firstLine="0"/>
        <w:jc w:val="both"/>
        <w:rPr>
          <w:rFonts w:ascii="ITC Avant Garde" w:eastAsia="Times New Roman" w:hAnsi="ITC Avant Garde" w:cs="Arial"/>
          <w:b/>
          <w:bCs/>
          <w:iCs/>
          <w:u w:val="single"/>
          <w:lang w:val="es-ES_tradnl"/>
        </w:rPr>
      </w:pPr>
      <w:r w:rsidRPr="00826B76">
        <w:rPr>
          <w:rFonts w:ascii="ITC Avant Garde" w:eastAsia="Times New Roman" w:hAnsi="ITC Avant Garde" w:cs="Arial"/>
          <w:b/>
          <w:bCs/>
          <w:iCs/>
          <w:lang w:val="es-ES_tradnl"/>
        </w:rPr>
        <w:t xml:space="preserve">Cláusula Tercera. Plazo para notificar trabajos planeados. </w:t>
      </w:r>
      <w:r w:rsidRPr="00826B76">
        <w:rPr>
          <w:rFonts w:ascii="ITC Avant Garde" w:eastAsia="Times New Roman" w:hAnsi="ITC Avant Garde" w:cs="Arial"/>
          <w:bCs/>
          <w:iCs/>
          <w:lang w:val="es-ES_tradnl"/>
        </w:rPr>
        <w:t xml:space="preserve">En el numeral 3.1.1.3 </w:t>
      </w:r>
      <w:r w:rsidR="00E768F0" w:rsidRPr="00826B76">
        <w:rPr>
          <w:rFonts w:ascii="ITC Avant Garde" w:eastAsia="Times New Roman" w:hAnsi="ITC Avant Garde" w:cs="Arial"/>
          <w:bCs/>
          <w:iCs/>
          <w:lang w:val="es-ES_tradnl"/>
        </w:rPr>
        <w:t xml:space="preserve">Programas de Mantenimiento, </w:t>
      </w:r>
      <w:r w:rsidRPr="00826B76">
        <w:rPr>
          <w:rFonts w:ascii="ITC Avant Garde" w:eastAsia="Times New Roman" w:hAnsi="ITC Avant Garde" w:cs="Arial"/>
          <w:bCs/>
          <w:iCs/>
          <w:lang w:val="es-ES_tradnl"/>
        </w:rPr>
        <w:t xml:space="preserve">se señala que Altán realizará la planificación del mantenimiento preventivo </w:t>
      </w:r>
      <w:r w:rsidR="00E768F0" w:rsidRPr="00826B76">
        <w:rPr>
          <w:rFonts w:ascii="ITC Avant Garde" w:eastAsia="Times New Roman" w:hAnsi="ITC Avant Garde" w:cs="Arial"/>
          <w:bCs/>
          <w:iCs/>
          <w:lang w:val="es-ES_tradnl"/>
        </w:rPr>
        <w:t xml:space="preserve">y la misma </w:t>
      </w:r>
      <w:r w:rsidR="00E96AB2" w:rsidRPr="00826B76">
        <w:rPr>
          <w:rFonts w:ascii="ITC Avant Garde" w:eastAsia="Times New Roman" w:hAnsi="ITC Avant Garde" w:cs="Arial"/>
          <w:bCs/>
          <w:iCs/>
          <w:lang w:val="es-ES_tradnl"/>
        </w:rPr>
        <w:t>será notificada</w:t>
      </w:r>
      <w:r w:rsidRPr="00826B76">
        <w:rPr>
          <w:rFonts w:ascii="ITC Avant Garde" w:eastAsia="Times New Roman" w:hAnsi="ITC Avant Garde" w:cs="Arial"/>
          <w:bCs/>
          <w:iCs/>
          <w:lang w:val="es-ES_tradnl"/>
        </w:rPr>
        <w:t xml:space="preserve"> al Cliente, no obstante lo anterior, no se especifica el procedimiento </w:t>
      </w:r>
      <w:r w:rsidR="008C6BB3" w:rsidRPr="00826B76">
        <w:rPr>
          <w:rFonts w:ascii="ITC Avant Garde" w:eastAsia="Times New Roman" w:hAnsi="ITC Avant Garde" w:cs="Arial"/>
          <w:bCs/>
          <w:iCs/>
          <w:lang w:val="es-ES_tradnl"/>
        </w:rPr>
        <w:t xml:space="preserve">para acordar con el Cliente la ejecución de dichos trabajos, </w:t>
      </w:r>
      <w:r w:rsidRPr="00826B76">
        <w:rPr>
          <w:rFonts w:ascii="ITC Avant Garde" w:eastAsia="Times New Roman" w:hAnsi="ITC Avant Garde" w:cs="Arial"/>
          <w:bCs/>
          <w:iCs/>
          <w:lang w:val="es-ES_tradnl"/>
        </w:rPr>
        <w:t>así como los plazos</w:t>
      </w:r>
      <w:r w:rsidR="008C6BB3" w:rsidRPr="00826B76">
        <w:rPr>
          <w:rFonts w:ascii="ITC Avant Garde" w:eastAsia="Times New Roman" w:hAnsi="ITC Avant Garde" w:cs="Arial"/>
          <w:bCs/>
          <w:iCs/>
          <w:lang w:val="es-ES_tradnl"/>
        </w:rPr>
        <w:t xml:space="preserve"> para la notificación del</w:t>
      </w:r>
      <w:r w:rsidRPr="00826B76">
        <w:rPr>
          <w:rFonts w:ascii="ITC Avant Garde" w:eastAsia="Times New Roman" w:hAnsi="ITC Avant Garde" w:cs="Arial"/>
          <w:bCs/>
          <w:iCs/>
          <w:lang w:val="es-ES_tradnl"/>
        </w:rPr>
        <w:t xml:space="preserve"> trabajo planeado </w:t>
      </w:r>
      <w:r w:rsidR="008C6BB3" w:rsidRPr="00826B76">
        <w:rPr>
          <w:rFonts w:ascii="ITC Avant Garde" w:eastAsia="Times New Roman" w:hAnsi="ITC Avant Garde" w:cs="Arial"/>
          <w:bCs/>
          <w:iCs/>
          <w:lang w:val="es-ES_tradnl"/>
        </w:rPr>
        <w:t xml:space="preserve">y </w:t>
      </w:r>
      <w:r w:rsidRPr="00826B76">
        <w:rPr>
          <w:rFonts w:ascii="ITC Avant Garde" w:eastAsia="Times New Roman" w:hAnsi="ITC Avant Garde" w:cs="Arial"/>
          <w:bCs/>
          <w:iCs/>
          <w:lang w:val="es-ES_tradnl"/>
        </w:rPr>
        <w:t>la respuesta del Cliente sobre la aceptación de</w:t>
      </w:r>
      <w:r w:rsidR="00AD680F" w:rsidRPr="00826B76">
        <w:rPr>
          <w:rFonts w:ascii="ITC Avant Garde" w:eastAsia="Times New Roman" w:hAnsi="ITC Avant Garde" w:cs="Arial"/>
          <w:bCs/>
          <w:iCs/>
          <w:lang w:val="es-ES_tradnl"/>
        </w:rPr>
        <w:t>l mismo</w:t>
      </w:r>
      <w:r w:rsidRPr="00826B76">
        <w:rPr>
          <w:rFonts w:ascii="ITC Avant Garde" w:eastAsia="Times New Roman" w:hAnsi="ITC Avant Garde" w:cs="Arial"/>
          <w:bCs/>
          <w:iCs/>
          <w:lang w:val="es-ES_tradnl"/>
        </w:rPr>
        <w:t>.</w:t>
      </w:r>
      <w:r w:rsidR="008C6BB3" w:rsidRPr="00826B76">
        <w:rPr>
          <w:rFonts w:ascii="ITC Avant Garde" w:eastAsia="Times New Roman" w:hAnsi="ITC Avant Garde" w:cs="Arial"/>
          <w:bCs/>
          <w:iCs/>
          <w:lang w:val="es-ES_tradnl"/>
        </w:rPr>
        <w:t xml:space="preserve"> En este sentido, a efecto de otorgar certeza sobre la ejecución de trabajos planeados se requiere agregar un procedimiento detallado para notificar y acordar la ejecución de los trabajos de mantenimiento que incluya los plazos correspondientes.</w:t>
      </w:r>
    </w:p>
    <w:p w14:paraId="37FDB1EC" w14:textId="77777777" w:rsidR="00826B76" w:rsidRPr="00826B76" w:rsidRDefault="004916FB"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
          <w:bCs/>
          <w:iCs/>
          <w:lang w:val="es-ES_tradnl"/>
        </w:rPr>
        <w:lastRenderedPageBreak/>
        <w:t xml:space="preserve">Cláusula Novena. Herramienta de consulta. </w:t>
      </w:r>
      <w:r w:rsidRPr="00826B76">
        <w:rPr>
          <w:rFonts w:ascii="ITC Avant Garde" w:eastAsia="Times New Roman" w:hAnsi="ITC Avant Garde" w:cs="Arial"/>
          <w:bCs/>
          <w:iCs/>
          <w:lang w:val="es-ES_tradnl"/>
        </w:rPr>
        <w:t>En el numeral 9.1 se señala que Altán proporcionará al Cliente una herramienta para la consulta de la cobertura de la Red Compartida, de lo cual se requiere a Altán que señale el plazo en el que dicha herramienta estará disponible así como la frecuencia en la que dicha cobertura será actualizada.</w:t>
      </w:r>
    </w:p>
    <w:p w14:paraId="7437F260" w14:textId="77777777" w:rsidR="00826B76" w:rsidRPr="00826B76" w:rsidRDefault="00166FD7" w:rsidP="00826B76">
      <w:pPr>
        <w:pStyle w:val="Prrafodelista"/>
        <w:spacing w:before="240"/>
        <w:ind w:left="0"/>
        <w:jc w:val="both"/>
        <w:rPr>
          <w:rFonts w:ascii="ITC Avant Garde" w:eastAsia="Times New Roman" w:hAnsi="ITC Avant Garde" w:cs="Arial"/>
          <w:b/>
          <w:bCs/>
          <w:iCs/>
          <w:u w:val="single"/>
          <w:lang w:val="es-ES_tradnl"/>
        </w:rPr>
      </w:pPr>
      <w:r w:rsidRPr="00826B76">
        <w:rPr>
          <w:rFonts w:ascii="ITC Avant Garde" w:eastAsia="Times New Roman" w:hAnsi="ITC Avant Garde" w:cs="Arial"/>
          <w:b/>
          <w:bCs/>
          <w:iCs/>
          <w:u w:val="single"/>
          <w:lang w:val="es-ES_tradnl"/>
        </w:rPr>
        <w:t>GLOSARIO DE TÉRMINOS</w:t>
      </w:r>
    </w:p>
    <w:p w14:paraId="2357577D" w14:textId="77777777" w:rsidR="00826B76" w:rsidRPr="00826B76" w:rsidRDefault="00166FD7" w:rsidP="00826B76">
      <w:pPr>
        <w:pStyle w:val="Prrafodelista"/>
        <w:numPr>
          <w:ilvl w:val="1"/>
          <w:numId w:val="9"/>
        </w:numPr>
        <w:tabs>
          <w:tab w:val="left" w:pos="567"/>
        </w:tabs>
        <w:spacing w:before="240"/>
        <w:ind w:left="0" w:firstLine="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 xml:space="preserve">Del análisis de los </w:t>
      </w:r>
      <w:r w:rsidR="004C1644" w:rsidRPr="00826B76">
        <w:rPr>
          <w:rFonts w:ascii="ITC Avant Garde" w:eastAsia="Times New Roman" w:hAnsi="ITC Avant Garde" w:cs="Arial"/>
          <w:bCs/>
          <w:iCs/>
          <w:lang w:val="es-ES_tradnl"/>
        </w:rPr>
        <w:t>términos</w:t>
      </w:r>
      <w:r w:rsidRPr="00826B76">
        <w:rPr>
          <w:rFonts w:ascii="ITC Avant Garde" w:eastAsia="Times New Roman" w:hAnsi="ITC Avant Garde" w:cs="Arial"/>
          <w:bCs/>
          <w:iCs/>
          <w:lang w:val="es-ES_tradnl"/>
        </w:rPr>
        <w:t xml:space="preserve"> y su significado se observa que es necesario </w:t>
      </w:r>
      <w:r w:rsidR="004C1644" w:rsidRPr="00826B76">
        <w:rPr>
          <w:rFonts w:ascii="ITC Avant Garde" w:eastAsia="Times New Roman" w:hAnsi="ITC Avant Garde" w:cs="Arial"/>
          <w:bCs/>
          <w:iCs/>
          <w:lang w:val="es-ES_tradnl"/>
        </w:rPr>
        <w:t>modificarlos de acuerdo a las siguientes consideraciones:</w:t>
      </w:r>
    </w:p>
    <w:p w14:paraId="0784E2AE" w14:textId="35E4BDEF" w:rsidR="004C1644" w:rsidRPr="00826B76" w:rsidRDefault="00166FD7"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AMR, AMR-WB</w:t>
      </w:r>
      <w:r w:rsidR="006938CD" w:rsidRPr="00826B76">
        <w:rPr>
          <w:rFonts w:ascii="ITC Avant Garde" w:eastAsia="Times New Roman" w:hAnsi="ITC Avant Garde" w:cs="Arial"/>
          <w:bCs/>
          <w:iCs/>
          <w:lang w:val="es-ES_tradnl"/>
        </w:rPr>
        <w:t>.</w:t>
      </w:r>
      <w:r w:rsidRPr="00826B76">
        <w:rPr>
          <w:rFonts w:ascii="ITC Avant Garde" w:eastAsia="Times New Roman" w:hAnsi="ITC Avant Garde" w:cs="Arial"/>
          <w:bCs/>
          <w:iCs/>
          <w:lang w:val="es-ES_tradnl"/>
        </w:rPr>
        <w:t xml:space="preserve"> </w:t>
      </w:r>
      <w:r w:rsidR="006938CD" w:rsidRPr="00826B76">
        <w:rPr>
          <w:rFonts w:ascii="ITC Avant Garde" w:eastAsia="Times New Roman" w:hAnsi="ITC Avant Garde" w:cs="Arial"/>
          <w:bCs/>
          <w:iCs/>
          <w:lang w:val="es-ES_tradnl"/>
        </w:rPr>
        <w:t>P</w:t>
      </w:r>
      <w:r w:rsidR="004C1644" w:rsidRPr="00826B76">
        <w:rPr>
          <w:rFonts w:ascii="ITC Avant Garde" w:eastAsia="Times New Roman" w:hAnsi="ITC Avant Garde" w:cs="Arial"/>
          <w:bCs/>
          <w:iCs/>
          <w:lang w:val="es-ES_tradnl"/>
        </w:rPr>
        <w:t xml:space="preserve">recisar que estos términos se refieren a códecs de voz. </w:t>
      </w:r>
    </w:p>
    <w:p w14:paraId="0FF8F49F" w14:textId="77777777" w:rsidR="00166FD7" w:rsidRPr="00826B76" w:rsidRDefault="00166FD7"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A</w:t>
      </w:r>
      <w:r w:rsidR="006938CD" w:rsidRPr="00826B76">
        <w:rPr>
          <w:rFonts w:ascii="ITC Avant Garde" w:eastAsia="Times New Roman" w:hAnsi="ITC Avant Garde" w:cs="Arial"/>
          <w:bCs/>
          <w:iCs/>
          <w:lang w:val="es-ES_tradnl"/>
        </w:rPr>
        <w:t>PN-DNS. P</w:t>
      </w:r>
      <w:r w:rsidR="004C1644" w:rsidRPr="00826B76">
        <w:rPr>
          <w:rFonts w:ascii="ITC Avant Garde" w:eastAsia="Times New Roman" w:hAnsi="ITC Avant Garde" w:cs="Arial"/>
          <w:bCs/>
          <w:iCs/>
          <w:lang w:val="es-ES_tradnl"/>
        </w:rPr>
        <w:t xml:space="preserve">recisar el significado de dicho </w:t>
      </w:r>
      <w:r w:rsidR="006938CD" w:rsidRPr="00826B76">
        <w:rPr>
          <w:rFonts w:ascii="ITC Avant Garde" w:eastAsia="Times New Roman" w:hAnsi="ITC Avant Garde" w:cs="Arial"/>
          <w:bCs/>
          <w:iCs/>
          <w:lang w:val="es-ES_tradnl"/>
        </w:rPr>
        <w:t>término</w:t>
      </w:r>
      <w:r w:rsidR="004C1644" w:rsidRPr="00826B76">
        <w:rPr>
          <w:rFonts w:ascii="ITC Avant Garde" w:eastAsia="Times New Roman" w:hAnsi="ITC Avant Garde" w:cs="Arial"/>
          <w:bCs/>
          <w:iCs/>
          <w:lang w:val="es-ES_tradnl"/>
        </w:rPr>
        <w:t xml:space="preserve"> ya que Access Point Name corresponde a APN.</w:t>
      </w:r>
    </w:p>
    <w:p w14:paraId="5CCD2F35" w14:textId="77777777" w:rsidR="0001398B" w:rsidRPr="00826B76" w:rsidRDefault="0001398B"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Datos. Precisar la definición del servicio, ya que no corresponde a la unidad de medida de transmisión en la red celular.</w:t>
      </w:r>
    </w:p>
    <w:p w14:paraId="4698EDFA" w14:textId="77777777" w:rsidR="004C1644" w:rsidRPr="00826B76" w:rsidRDefault="006938CD"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eNB.</w:t>
      </w:r>
      <w:r w:rsidR="004C1644" w:rsidRPr="00826B76">
        <w:rPr>
          <w:rFonts w:ascii="ITC Avant Garde" w:eastAsia="Times New Roman" w:hAnsi="ITC Avant Garde" w:cs="Arial"/>
          <w:bCs/>
          <w:iCs/>
          <w:lang w:val="es-ES_tradnl"/>
        </w:rPr>
        <w:t xml:space="preserve"> </w:t>
      </w:r>
      <w:r w:rsidRPr="00826B76">
        <w:rPr>
          <w:rFonts w:ascii="ITC Avant Garde" w:eastAsia="Times New Roman" w:hAnsi="ITC Avant Garde" w:cs="Arial"/>
          <w:bCs/>
          <w:iCs/>
          <w:lang w:val="es-ES_tradnl"/>
        </w:rPr>
        <w:t>S</w:t>
      </w:r>
      <w:r w:rsidR="004C1644" w:rsidRPr="00826B76">
        <w:rPr>
          <w:rFonts w:ascii="ITC Avant Garde" w:eastAsia="Times New Roman" w:hAnsi="ITC Avant Garde" w:cs="Arial"/>
          <w:bCs/>
          <w:iCs/>
          <w:lang w:val="es-ES_tradnl"/>
        </w:rPr>
        <w:t>e refiere a Evolved Node B.</w:t>
      </w:r>
    </w:p>
    <w:p w14:paraId="73EE74F8" w14:textId="075AB361" w:rsidR="004C1644" w:rsidRPr="00826B76" w:rsidRDefault="004C1644"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Hora Pico</w:t>
      </w:r>
      <w:r w:rsidR="006938CD" w:rsidRPr="00826B76">
        <w:rPr>
          <w:rFonts w:ascii="ITC Avant Garde" w:eastAsia="Times New Roman" w:hAnsi="ITC Avant Garde" w:cs="Arial"/>
          <w:bCs/>
          <w:iCs/>
          <w:lang w:val="es-ES_tradnl"/>
        </w:rPr>
        <w:t>. Es necesario</w:t>
      </w:r>
      <w:r w:rsidRPr="00826B76">
        <w:rPr>
          <w:rFonts w:ascii="ITC Avant Garde" w:eastAsia="Times New Roman" w:hAnsi="ITC Avant Garde" w:cs="Arial"/>
          <w:bCs/>
          <w:iCs/>
          <w:lang w:val="es-ES_tradnl"/>
        </w:rPr>
        <w:t xml:space="preserve"> precisar que es el periodo </w:t>
      </w:r>
      <w:r w:rsidR="0001398B" w:rsidRPr="00826B76">
        <w:rPr>
          <w:rFonts w:ascii="ITC Avant Garde" w:eastAsia="Times New Roman" w:hAnsi="ITC Avant Garde" w:cs="Arial"/>
          <w:bCs/>
          <w:iCs/>
          <w:lang w:val="es-ES_tradnl"/>
        </w:rPr>
        <w:t>de una hora</w:t>
      </w:r>
      <w:r w:rsidRPr="00826B76">
        <w:rPr>
          <w:rFonts w:ascii="ITC Avant Garde" w:eastAsia="Times New Roman" w:hAnsi="ITC Avant Garde" w:cs="Arial"/>
          <w:bCs/>
          <w:iCs/>
          <w:lang w:val="es-ES_tradnl"/>
        </w:rPr>
        <w:t xml:space="preserve"> en el que se presenta la mayor cantidad de tráfico.</w:t>
      </w:r>
    </w:p>
    <w:p w14:paraId="1E0A568A" w14:textId="77777777" w:rsidR="006938CD" w:rsidRPr="00826B76" w:rsidRDefault="004C1644"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ISP. Se refiere a Internet Service Provider.</w:t>
      </w:r>
    </w:p>
    <w:p w14:paraId="0DA6BD22" w14:textId="77777777" w:rsidR="004C1644" w:rsidRPr="00826B76" w:rsidRDefault="006938CD"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 xml:space="preserve">Location Update. </w:t>
      </w:r>
      <w:r w:rsidR="004C1644" w:rsidRPr="00826B76">
        <w:rPr>
          <w:rFonts w:ascii="ITC Avant Garde" w:eastAsia="Times New Roman" w:hAnsi="ITC Avant Garde" w:cs="Arial"/>
          <w:bCs/>
          <w:iCs/>
          <w:lang w:val="es-ES_tradnl"/>
        </w:rPr>
        <w:t xml:space="preserve"> </w:t>
      </w:r>
      <w:r w:rsidRPr="00826B76">
        <w:rPr>
          <w:rFonts w:ascii="ITC Avant Garde" w:eastAsia="Times New Roman" w:hAnsi="ITC Avant Garde" w:cs="Arial"/>
          <w:bCs/>
          <w:iCs/>
          <w:lang w:val="es-ES_tradnl"/>
        </w:rPr>
        <w:t>Es el procedimiento a través del cual un equipo terminal provee información sobre su localización geográfica a la red.</w:t>
      </w:r>
    </w:p>
    <w:p w14:paraId="50B28263" w14:textId="77777777" w:rsidR="006938CD" w:rsidRPr="00826B76" w:rsidRDefault="006938CD"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MNC. Precisar que se refiere a Mobile Network Code.</w:t>
      </w:r>
    </w:p>
    <w:p w14:paraId="6B410347" w14:textId="77777777" w:rsidR="006938CD" w:rsidRPr="00826B76" w:rsidRDefault="006938CD"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Red Compartida. Dicha definición debe ser acorde a la establecida en la LFTR.</w:t>
      </w:r>
    </w:p>
    <w:p w14:paraId="3827A98A" w14:textId="77777777" w:rsidR="006938CD" w:rsidRPr="00826B76" w:rsidRDefault="006938CD"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SIGTRAN. Se refiere a Signalling Transport.</w:t>
      </w:r>
    </w:p>
    <w:p w14:paraId="4406D7C6" w14:textId="77777777" w:rsidR="00826B76" w:rsidRPr="00826B76" w:rsidRDefault="006938CD" w:rsidP="00826B76">
      <w:pPr>
        <w:pStyle w:val="Prrafodelista"/>
        <w:numPr>
          <w:ilvl w:val="0"/>
          <w:numId w:val="7"/>
        </w:numPr>
        <w:spacing w:before="24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STP. Se refiere a Signalling Transfer Point.</w:t>
      </w:r>
    </w:p>
    <w:p w14:paraId="11ECB89F" w14:textId="68C40BD5" w:rsidR="00826B76" w:rsidRPr="00826B76" w:rsidRDefault="00E768F0" w:rsidP="00826B76">
      <w:pPr>
        <w:spacing w:before="240" w:after="200"/>
        <w:jc w:val="both"/>
        <w:rPr>
          <w:rFonts w:ascii="ITC Avant Garde" w:eastAsia="Times New Roman" w:hAnsi="ITC Avant Garde" w:cs="Arial"/>
          <w:bCs/>
          <w:iCs/>
          <w:lang w:val="es-ES_tradnl"/>
        </w:rPr>
      </w:pPr>
      <w:r w:rsidRPr="00826B76">
        <w:rPr>
          <w:rFonts w:ascii="ITC Avant Garde" w:eastAsia="Times New Roman" w:hAnsi="ITC Avant Garde" w:cs="Arial"/>
          <w:bCs/>
          <w:iCs/>
          <w:lang w:val="es-ES_tradnl"/>
        </w:rPr>
        <w:t xml:space="preserve">Asimismo, se requiere incluir la definición del término </w:t>
      </w:r>
      <w:r w:rsidR="000F64FE" w:rsidRPr="00826B76">
        <w:rPr>
          <w:rFonts w:ascii="ITC Avant Garde" w:eastAsia="Times New Roman" w:hAnsi="ITC Avant Garde" w:cs="Arial"/>
          <w:bCs/>
          <w:iCs/>
          <w:lang w:val="es-ES_tradnl"/>
        </w:rPr>
        <w:t>“Especificaciones Funcionales y de servicio”.</w:t>
      </w:r>
    </w:p>
    <w:p w14:paraId="021698F7" w14:textId="77777777" w:rsidR="00826B76" w:rsidRPr="00826B76" w:rsidRDefault="006938CD" w:rsidP="00826B76">
      <w:pPr>
        <w:spacing w:before="240" w:after="200"/>
        <w:jc w:val="both"/>
        <w:rPr>
          <w:rFonts w:ascii="ITC Avant Garde" w:eastAsia="Times New Roman" w:hAnsi="ITC Avant Garde" w:cs="Arial"/>
          <w:b/>
          <w:bCs/>
          <w:iCs/>
          <w:u w:val="single"/>
          <w:lang w:val="es-ES_tradnl"/>
        </w:rPr>
      </w:pPr>
      <w:r w:rsidRPr="00826B76">
        <w:rPr>
          <w:rFonts w:ascii="ITC Avant Garde" w:eastAsia="Times New Roman" w:hAnsi="ITC Avant Garde" w:cs="Arial"/>
          <w:b/>
          <w:bCs/>
          <w:iCs/>
          <w:u w:val="single"/>
          <w:lang w:val="es-ES_tradnl"/>
        </w:rPr>
        <w:t>ANEXO DE SERVICIOS</w:t>
      </w:r>
    </w:p>
    <w:p w14:paraId="17D06F98" w14:textId="77777777" w:rsidR="00826B76" w:rsidRPr="00826B76" w:rsidRDefault="004923C2" w:rsidP="00826B76">
      <w:pPr>
        <w:pStyle w:val="IFTnormal"/>
        <w:spacing w:before="240"/>
      </w:pPr>
      <w:r w:rsidRPr="00826B76">
        <w:rPr>
          <w:b/>
        </w:rPr>
        <w:t xml:space="preserve">ALCANCE TÉCNICO. SIM ALTÁN </w:t>
      </w:r>
    </w:p>
    <w:p w14:paraId="229E21DF" w14:textId="77777777" w:rsidR="00826B76" w:rsidRPr="00826B76" w:rsidRDefault="00CE40C5" w:rsidP="00826B76">
      <w:pPr>
        <w:pStyle w:val="Prrafodelista"/>
        <w:numPr>
          <w:ilvl w:val="1"/>
          <w:numId w:val="9"/>
        </w:numPr>
        <w:tabs>
          <w:tab w:val="left" w:pos="567"/>
        </w:tabs>
        <w:spacing w:before="240"/>
        <w:ind w:left="0" w:firstLine="0"/>
        <w:jc w:val="both"/>
        <w:rPr>
          <w:rFonts w:ascii="ITC Avant Garde" w:hAnsi="ITC Avant Garde"/>
        </w:rPr>
      </w:pPr>
      <w:r w:rsidRPr="00826B76">
        <w:rPr>
          <w:rFonts w:ascii="ITC Avant Garde" w:hAnsi="ITC Avant Garde"/>
          <w:b/>
        </w:rPr>
        <w:t xml:space="preserve">Cláusula Cuarta. Diagrama de servicio. </w:t>
      </w:r>
      <w:r w:rsidRPr="00826B76">
        <w:rPr>
          <w:rFonts w:ascii="ITC Avant Garde" w:hAnsi="ITC Avant Garde"/>
        </w:rPr>
        <w:t>El numeral 4.</w:t>
      </w:r>
      <w:r w:rsidR="00C55D21" w:rsidRPr="00826B76">
        <w:rPr>
          <w:rFonts w:ascii="ITC Avant Garde" w:hAnsi="ITC Avant Garde"/>
        </w:rPr>
        <w:t>2</w:t>
      </w:r>
      <w:r w:rsidRPr="00826B76">
        <w:rPr>
          <w:rFonts w:ascii="ITC Avant Garde" w:hAnsi="ITC Avant Garde"/>
        </w:rPr>
        <w:t xml:space="preserve">.2 Salida a Internet Cliente, incluye una descripción del servicio en el cual el Cliente proporciona el servicio de </w:t>
      </w:r>
      <w:r w:rsidR="00DF593B" w:rsidRPr="00826B76">
        <w:rPr>
          <w:rFonts w:ascii="ITC Avant Garde" w:hAnsi="ITC Avant Garde"/>
        </w:rPr>
        <w:t xml:space="preserve">acceso </w:t>
      </w:r>
      <w:r w:rsidRPr="00826B76">
        <w:rPr>
          <w:rFonts w:ascii="ITC Avant Garde" w:hAnsi="ITC Avant Garde"/>
        </w:rPr>
        <w:t>a internet para entregar el tráfico de datos a la red pública de internet, así como un diagrama descriptivo del servicio. No obstante lo anteri</w:t>
      </w:r>
      <w:r w:rsidR="000E742D" w:rsidRPr="00826B76">
        <w:rPr>
          <w:rFonts w:ascii="ITC Avant Garde" w:hAnsi="ITC Avant Garde"/>
        </w:rPr>
        <w:t xml:space="preserve">or, dicho diagrama no corresponde al servicio señalado ya que en el mismo se observa que el servicio de </w:t>
      </w:r>
      <w:r w:rsidR="00DF593B" w:rsidRPr="00826B76">
        <w:rPr>
          <w:rFonts w:ascii="ITC Avant Garde" w:hAnsi="ITC Avant Garde"/>
        </w:rPr>
        <w:t xml:space="preserve">acceso </w:t>
      </w:r>
      <w:r w:rsidR="000E742D" w:rsidRPr="00826B76">
        <w:rPr>
          <w:rFonts w:ascii="ITC Avant Garde" w:hAnsi="ITC Avant Garde"/>
        </w:rPr>
        <w:t>a internet es prestado por Altán, por lo que se requiere adecuar el diagrama a efecto de ejemplificar correctamente el servicio al que se hace referencia.</w:t>
      </w:r>
      <w:r w:rsidR="00DF593B" w:rsidRPr="00826B76">
        <w:rPr>
          <w:rFonts w:ascii="ITC Avant Garde" w:hAnsi="ITC Avant Garde"/>
        </w:rPr>
        <w:t xml:space="preserve"> Asimismo, se requiere modificar el término “salida a internet” por “acceso a internet” a efecto de que dicho </w:t>
      </w:r>
      <w:r w:rsidR="00B2740D" w:rsidRPr="00826B76">
        <w:rPr>
          <w:rFonts w:ascii="ITC Avant Garde" w:hAnsi="ITC Avant Garde"/>
        </w:rPr>
        <w:t xml:space="preserve">término </w:t>
      </w:r>
      <w:r w:rsidR="00DF593B" w:rsidRPr="00826B76">
        <w:rPr>
          <w:rFonts w:ascii="ITC Avant Garde" w:hAnsi="ITC Avant Garde"/>
        </w:rPr>
        <w:t>sea consistente con las disposiciones aplicables.</w:t>
      </w:r>
    </w:p>
    <w:p w14:paraId="5FBF51BC" w14:textId="77777777" w:rsidR="00826B76" w:rsidRPr="00826B76" w:rsidRDefault="00BE69CC" w:rsidP="00826B76">
      <w:pPr>
        <w:pStyle w:val="Prrafodelista"/>
        <w:numPr>
          <w:ilvl w:val="1"/>
          <w:numId w:val="9"/>
        </w:numPr>
        <w:tabs>
          <w:tab w:val="left" w:pos="567"/>
        </w:tabs>
        <w:spacing w:before="240"/>
        <w:ind w:left="0" w:firstLine="0"/>
        <w:jc w:val="both"/>
        <w:rPr>
          <w:rFonts w:ascii="ITC Avant Garde" w:hAnsi="ITC Avant Garde"/>
        </w:rPr>
      </w:pPr>
      <w:r w:rsidRPr="00826B76">
        <w:rPr>
          <w:rFonts w:ascii="ITC Avant Garde" w:hAnsi="ITC Avant Garde"/>
          <w:b/>
        </w:rPr>
        <w:lastRenderedPageBreak/>
        <w:t>Cláusula Cuarta. Escenarios voz entrante.</w:t>
      </w:r>
      <w:r w:rsidRPr="00826B76">
        <w:rPr>
          <w:rFonts w:ascii="ITC Avant Garde" w:hAnsi="ITC Avant Garde"/>
        </w:rPr>
        <w:t xml:space="preserve"> En el numeral 4.3.2 Voz entrante se requiere aclarar si los casos Voz Entrante nacional y Voz entrante internacional forman parte del caso Voz entrante en la Red Compartida.</w:t>
      </w:r>
    </w:p>
    <w:p w14:paraId="4D6DBC03" w14:textId="2786217C" w:rsidR="00E169B8" w:rsidRPr="00826B76" w:rsidRDefault="00E169B8" w:rsidP="00826B76">
      <w:pPr>
        <w:pStyle w:val="Prrafodelista"/>
        <w:numPr>
          <w:ilvl w:val="1"/>
          <w:numId w:val="9"/>
        </w:numPr>
        <w:tabs>
          <w:tab w:val="left" w:pos="0"/>
        </w:tabs>
        <w:spacing w:before="240"/>
        <w:ind w:left="0" w:firstLine="0"/>
        <w:jc w:val="both"/>
        <w:rPr>
          <w:rFonts w:ascii="ITC Avant Garde" w:hAnsi="ITC Avant Garde"/>
        </w:rPr>
      </w:pPr>
      <w:r w:rsidRPr="00826B76">
        <w:rPr>
          <w:rFonts w:ascii="ITC Avant Garde" w:hAnsi="ITC Avant Garde"/>
          <w:b/>
        </w:rPr>
        <w:t xml:space="preserve">Cláusula Cuarta. Códec. </w:t>
      </w:r>
      <w:r w:rsidRPr="00826B76">
        <w:rPr>
          <w:rFonts w:ascii="ITC Avant Garde" w:hAnsi="ITC Avant Garde"/>
        </w:rPr>
        <w:t>El numeral 4.3.6.2 Transcoding, señala que la plataforma IMS de Altán permite realizar el cambio de códec de la llamada para adaptarlo al requerido por el destino de la misma, y señala los siguientes códecs que son soportados: G.711, G.729AB, G.722, AMR-NB y AMR-WB. De lo cual, a efecto de apegarse al Acuerdo de Condiciones Técnicas Mínimas</w:t>
      </w:r>
      <w:r w:rsidRPr="00826B76">
        <w:rPr>
          <w:rStyle w:val="Refdenotaalpie"/>
          <w:rFonts w:ascii="ITC Avant Garde" w:hAnsi="ITC Avant Garde"/>
        </w:rPr>
        <w:footnoteReference w:id="2"/>
      </w:r>
      <w:r w:rsidRPr="00826B76">
        <w:rPr>
          <w:rFonts w:ascii="ITC Avant Garde" w:hAnsi="ITC Avant Garde"/>
        </w:rPr>
        <w:t xml:space="preserve"> se requiere precisar que el códec G.711 se refiere a la </w:t>
      </w:r>
      <w:r w:rsidR="003043E5" w:rsidRPr="00826B76">
        <w:rPr>
          <w:rFonts w:ascii="ITC Avant Garde" w:hAnsi="ITC Avant Garde"/>
        </w:rPr>
        <w:t>ley A</w:t>
      </w:r>
      <w:r w:rsidRPr="00826B76">
        <w:rPr>
          <w:rFonts w:ascii="ITC Avant Garde" w:hAnsi="ITC Avant Garde"/>
        </w:rPr>
        <w:t xml:space="preserve">. Dicha precisión deberá reflejarse en el numeral correspondiente del Alcance Técnico de cada servicio. </w:t>
      </w:r>
    </w:p>
    <w:p w14:paraId="06F3F9BE" w14:textId="77777777" w:rsidR="00826B76" w:rsidRPr="00826B76" w:rsidRDefault="009C5498" w:rsidP="00826B76">
      <w:pPr>
        <w:pStyle w:val="Prrafodelista"/>
        <w:numPr>
          <w:ilvl w:val="1"/>
          <w:numId w:val="9"/>
        </w:numPr>
        <w:tabs>
          <w:tab w:val="left" w:pos="567"/>
        </w:tabs>
        <w:spacing w:before="240"/>
        <w:ind w:left="0" w:firstLine="0"/>
        <w:jc w:val="both"/>
        <w:rPr>
          <w:rFonts w:ascii="ITC Avant Garde" w:hAnsi="ITC Avant Garde"/>
          <w:b/>
        </w:rPr>
      </w:pPr>
      <w:r w:rsidRPr="00826B76">
        <w:rPr>
          <w:rFonts w:ascii="ITC Avant Garde" w:hAnsi="ITC Avant Garde"/>
          <w:b/>
        </w:rPr>
        <w:t xml:space="preserve">Cláusula Cuarta. Bloqueo de mensajería. </w:t>
      </w:r>
      <w:r w:rsidRPr="00826B76">
        <w:rPr>
          <w:rFonts w:ascii="ITC Avant Garde" w:hAnsi="ITC Avant Garde"/>
        </w:rPr>
        <w:t>En el numeral 4.4 se señala que Altán podrá bloquear cualquier mensajería corta con origen y destino diferentes a lo acordado como intentar entregar mensajes cortos a usuarios finales de otros Clientes de Altán, de lo cual se requiere aclarar los escenarios en los que se realizará dicho bloqueo, ya que los diferentes usuarios deben poder comunicarse entre sí cuando se utiliza un número nacional.</w:t>
      </w:r>
      <w:r w:rsidR="00E169B8" w:rsidRPr="00826B76">
        <w:rPr>
          <w:rFonts w:ascii="ITC Avant Garde" w:hAnsi="ITC Avant Garde"/>
        </w:rPr>
        <w:t xml:space="preserve"> Dicha precisión deberá reflejarse en el numeral correspondiente del Alcance Técnico de cada servicio.</w:t>
      </w:r>
    </w:p>
    <w:p w14:paraId="71709820" w14:textId="77777777" w:rsidR="00826B76" w:rsidRPr="00826B76" w:rsidRDefault="00650184" w:rsidP="00826B76">
      <w:pPr>
        <w:pStyle w:val="Prrafodelista"/>
        <w:numPr>
          <w:ilvl w:val="1"/>
          <w:numId w:val="9"/>
        </w:numPr>
        <w:tabs>
          <w:tab w:val="left" w:pos="567"/>
        </w:tabs>
        <w:spacing w:before="240"/>
        <w:ind w:left="0" w:firstLine="0"/>
        <w:jc w:val="both"/>
        <w:rPr>
          <w:rFonts w:ascii="ITC Avant Garde" w:hAnsi="ITC Avant Garde"/>
          <w:b/>
        </w:rPr>
      </w:pPr>
      <w:r w:rsidRPr="00826B76">
        <w:rPr>
          <w:rFonts w:ascii="ITC Avant Garde" w:hAnsi="ITC Avant Garde"/>
          <w:b/>
        </w:rPr>
        <w:t xml:space="preserve">Cláusula Cuarta. </w:t>
      </w:r>
      <w:r w:rsidR="00E169B8" w:rsidRPr="00826B76">
        <w:rPr>
          <w:rFonts w:ascii="ITC Avant Garde" w:hAnsi="ITC Avant Garde"/>
          <w:b/>
        </w:rPr>
        <w:t>Ubicación nodo de integración</w:t>
      </w:r>
      <w:r w:rsidRPr="00826B76">
        <w:rPr>
          <w:rFonts w:ascii="ITC Avant Garde" w:hAnsi="ITC Avant Garde"/>
          <w:b/>
        </w:rPr>
        <w:t xml:space="preserve">. </w:t>
      </w:r>
      <w:r w:rsidRPr="00826B76">
        <w:rPr>
          <w:rFonts w:ascii="ITC Avant Garde" w:hAnsi="ITC Avant Garde"/>
        </w:rPr>
        <w:t xml:space="preserve">En el numeral 4.8 se requiere precisar la ubicación del nodo </w:t>
      </w:r>
      <w:r w:rsidR="006B5587" w:rsidRPr="00826B76">
        <w:rPr>
          <w:rFonts w:ascii="ITC Avant Garde" w:hAnsi="ITC Avant Garde"/>
        </w:rPr>
        <w:t xml:space="preserve">terminante </w:t>
      </w:r>
      <w:r w:rsidRPr="00826B76">
        <w:rPr>
          <w:rFonts w:ascii="ITC Avant Garde" w:hAnsi="ITC Avant Garde"/>
        </w:rPr>
        <w:t>(nodo de integración) de la red de Altán a efecto de otorgar certeza al Cliente.</w:t>
      </w:r>
      <w:r w:rsidR="00E169B8" w:rsidRPr="00826B76">
        <w:rPr>
          <w:rFonts w:ascii="ITC Avant Garde" w:hAnsi="ITC Avant Garde"/>
        </w:rPr>
        <w:t xml:space="preserve"> Dicha precisión deberá reflejarse en el numeral correspondiente del Alcance Técnico de cada servicio.</w:t>
      </w:r>
    </w:p>
    <w:p w14:paraId="2D3C9B02" w14:textId="77777777" w:rsidR="00826B76" w:rsidRPr="00826B76" w:rsidRDefault="005320DB" w:rsidP="00826B76">
      <w:pPr>
        <w:pStyle w:val="Prrafodelista"/>
        <w:numPr>
          <w:ilvl w:val="1"/>
          <w:numId w:val="9"/>
        </w:numPr>
        <w:tabs>
          <w:tab w:val="left" w:pos="567"/>
        </w:tabs>
        <w:spacing w:before="240"/>
        <w:ind w:left="0" w:firstLine="0"/>
        <w:jc w:val="both"/>
        <w:rPr>
          <w:rFonts w:ascii="ITC Avant Garde" w:hAnsi="ITC Avant Garde"/>
          <w:b/>
        </w:rPr>
      </w:pPr>
      <w:r w:rsidRPr="00826B76">
        <w:rPr>
          <w:rFonts w:ascii="ITC Avant Garde" w:hAnsi="ITC Avant Garde"/>
          <w:b/>
        </w:rPr>
        <w:t xml:space="preserve">Cláusula Séptima. Publicación listado de terminales. </w:t>
      </w:r>
      <w:r w:rsidRPr="00826B76">
        <w:rPr>
          <w:rFonts w:ascii="ITC Avant Garde" w:hAnsi="ITC Avant Garde"/>
        </w:rPr>
        <w:t>En el numeral 7.3 se requiere señalar la página electrónica, el sistema o el medio en el que Altán publicará el listado de los equipos terminales que se encuentran homologadas para la correcta operación en la red de Altán.</w:t>
      </w:r>
    </w:p>
    <w:p w14:paraId="4ADFA9DB" w14:textId="77777777" w:rsidR="00826B76" w:rsidRPr="00826B76" w:rsidRDefault="0009526C" w:rsidP="00826B76">
      <w:pPr>
        <w:pStyle w:val="Prrafodelista"/>
        <w:tabs>
          <w:tab w:val="left" w:pos="567"/>
        </w:tabs>
        <w:spacing w:before="240"/>
        <w:ind w:left="0"/>
        <w:jc w:val="both"/>
        <w:rPr>
          <w:rFonts w:ascii="ITC Avant Garde" w:hAnsi="ITC Avant Garde"/>
        </w:rPr>
      </w:pPr>
      <w:r w:rsidRPr="00826B76">
        <w:rPr>
          <w:rFonts w:ascii="ITC Avant Garde" w:hAnsi="ITC Avant Garde"/>
        </w:rPr>
        <w:t xml:space="preserve">Asimismo, se requiere que Altán justifique la razón por la que se requiere un proceso de homologación adicional al regulado y, que cualquier referencia a dicho proceso se realice mediante el término “comprobación” ya que, </w:t>
      </w:r>
      <w:r w:rsidR="0004327D" w:rsidRPr="00826B76">
        <w:rPr>
          <w:rFonts w:ascii="ITC Avant Garde" w:hAnsi="ITC Avant Garde"/>
        </w:rPr>
        <w:t>de acuerdo a lo establecido en la Ley Federal de Telecomunicaciones y Radiodifusión el término “homologación” se refiere al acto por el cual el Instituto reconoce oficialmente que las especificaciones de un producto, equipo, dispositivo o aparato destinado a telecomunicaciones o radiodifusión, satisface las normas o disposiciones técnicas aplicables</w:t>
      </w:r>
      <w:r w:rsidRPr="00826B76">
        <w:rPr>
          <w:rFonts w:ascii="ITC Avant Garde" w:hAnsi="ITC Avant Garde"/>
        </w:rPr>
        <w:t>.</w:t>
      </w:r>
    </w:p>
    <w:p w14:paraId="42F744E8" w14:textId="77777777" w:rsidR="00826B76" w:rsidRPr="00826B76" w:rsidRDefault="00E62DF0" w:rsidP="00826B76">
      <w:pPr>
        <w:pStyle w:val="IFTnormal"/>
        <w:spacing w:before="240"/>
        <w:rPr>
          <w:b/>
        </w:rPr>
      </w:pPr>
      <w:r w:rsidRPr="00826B76">
        <w:rPr>
          <w:b/>
        </w:rPr>
        <w:t>ALCANCE TÉCNICO. SIM ALTÁN, INTERNET HOGAR, SIM CLIENTE.</w:t>
      </w:r>
    </w:p>
    <w:p w14:paraId="6B0D622E" w14:textId="77777777" w:rsidR="00826B76" w:rsidRPr="00826B76" w:rsidRDefault="00E62DF0" w:rsidP="00826B76">
      <w:pPr>
        <w:pStyle w:val="Prrafodelista"/>
        <w:numPr>
          <w:ilvl w:val="1"/>
          <w:numId w:val="9"/>
        </w:numPr>
        <w:tabs>
          <w:tab w:val="left" w:pos="567"/>
        </w:tabs>
        <w:spacing w:before="240"/>
        <w:ind w:left="0" w:firstLine="0"/>
        <w:jc w:val="both"/>
        <w:rPr>
          <w:rFonts w:ascii="ITC Avant Garde" w:hAnsi="ITC Avant Garde"/>
          <w:b/>
        </w:rPr>
      </w:pPr>
      <w:r w:rsidRPr="00826B76">
        <w:rPr>
          <w:rFonts w:ascii="ITC Avant Garde" w:hAnsi="ITC Avant Garde"/>
          <w:b/>
        </w:rPr>
        <w:lastRenderedPageBreak/>
        <w:t xml:space="preserve">Cláusula Primera. Descripción de los servicios. </w:t>
      </w:r>
      <w:r w:rsidRPr="00826B76">
        <w:rPr>
          <w:rFonts w:ascii="ITC Avant Garde" w:hAnsi="ITC Avant Garde"/>
        </w:rPr>
        <w:t>Se requiere agregar a</w:t>
      </w:r>
      <w:r w:rsidR="00BE69CC" w:rsidRPr="00826B76">
        <w:rPr>
          <w:rFonts w:ascii="ITC Avant Garde" w:hAnsi="ITC Avant Garde"/>
        </w:rPr>
        <w:t xml:space="preserve"> la Cláusula Primera “Objeto”, la descripción de los servicios a los que se refiere cada uno de los alcances técnicos. </w:t>
      </w:r>
    </w:p>
    <w:p w14:paraId="6E0D1791" w14:textId="77777777" w:rsidR="00826B76" w:rsidRPr="00826B76" w:rsidRDefault="00521D2F" w:rsidP="00826B76">
      <w:pPr>
        <w:pStyle w:val="IFTnormal"/>
        <w:spacing w:before="240"/>
      </w:pPr>
      <w:r w:rsidRPr="00826B76">
        <w:rPr>
          <w:b/>
        </w:rPr>
        <w:t>TÉRMINOS COMERCIALES. SIM ALT</w:t>
      </w:r>
      <w:r w:rsidR="004A558D" w:rsidRPr="00826B76">
        <w:rPr>
          <w:b/>
        </w:rPr>
        <w:t>ÁN, INTERNET HOGAR, SIM CLIENTE.</w:t>
      </w:r>
    </w:p>
    <w:p w14:paraId="5A00669B" w14:textId="77777777" w:rsidR="00826B76" w:rsidRPr="00826B76" w:rsidRDefault="00521D2F" w:rsidP="00826B76">
      <w:pPr>
        <w:pStyle w:val="Prrafodelista"/>
        <w:numPr>
          <w:ilvl w:val="1"/>
          <w:numId w:val="9"/>
        </w:numPr>
        <w:tabs>
          <w:tab w:val="left" w:pos="567"/>
        </w:tabs>
        <w:spacing w:before="240"/>
        <w:ind w:left="0" w:firstLine="0"/>
        <w:jc w:val="both"/>
        <w:rPr>
          <w:rFonts w:ascii="ITC Avant Garde" w:hAnsi="ITC Avant Garde"/>
        </w:rPr>
      </w:pPr>
      <w:r w:rsidRPr="00826B76">
        <w:rPr>
          <w:rFonts w:ascii="ITC Avant Garde" w:hAnsi="ITC Avant Garde"/>
          <w:b/>
        </w:rPr>
        <w:t xml:space="preserve">Cláusula Cuarta. Tarifas. </w:t>
      </w:r>
      <w:r w:rsidR="00C55D21" w:rsidRPr="00826B76">
        <w:rPr>
          <w:rFonts w:ascii="ITC Avant Garde" w:hAnsi="ITC Avant Garde"/>
        </w:rPr>
        <w:t xml:space="preserve">Del análisis del numeral 2.6 </w:t>
      </w:r>
      <w:r w:rsidRPr="00826B76">
        <w:rPr>
          <w:rFonts w:ascii="ITC Avant Garde" w:hAnsi="ITC Avant Garde"/>
        </w:rPr>
        <w:t>se observa que no se incluyen las tarifas por la prestación de los servicios</w:t>
      </w:r>
      <w:r w:rsidR="0004327D" w:rsidRPr="00826B76">
        <w:rPr>
          <w:rFonts w:ascii="ITC Avant Garde" w:hAnsi="ITC Avant Garde"/>
        </w:rPr>
        <w:t xml:space="preserve"> a ofertar</w:t>
      </w:r>
      <w:r w:rsidRPr="00826B76">
        <w:rPr>
          <w:rFonts w:ascii="ITC Avant Garde" w:hAnsi="ITC Avant Garde"/>
        </w:rPr>
        <w:t xml:space="preserve"> por lo que, se requiere a Altán incluir las tarifas </w:t>
      </w:r>
      <w:r w:rsidR="004A558D" w:rsidRPr="00826B76">
        <w:rPr>
          <w:rFonts w:ascii="ITC Avant Garde" w:hAnsi="ITC Avant Garde"/>
        </w:rPr>
        <w:t xml:space="preserve">correspondientes a </w:t>
      </w:r>
      <w:r w:rsidRPr="00826B76">
        <w:rPr>
          <w:rFonts w:ascii="ITC Avant Garde" w:hAnsi="ITC Avant Garde"/>
        </w:rPr>
        <w:t>cada servicio en cada uno</w:t>
      </w:r>
      <w:r w:rsidR="00AD680F" w:rsidRPr="00826B76">
        <w:rPr>
          <w:rFonts w:ascii="ITC Avant Garde" w:hAnsi="ITC Avant Garde"/>
        </w:rPr>
        <w:t xml:space="preserve"> de los Apéndices de la oferta; </w:t>
      </w:r>
      <w:r w:rsidR="0066665A" w:rsidRPr="00826B76">
        <w:rPr>
          <w:rFonts w:ascii="ITC Avant Garde" w:hAnsi="ITC Avant Garde"/>
        </w:rPr>
        <w:t xml:space="preserve">asimismo es necesario señalar la forma en que se dará cumplimiento a lo establecido en el numeral 12 de la concesión, en el sentido de </w:t>
      </w:r>
      <w:r w:rsidR="00AD680F" w:rsidRPr="00826B76">
        <w:rPr>
          <w:rFonts w:ascii="ITC Avant Garde" w:hAnsi="ITC Avant Garde"/>
        </w:rPr>
        <w:t xml:space="preserve">que los Clientes de la Red Compartida tendrán garantizada la </w:t>
      </w:r>
      <w:r w:rsidR="0066665A" w:rsidRPr="00826B76">
        <w:rPr>
          <w:rFonts w:ascii="ITC Avant Garde" w:hAnsi="ITC Avant Garde"/>
        </w:rPr>
        <w:t xml:space="preserve">transparencia y </w:t>
      </w:r>
      <w:r w:rsidR="00AD680F" w:rsidRPr="00826B76">
        <w:rPr>
          <w:rFonts w:ascii="ITC Avant Garde" w:hAnsi="ITC Avant Garde"/>
        </w:rPr>
        <w:t>no discriminación en términos de tarifas.</w:t>
      </w:r>
      <w:r w:rsidR="00095546" w:rsidRPr="00826B76">
        <w:rPr>
          <w:rFonts w:ascii="ITC Avant Garde" w:hAnsi="ITC Avant Garde"/>
        </w:rPr>
        <w:t xml:space="preserve"> En el mismo sentido, deberá señalar el costo de apertura de los nuevos enlaces de integración.</w:t>
      </w:r>
    </w:p>
    <w:p w14:paraId="617640F7" w14:textId="77777777" w:rsidR="00826B76" w:rsidRPr="00826B76" w:rsidRDefault="0066665A" w:rsidP="00826B76">
      <w:pPr>
        <w:pStyle w:val="Prrafodelista"/>
        <w:tabs>
          <w:tab w:val="left" w:pos="567"/>
        </w:tabs>
        <w:spacing w:before="240"/>
        <w:ind w:left="0"/>
        <w:jc w:val="both"/>
        <w:rPr>
          <w:rFonts w:ascii="ITC Avant Garde" w:hAnsi="ITC Avant Garde"/>
        </w:rPr>
      </w:pPr>
      <w:r w:rsidRPr="00826B76">
        <w:rPr>
          <w:rFonts w:ascii="ITC Avant Garde" w:hAnsi="ITC Avant Garde"/>
        </w:rPr>
        <w:t>Asimismo, se requiere a Altán proporcionar la justificación de los descuentos por volumen señalados para los diferentes productos, lo anterior de acuerdo a lo establecido en la Concesión</w:t>
      </w:r>
      <w:r w:rsidR="00E96AB2" w:rsidRPr="00826B76">
        <w:rPr>
          <w:rFonts w:ascii="ITC Avant Garde" w:hAnsi="ITC Avant Garde"/>
        </w:rPr>
        <w:t xml:space="preserve"> en su numeral 12</w:t>
      </w:r>
      <w:r w:rsidRPr="00826B76">
        <w:rPr>
          <w:rFonts w:ascii="ITC Avant Garde" w:hAnsi="ITC Avant Garde"/>
        </w:rPr>
        <w:t>.</w:t>
      </w:r>
    </w:p>
    <w:p w14:paraId="7B4220DD" w14:textId="77777777" w:rsidR="00826B76" w:rsidRPr="00826B76" w:rsidRDefault="00B0354C" w:rsidP="00826B76">
      <w:pPr>
        <w:pStyle w:val="Prrafodelista"/>
        <w:numPr>
          <w:ilvl w:val="1"/>
          <w:numId w:val="9"/>
        </w:numPr>
        <w:tabs>
          <w:tab w:val="left" w:pos="567"/>
        </w:tabs>
        <w:spacing w:before="240"/>
        <w:ind w:left="0" w:firstLine="0"/>
        <w:jc w:val="both"/>
        <w:rPr>
          <w:rFonts w:ascii="ITC Avant Garde" w:hAnsi="ITC Avant Garde"/>
          <w:b/>
        </w:rPr>
      </w:pPr>
      <w:r w:rsidRPr="00826B76">
        <w:rPr>
          <w:rFonts w:ascii="ITC Avant Garde" w:hAnsi="ITC Avant Garde"/>
          <w:b/>
        </w:rPr>
        <w:t xml:space="preserve">Cláusula Segunda. Esquema producto por MB. </w:t>
      </w:r>
      <w:r w:rsidRPr="00826B76">
        <w:rPr>
          <w:rFonts w:ascii="ITC Avant Garde" w:hAnsi="ITC Avant Garde"/>
        </w:rPr>
        <w:t>En el inciso (a) Esquema (a): Producto por MB</w:t>
      </w:r>
      <w:r w:rsidR="008C6205" w:rsidRPr="00826B76">
        <w:rPr>
          <w:rFonts w:ascii="ITC Avant Garde" w:hAnsi="ITC Avant Garde"/>
        </w:rPr>
        <w:t xml:space="preserve"> del numeral 2.6</w:t>
      </w:r>
      <w:r w:rsidRPr="00826B76">
        <w:rPr>
          <w:rFonts w:ascii="ITC Avant Garde" w:hAnsi="ITC Avant Garde"/>
        </w:rPr>
        <w:t xml:space="preserve">, se señala la tarifa aplicable por MB </w:t>
      </w:r>
      <w:r w:rsidR="00BC7ACA" w:rsidRPr="00826B76">
        <w:rPr>
          <w:rFonts w:ascii="ITC Avant Garde" w:hAnsi="ITC Avant Garde"/>
        </w:rPr>
        <w:t xml:space="preserve">misma que corresponderá al tráfico UL/DL </w:t>
      </w:r>
      <w:r w:rsidRPr="00826B76">
        <w:rPr>
          <w:rFonts w:ascii="ITC Avant Garde" w:hAnsi="ITC Avant Garde"/>
        </w:rPr>
        <w:t xml:space="preserve">para un conjunto de Usuarios Finales del Cliente, de lo cual se requiere precisar </w:t>
      </w:r>
      <w:r w:rsidR="00BC7ACA" w:rsidRPr="00826B76">
        <w:rPr>
          <w:rFonts w:ascii="ITC Avant Garde" w:hAnsi="ITC Avant Garde"/>
        </w:rPr>
        <w:t xml:space="preserve">por qué dicha tarifa no es aplicable para todos los usuarios definidos dentro de dicho esquema y solo a un </w:t>
      </w:r>
      <w:r w:rsidRPr="00826B76">
        <w:rPr>
          <w:rFonts w:ascii="ITC Avant Garde" w:hAnsi="ITC Avant Garde"/>
        </w:rPr>
        <w:t xml:space="preserve">conjunto de Usuarios Finales, </w:t>
      </w:r>
      <w:r w:rsidR="0012103D" w:rsidRPr="00826B76">
        <w:rPr>
          <w:rFonts w:ascii="ITC Avant Garde" w:hAnsi="ITC Avant Garde"/>
        </w:rPr>
        <w:t>asimismo</w:t>
      </w:r>
      <w:r w:rsidR="00BC7ACA" w:rsidRPr="00826B76">
        <w:rPr>
          <w:rFonts w:ascii="ITC Avant Garde" w:hAnsi="ITC Avant Garde"/>
        </w:rPr>
        <w:t>, se debe</w:t>
      </w:r>
      <w:r w:rsidR="0012103D" w:rsidRPr="00826B76">
        <w:rPr>
          <w:rFonts w:ascii="ITC Avant Garde" w:hAnsi="ITC Avant Garde"/>
        </w:rPr>
        <w:t>rá</w:t>
      </w:r>
      <w:r w:rsidR="00BC7ACA" w:rsidRPr="00826B76">
        <w:rPr>
          <w:rFonts w:ascii="ITC Avant Garde" w:hAnsi="ITC Avant Garde"/>
        </w:rPr>
        <w:t xml:space="preserve"> señalar cómo se conformará dicho conjunto, </w:t>
      </w:r>
      <w:r w:rsidRPr="00826B76">
        <w:rPr>
          <w:rFonts w:ascii="ITC Avant Garde" w:hAnsi="ITC Avant Garde"/>
        </w:rPr>
        <w:t>lo anterior a efecto de otorgar certeza sobre la aplicación de las tarifas.</w:t>
      </w:r>
    </w:p>
    <w:p w14:paraId="4C836BB6" w14:textId="77777777" w:rsidR="00826B76" w:rsidRPr="00826B76" w:rsidRDefault="000D4516" w:rsidP="00826B76">
      <w:pPr>
        <w:pStyle w:val="Prrafodelista"/>
        <w:numPr>
          <w:ilvl w:val="1"/>
          <w:numId w:val="9"/>
        </w:numPr>
        <w:tabs>
          <w:tab w:val="left" w:pos="567"/>
        </w:tabs>
        <w:spacing w:before="240"/>
        <w:ind w:left="0" w:firstLine="0"/>
        <w:jc w:val="both"/>
        <w:rPr>
          <w:rFonts w:ascii="ITC Avant Garde" w:hAnsi="ITC Avant Garde"/>
          <w:b/>
        </w:rPr>
      </w:pPr>
      <w:r w:rsidRPr="00826B76">
        <w:rPr>
          <w:rFonts w:ascii="ITC Avant Garde" w:hAnsi="ITC Avant Garde"/>
          <w:b/>
        </w:rPr>
        <w:t xml:space="preserve">Cláusula Segunda. Redondeo de tráfico. </w:t>
      </w:r>
      <w:r w:rsidR="008E3E36" w:rsidRPr="00826B76">
        <w:rPr>
          <w:rFonts w:ascii="ITC Avant Garde" w:hAnsi="ITC Avant Garde"/>
        </w:rPr>
        <w:t>Respecto a la contabilización de tráfico para los diferentes productos se requiere precisar que el tráfico correspondiente se contabilizará sin aplicar redondeo.</w:t>
      </w:r>
    </w:p>
    <w:p w14:paraId="5AC67799" w14:textId="77777777" w:rsidR="00826B76" w:rsidRPr="00826B76" w:rsidRDefault="00AE7ACE" w:rsidP="00826B76">
      <w:pPr>
        <w:pStyle w:val="IFTnormal"/>
        <w:spacing w:before="240"/>
      </w:pPr>
      <w:r w:rsidRPr="00826B76">
        <w:rPr>
          <w:b/>
        </w:rPr>
        <w:t>TÉRMINOS COMERCIALES. INTERNET HOGAR.</w:t>
      </w:r>
      <w:r w:rsidRPr="00826B76">
        <w:t xml:space="preserve"> </w:t>
      </w:r>
    </w:p>
    <w:p w14:paraId="5DA20065" w14:textId="77777777" w:rsidR="00826B76" w:rsidRPr="00826B76" w:rsidRDefault="00AE7ACE" w:rsidP="00826B76">
      <w:pPr>
        <w:pStyle w:val="Prrafodelista"/>
        <w:numPr>
          <w:ilvl w:val="1"/>
          <w:numId w:val="9"/>
        </w:numPr>
        <w:tabs>
          <w:tab w:val="left" w:pos="567"/>
        </w:tabs>
        <w:spacing w:before="240"/>
        <w:ind w:left="0" w:firstLine="0"/>
        <w:jc w:val="both"/>
        <w:rPr>
          <w:rFonts w:ascii="ITC Avant Garde" w:hAnsi="ITC Avant Garde"/>
        </w:rPr>
      </w:pPr>
      <w:r w:rsidRPr="00826B76">
        <w:rPr>
          <w:rFonts w:ascii="ITC Avant Garde" w:hAnsi="ITC Avant Garde"/>
          <w:b/>
        </w:rPr>
        <w:t>Cláusula Segunda.</w:t>
      </w:r>
      <w:r w:rsidRPr="00826B76">
        <w:rPr>
          <w:rFonts w:ascii="ITC Avant Garde" w:hAnsi="ITC Avant Garde"/>
        </w:rPr>
        <w:t xml:space="preserve"> En el numeral 2.7 Tarifas por tráfico de datos para paquetes de consumo excedente, se requiere precisar la unidad de medida de</w:t>
      </w:r>
      <w:r w:rsidR="008F3D0C" w:rsidRPr="00826B76">
        <w:rPr>
          <w:rFonts w:ascii="ITC Avant Garde" w:hAnsi="ITC Avant Garde"/>
        </w:rPr>
        <w:t xml:space="preserve"> dicho paquete</w:t>
      </w:r>
      <w:r w:rsidRPr="00826B76">
        <w:rPr>
          <w:rFonts w:ascii="ITC Avant Garde" w:hAnsi="ITC Avant Garde"/>
        </w:rPr>
        <w:t>.</w:t>
      </w:r>
    </w:p>
    <w:p w14:paraId="39B4E147" w14:textId="77777777" w:rsidR="00826B76" w:rsidRPr="00826B76" w:rsidRDefault="004A558D" w:rsidP="00826B76">
      <w:pPr>
        <w:pStyle w:val="IFTnormal"/>
        <w:spacing w:before="240"/>
      </w:pPr>
      <w:r w:rsidRPr="00826B76">
        <w:rPr>
          <w:b/>
        </w:rPr>
        <w:t>ACUERDO DE NIVEL DE SERVICIO Y GESTIÓN DE INCIDENCIAS. SIM ALTÁN, INTERNET HOGAR, SIM CLIENTE.</w:t>
      </w:r>
    </w:p>
    <w:p w14:paraId="3C70DB48" w14:textId="7A94E1A3" w:rsidR="00846C44" w:rsidRPr="00826B76" w:rsidRDefault="00FF2F8B" w:rsidP="00826B76">
      <w:pPr>
        <w:pStyle w:val="Prrafodelista"/>
        <w:numPr>
          <w:ilvl w:val="1"/>
          <w:numId w:val="9"/>
        </w:numPr>
        <w:tabs>
          <w:tab w:val="left" w:pos="567"/>
        </w:tabs>
        <w:spacing w:before="240"/>
        <w:ind w:left="0" w:firstLine="0"/>
        <w:jc w:val="both"/>
        <w:rPr>
          <w:rFonts w:ascii="ITC Avant Garde" w:hAnsi="ITC Avant Garde" w:cs="Arial"/>
        </w:rPr>
      </w:pPr>
      <w:r w:rsidRPr="00826B76">
        <w:rPr>
          <w:rFonts w:ascii="ITC Avant Garde" w:hAnsi="ITC Avant Garde"/>
          <w:b/>
        </w:rPr>
        <w:t>Cláusula</w:t>
      </w:r>
      <w:r w:rsidR="004A558D" w:rsidRPr="00826B76">
        <w:rPr>
          <w:rFonts w:ascii="ITC Avant Garde" w:hAnsi="ITC Avant Garde"/>
          <w:b/>
        </w:rPr>
        <w:t xml:space="preserve"> S</w:t>
      </w:r>
      <w:r w:rsidRPr="00826B76">
        <w:rPr>
          <w:rFonts w:ascii="ITC Avant Garde" w:hAnsi="ITC Avant Garde"/>
          <w:b/>
        </w:rPr>
        <w:t>egunda</w:t>
      </w:r>
      <w:r w:rsidR="004A558D" w:rsidRPr="00826B76">
        <w:rPr>
          <w:rFonts w:ascii="ITC Avant Garde" w:hAnsi="ITC Avant Garde"/>
          <w:b/>
        </w:rPr>
        <w:t xml:space="preserve">. </w:t>
      </w:r>
      <w:r w:rsidRPr="00826B76">
        <w:rPr>
          <w:rFonts w:ascii="ITC Avant Garde" w:hAnsi="ITC Avant Garde"/>
          <w:b/>
        </w:rPr>
        <w:t xml:space="preserve">Indicadores de </w:t>
      </w:r>
      <w:r w:rsidR="004A558D" w:rsidRPr="00826B76">
        <w:rPr>
          <w:rFonts w:ascii="ITC Avant Garde" w:hAnsi="ITC Avant Garde"/>
          <w:b/>
        </w:rPr>
        <w:t>C</w:t>
      </w:r>
      <w:r w:rsidRPr="00826B76">
        <w:rPr>
          <w:rFonts w:ascii="ITC Avant Garde" w:hAnsi="ITC Avant Garde"/>
          <w:b/>
        </w:rPr>
        <w:t>alidad</w:t>
      </w:r>
      <w:r w:rsidR="004A558D" w:rsidRPr="00826B76">
        <w:rPr>
          <w:rFonts w:ascii="ITC Avant Garde" w:hAnsi="ITC Avant Garde"/>
          <w:b/>
        </w:rPr>
        <w:t>.</w:t>
      </w:r>
      <w:r w:rsidR="004A558D" w:rsidRPr="00826B76">
        <w:rPr>
          <w:rFonts w:ascii="ITC Avant Garde" w:hAnsi="ITC Avant Garde"/>
        </w:rPr>
        <w:t xml:space="preserve"> En el numeral 2.1 Indicadores de Calidad de la Red Compartida, </w:t>
      </w:r>
      <w:r w:rsidR="00BF5430" w:rsidRPr="00826B76">
        <w:rPr>
          <w:rFonts w:ascii="ITC Avant Garde" w:hAnsi="ITC Avant Garde"/>
        </w:rPr>
        <w:t xml:space="preserve">se </w:t>
      </w:r>
      <w:r w:rsidR="004A558D" w:rsidRPr="00826B76">
        <w:rPr>
          <w:rFonts w:ascii="ITC Avant Garde" w:hAnsi="ITC Avant Garde"/>
        </w:rPr>
        <w:t>señala</w:t>
      </w:r>
      <w:r w:rsidR="00BF5430" w:rsidRPr="00826B76">
        <w:rPr>
          <w:rFonts w:ascii="ITC Avant Garde" w:hAnsi="ITC Avant Garde"/>
        </w:rPr>
        <w:t>n</w:t>
      </w:r>
      <w:r w:rsidR="004A558D" w:rsidRPr="00826B76">
        <w:rPr>
          <w:rFonts w:ascii="ITC Avant Garde" w:hAnsi="ITC Avant Garde"/>
        </w:rPr>
        <w:t xml:space="preserve"> los indicadores de calidad a los que</w:t>
      </w:r>
      <w:r w:rsidR="00BF5430" w:rsidRPr="00826B76">
        <w:rPr>
          <w:rFonts w:ascii="ITC Avant Garde" w:hAnsi="ITC Avant Garde"/>
        </w:rPr>
        <w:t xml:space="preserve"> Altán</w:t>
      </w:r>
      <w:r w:rsidR="004A558D" w:rsidRPr="00826B76">
        <w:rPr>
          <w:rFonts w:ascii="ITC Avant Garde" w:hAnsi="ITC Avant Garde"/>
        </w:rPr>
        <w:t xml:space="preserve"> se encuentra obligada de acuerdo al Contrato </w:t>
      </w:r>
      <w:r w:rsidR="009A4CAE" w:rsidRPr="00826B76">
        <w:rPr>
          <w:rFonts w:ascii="ITC Avant Garde" w:hAnsi="ITC Avant Garde"/>
        </w:rPr>
        <w:t>APP</w:t>
      </w:r>
      <w:r w:rsidR="004A558D" w:rsidRPr="00826B76">
        <w:rPr>
          <w:rFonts w:ascii="ITC Avant Garde" w:hAnsi="ITC Avant Garde"/>
        </w:rPr>
        <w:t xml:space="preserve">, </w:t>
      </w:r>
      <w:r w:rsidR="00BF5430" w:rsidRPr="00826B76">
        <w:rPr>
          <w:rFonts w:ascii="ITC Avant Garde" w:hAnsi="ITC Avant Garde"/>
        </w:rPr>
        <w:t xml:space="preserve">siendo </w:t>
      </w:r>
      <w:r w:rsidR="004A558D" w:rsidRPr="00826B76">
        <w:rPr>
          <w:rFonts w:ascii="ITC Avant Garde" w:hAnsi="ITC Avant Garde"/>
        </w:rPr>
        <w:t>los siguientes:</w:t>
      </w:r>
    </w:p>
    <w:tbl>
      <w:tblPr>
        <w:tblStyle w:val="Cuadrculadetablaclara"/>
        <w:tblW w:w="8448" w:type="dxa"/>
        <w:jc w:val="center"/>
        <w:tblLook w:val="04A0" w:firstRow="1" w:lastRow="0" w:firstColumn="1" w:lastColumn="0" w:noHBand="0" w:noVBand="1"/>
        <w:tblCaption w:val="Tabla"/>
        <w:tblDescription w:val="Indicadores de Calidad."/>
      </w:tblPr>
      <w:tblGrid>
        <w:gridCol w:w="2972"/>
        <w:gridCol w:w="5476"/>
      </w:tblGrid>
      <w:tr w:rsidR="004A558D" w:rsidRPr="00826B76" w14:paraId="3BBC171F" w14:textId="77777777" w:rsidTr="00BC7C22">
        <w:trPr>
          <w:trHeight w:val="85"/>
          <w:tblHeader/>
          <w:jc w:val="center"/>
        </w:trPr>
        <w:tc>
          <w:tcPr>
            <w:tcW w:w="2972" w:type="dxa"/>
            <w:shd w:val="clear" w:color="auto" w:fill="BFBFBF" w:themeFill="background1" w:themeFillShade="BF"/>
            <w:hideMark/>
          </w:tcPr>
          <w:p w14:paraId="1BE499E2" w14:textId="77777777" w:rsidR="004A558D" w:rsidRPr="00826B76" w:rsidRDefault="004A558D" w:rsidP="00826B76">
            <w:pPr>
              <w:spacing w:before="240" w:after="200" w:line="257" w:lineRule="auto"/>
              <w:jc w:val="center"/>
              <w:rPr>
                <w:rFonts w:ascii="ITC Avant Garde" w:hAnsi="ITC Avant Garde" w:cs="Arial"/>
                <w:b/>
                <w:sz w:val="18"/>
                <w:szCs w:val="18"/>
              </w:rPr>
            </w:pPr>
            <w:r w:rsidRPr="00826B76">
              <w:rPr>
                <w:rFonts w:ascii="ITC Avant Garde" w:hAnsi="ITC Avant Garde" w:cs="Arial"/>
                <w:b/>
                <w:color w:val="000000"/>
                <w:sz w:val="18"/>
                <w:szCs w:val="18"/>
              </w:rPr>
              <w:lastRenderedPageBreak/>
              <w:t>Indicador</w:t>
            </w:r>
          </w:p>
        </w:tc>
        <w:tc>
          <w:tcPr>
            <w:tcW w:w="5476" w:type="dxa"/>
            <w:shd w:val="clear" w:color="auto" w:fill="BFBFBF" w:themeFill="background1" w:themeFillShade="BF"/>
            <w:hideMark/>
          </w:tcPr>
          <w:p w14:paraId="2BF0460C" w14:textId="77777777" w:rsidR="004A558D" w:rsidRPr="00826B76" w:rsidRDefault="004A558D" w:rsidP="00826B76">
            <w:pPr>
              <w:pStyle w:val="Body"/>
              <w:spacing w:before="240" w:after="200" w:line="257" w:lineRule="auto"/>
              <w:jc w:val="center"/>
              <w:rPr>
                <w:rFonts w:ascii="ITC Avant Garde" w:hAnsi="ITC Avant Garde" w:cs="Arial"/>
                <w:b/>
                <w:sz w:val="18"/>
                <w:szCs w:val="18"/>
                <w:bdr w:val="none" w:sz="0" w:space="0" w:color="auto" w:frame="1"/>
                <w:lang w:val="es-MX" w:eastAsia="en-US"/>
              </w:rPr>
            </w:pPr>
            <w:r w:rsidRPr="00826B76">
              <w:rPr>
                <w:rFonts w:ascii="ITC Avant Garde" w:hAnsi="ITC Avant Garde" w:cs="Arial"/>
                <w:b/>
                <w:sz w:val="18"/>
                <w:szCs w:val="18"/>
                <w:bdr w:val="none" w:sz="0" w:space="0" w:color="auto" w:frame="1"/>
                <w:lang w:val="es-MX" w:eastAsia="en-US"/>
              </w:rPr>
              <w:t>Medición</w:t>
            </w:r>
          </w:p>
        </w:tc>
      </w:tr>
      <w:tr w:rsidR="004A558D" w:rsidRPr="00826B76" w14:paraId="7B4AB080" w14:textId="77777777" w:rsidTr="00BC7C22">
        <w:trPr>
          <w:trHeight w:val="6"/>
          <w:jc w:val="center"/>
        </w:trPr>
        <w:tc>
          <w:tcPr>
            <w:tcW w:w="2972" w:type="dxa"/>
            <w:hideMark/>
          </w:tcPr>
          <w:p w14:paraId="39CFD528" w14:textId="77777777" w:rsidR="004A558D" w:rsidRPr="00826B76" w:rsidRDefault="004A558D" w:rsidP="00826B76">
            <w:pPr>
              <w:spacing w:before="240" w:after="200" w:line="257" w:lineRule="auto"/>
              <w:jc w:val="center"/>
              <w:rPr>
                <w:rFonts w:ascii="ITC Avant Garde" w:hAnsi="ITC Avant Garde" w:cs="Arial"/>
                <w:color w:val="000000"/>
                <w:sz w:val="18"/>
                <w:szCs w:val="18"/>
              </w:rPr>
            </w:pPr>
            <w:r w:rsidRPr="00826B76">
              <w:rPr>
                <w:rFonts w:ascii="ITC Avant Garde" w:hAnsi="ITC Avant Garde" w:cs="Arial"/>
                <w:color w:val="000000"/>
                <w:sz w:val="18"/>
                <w:szCs w:val="18"/>
              </w:rPr>
              <w:t>Tasa de Transmisión de Datos del Enlace Descendente</w:t>
            </w:r>
          </w:p>
        </w:tc>
        <w:tc>
          <w:tcPr>
            <w:tcW w:w="5476" w:type="dxa"/>
            <w:hideMark/>
          </w:tcPr>
          <w:p w14:paraId="753131A6" w14:textId="77777777" w:rsidR="004A558D" w:rsidRPr="00826B76" w:rsidRDefault="004A558D" w:rsidP="00826B76">
            <w:pPr>
              <w:pBdr>
                <w:top w:val="nil"/>
                <w:left w:val="nil"/>
                <w:bottom w:val="nil"/>
                <w:right w:val="nil"/>
                <w:between w:val="nil"/>
                <w:bar w:val="nil"/>
              </w:pBdr>
              <w:spacing w:before="240" w:after="200" w:line="257" w:lineRule="auto"/>
              <w:jc w:val="both"/>
              <w:rPr>
                <w:rFonts w:ascii="ITC Avant Garde" w:hAnsi="ITC Avant Garde" w:cs="Arial"/>
                <w:sz w:val="18"/>
                <w:szCs w:val="18"/>
                <w:bdr w:val="none" w:sz="0" w:space="0" w:color="auto" w:frame="1"/>
              </w:rPr>
            </w:pPr>
            <w:r w:rsidRPr="00826B76">
              <w:rPr>
                <w:rFonts w:ascii="ITC Avant Garde" w:hAnsi="ITC Avant Garde" w:cs="Arial"/>
                <w:sz w:val="18"/>
                <w:szCs w:val="18"/>
                <w:bdr w:val="none" w:sz="0" w:space="0" w:color="auto" w:frame="1"/>
              </w:rPr>
              <w:t>Cantidad promedio de Datos descargada con respecto a 1 (un) segundo y que deberá ser de al menos 4 (cuatro) Megabits por segundo en el borde de Cobertura exterior (no en inmuebles) en Hora Pico de la Red Compartida</w:t>
            </w:r>
          </w:p>
        </w:tc>
      </w:tr>
      <w:tr w:rsidR="004A558D" w:rsidRPr="00826B76" w14:paraId="228C0117" w14:textId="77777777" w:rsidTr="00BC7C22">
        <w:trPr>
          <w:trHeight w:val="6"/>
          <w:jc w:val="center"/>
        </w:trPr>
        <w:tc>
          <w:tcPr>
            <w:tcW w:w="2972" w:type="dxa"/>
            <w:hideMark/>
          </w:tcPr>
          <w:p w14:paraId="7B6220CC" w14:textId="77777777" w:rsidR="004A558D" w:rsidRPr="00826B76" w:rsidRDefault="004A558D" w:rsidP="00826B76">
            <w:pPr>
              <w:spacing w:before="240" w:after="200" w:line="257" w:lineRule="auto"/>
              <w:jc w:val="center"/>
              <w:rPr>
                <w:rFonts w:ascii="ITC Avant Garde" w:hAnsi="ITC Avant Garde" w:cs="Arial"/>
                <w:color w:val="000000"/>
                <w:sz w:val="18"/>
                <w:szCs w:val="18"/>
              </w:rPr>
            </w:pPr>
            <w:r w:rsidRPr="00826B76">
              <w:rPr>
                <w:rFonts w:ascii="ITC Avant Garde" w:hAnsi="ITC Avant Garde" w:cs="Arial"/>
                <w:color w:val="000000"/>
                <w:sz w:val="18"/>
                <w:szCs w:val="18"/>
              </w:rPr>
              <w:t>Tasa de Transmisión de Datos del Enlace Ascendente</w:t>
            </w:r>
          </w:p>
        </w:tc>
        <w:tc>
          <w:tcPr>
            <w:tcW w:w="5476" w:type="dxa"/>
            <w:hideMark/>
          </w:tcPr>
          <w:p w14:paraId="7E912D83" w14:textId="77777777" w:rsidR="004A558D" w:rsidRPr="00826B76" w:rsidRDefault="004A558D" w:rsidP="00826B76">
            <w:pPr>
              <w:pBdr>
                <w:top w:val="nil"/>
                <w:left w:val="nil"/>
                <w:bottom w:val="nil"/>
                <w:right w:val="nil"/>
                <w:between w:val="nil"/>
                <w:bar w:val="nil"/>
              </w:pBdr>
              <w:spacing w:before="240" w:after="200" w:line="257" w:lineRule="auto"/>
              <w:jc w:val="both"/>
              <w:rPr>
                <w:rFonts w:ascii="ITC Avant Garde" w:hAnsi="ITC Avant Garde" w:cs="Arial"/>
                <w:sz w:val="18"/>
                <w:szCs w:val="18"/>
                <w:highlight w:val="yellow"/>
                <w:bdr w:val="none" w:sz="0" w:space="0" w:color="auto" w:frame="1"/>
              </w:rPr>
            </w:pPr>
            <w:r w:rsidRPr="00826B76">
              <w:rPr>
                <w:rFonts w:ascii="ITC Avant Garde" w:hAnsi="ITC Avant Garde" w:cs="Arial"/>
                <w:sz w:val="18"/>
                <w:szCs w:val="18"/>
                <w:bdr w:val="none" w:sz="0" w:space="0" w:color="auto" w:frame="1"/>
              </w:rPr>
              <w:t>Cantidad promedio de Datos enviada con respecto a 1 (un) segundo y que deberá ser de al menos 1 (un) Megabit por segundo en el borde de Cobertura en Hora Pico de la Red Compartida exterior (no en inmuebles)</w:t>
            </w:r>
          </w:p>
        </w:tc>
      </w:tr>
    </w:tbl>
    <w:p w14:paraId="1176F3F3" w14:textId="7C1981B3" w:rsidR="004A558D" w:rsidRPr="00826B76" w:rsidRDefault="004A558D" w:rsidP="00826B76">
      <w:pPr>
        <w:pStyle w:val="Prrafodelista"/>
        <w:spacing w:before="240"/>
        <w:ind w:left="0"/>
        <w:jc w:val="both"/>
        <w:rPr>
          <w:rFonts w:ascii="ITC Avant Garde" w:hAnsi="ITC Avant Garde" w:cs="Arial"/>
        </w:rPr>
      </w:pPr>
      <w:r w:rsidRPr="00826B76">
        <w:rPr>
          <w:rFonts w:ascii="ITC Avant Garde" w:hAnsi="ITC Avant Garde" w:cs="Arial"/>
        </w:rPr>
        <w:t>De lo cual se señala que</w:t>
      </w:r>
      <w:r w:rsidR="00501E4D" w:rsidRPr="00826B76">
        <w:rPr>
          <w:rFonts w:ascii="ITC Avant Garde" w:hAnsi="ITC Avant Garde" w:cs="Arial"/>
        </w:rPr>
        <w:t>,</w:t>
      </w:r>
      <w:r w:rsidR="009A4CAE" w:rsidRPr="00826B76">
        <w:rPr>
          <w:rFonts w:ascii="ITC Avant Garde" w:hAnsi="ITC Avant Garde" w:cs="Arial"/>
        </w:rPr>
        <w:t xml:space="preserve"> adicionalmente a lo establecido en el numeral </w:t>
      </w:r>
      <w:r w:rsidR="00BF5430" w:rsidRPr="00826B76">
        <w:rPr>
          <w:rFonts w:ascii="ITC Avant Garde" w:hAnsi="ITC Avant Garde" w:cs="Arial"/>
        </w:rPr>
        <w:t>2.1,</w:t>
      </w:r>
      <w:r w:rsidR="007A13C5" w:rsidRPr="00826B76">
        <w:rPr>
          <w:rFonts w:ascii="ITC Avant Garde" w:hAnsi="ITC Avant Garde" w:cs="Arial"/>
        </w:rPr>
        <w:t xml:space="preserve"> Altán</w:t>
      </w:r>
      <w:r w:rsidRPr="00826B76">
        <w:rPr>
          <w:rFonts w:ascii="ITC Avant Garde" w:hAnsi="ITC Avant Garde" w:cs="Arial"/>
        </w:rPr>
        <w:t xml:space="preserve"> debe cumplir con los parámetros de calidad establecidos en las disposiciones legales esto es </w:t>
      </w:r>
      <w:r w:rsidR="00D6261B" w:rsidRPr="00826B76">
        <w:rPr>
          <w:rFonts w:ascii="ITC Avant Garde" w:hAnsi="ITC Avant Garde" w:cs="Arial"/>
        </w:rPr>
        <w:t>los Lineamientos de Calidad Móvil</w:t>
      </w:r>
      <w:r w:rsidRPr="00826B76">
        <w:rPr>
          <w:rStyle w:val="Refdenotaalpie"/>
          <w:rFonts w:ascii="ITC Avant Garde" w:hAnsi="ITC Avant Garde" w:cs="Arial"/>
        </w:rPr>
        <w:footnoteReference w:id="3"/>
      </w:r>
      <w:r w:rsidRPr="00826B76">
        <w:rPr>
          <w:rFonts w:ascii="ITC Avant Garde" w:hAnsi="ITC Avant Garde" w:cs="Arial"/>
        </w:rPr>
        <w:t xml:space="preserve">, por lo que se requiere modificar </w:t>
      </w:r>
      <w:r w:rsidRPr="00826B76">
        <w:rPr>
          <w:rFonts w:ascii="ITC Avant Garde" w:hAnsi="ITC Avant Garde"/>
        </w:rPr>
        <w:t>el numeral 2.1 a efecto de considerar lo anterior.</w:t>
      </w:r>
    </w:p>
    <w:p w14:paraId="264C16D0" w14:textId="77777777" w:rsidR="00826B76" w:rsidRPr="00826B76" w:rsidRDefault="002B05CF" w:rsidP="00826B76">
      <w:pPr>
        <w:pStyle w:val="Prrafodelista"/>
        <w:numPr>
          <w:ilvl w:val="1"/>
          <w:numId w:val="9"/>
        </w:numPr>
        <w:tabs>
          <w:tab w:val="left" w:pos="567"/>
        </w:tabs>
        <w:spacing w:before="240"/>
        <w:ind w:left="0" w:firstLine="0"/>
        <w:jc w:val="both"/>
        <w:rPr>
          <w:rFonts w:ascii="ITC Avant Garde" w:hAnsi="ITC Avant Garde" w:cs="Arial"/>
        </w:rPr>
      </w:pPr>
      <w:r w:rsidRPr="00826B76">
        <w:rPr>
          <w:rFonts w:ascii="ITC Avant Garde" w:hAnsi="ITC Avant Garde"/>
          <w:b/>
        </w:rPr>
        <w:t>Cláusula Segunda</w:t>
      </w:r>
      <w:r w:rsidR="004A558D" w:rsidRPr="00826B76">
        <w:rPr>
          <w:rFonts w:ascii="ITC Avant Garde" w:hAnsi="ITC Avant Garde"/>
          <w:b/>
        </w:rPr>
        <w:t>.</w:t>
      </w:r>
      <w:r w:rsidRPr="00826B76">
        <w:rPr>
          <w:rFonts w:ascii="ITC Avant Garde" w:hAnsi="ITC Avant Garde"/>
          <w:b/>
        </w:rPr>
        <w:t xml:space="preserve"> Disponibilidad</w:t>
      </w:r>
      <w:r w:rsidR="004A558D" w:rsidRPr="00826B76">
        <w:rPr>
          <w:rFonts w:ascii="ITC Avant Garde" w:hAnsi="ITC Avant Garde"/>
          <w:b/>
        </w:rPr>
        <w:t>.</w:t>
      </w:r>
      <w:r w:rsidR="004A558D" w:rsidRPr="00826B76">
        <w:rPr>
          <w:rFonts w:ascii="ITC Avant Garde" w:hAnsi="ITC Avant Garde"/>
        </w:rPr>
        <w:t xml:space="preserve"> En el numeral 2.2 se indica que el tiempo de indisponibilidad de las interfaces de la Plataforma de Gestión Mayorista iniciará el momento en que sea confirmada por el Centro de Operaciones de Red (NOC), lo cual es contrario a la práctica de la industria ya que para determinar la duración de una falla se consideran dos casos: el momento en el que el Cliente reporta la falla a través del levantamiento del reporte correspondiente, y en cuanto Altán detecte la falla y notifique al Cliente. En este sentido, no es necesaria la confirmación del NOC por lo que se requiere modificar la redacción a efecto de considerar lo anterior.</w:t>
      </w:r>
    </w:p>
    <w:p w14:paraId="26330D60" w14:textId="77777777" w:rsidR="00826B76" w:rsidRPr="00826B76" w:rsidRDefault="002B05CF" w:rsidP="00826B76">
      <w:pPr>
        <w:pStyle w:val="Prrafodelista"/>
        <w:numPr>
          <w:ilvl w:val="1"/>
          <w:numId w:val="9"/>
        </w:numPr>
        <w:tabs>
          <w:tab w:val="left" w:pos="567"/>
        </w:tabs>
        <w:spacing w:before="240"/>
        <w:ind w:left="0" w:firstLine="0"/>
        <w:jc w:val="both"/>
        <w:rPr>
          <w:rFonts w:ascii="ITC Avant Garde" w:hAnsi="ITC Avant Garde" w:cs="Arial"/>
        </w:rPr>
      </w:pPr>
      <w:r w:rsidRPr="00826B76">
        <w:rPr>
          <w:rFonts w:ascii="ITC Avant Garde" w:hAnsi="ITC Avant Garde"/>
          <w:b/>
        </w:rPr>
        <w:t>Cláusula Tercera</w:t>
      </w:r>
      <w:r w:rsidR="004A558D" w:rsidRPr="00826B76">
        <w:rPr>
          <w:rFonts w:ascii="ITC Avant Garde" w:hAnsi="ITC Avant Garde"/>
          <w:b/>
        </w:rPr>
        <w:t>.</w:t>
      </w:r>
      <w:r w:rsidRPr="00826B76">
        <w:rPr>
          <w:rFonts w:ascii="ITC Avant Garde" w:hAnsi="ITC Avant Garde"/>
          <w:b/>
        </w:rPr>
        <w:t xml:space="preserve"> Penalizaciones</w:t>
      </w:r>
      <w:r w:rsidR="004A558D" w:rsidRPr="00826B76">
        <w:rPr>
          <w:rFonts w:ascii="ITC Avant Garde" w:hAnsi="ITC Avant Garde"/>
          <w:b/>
        </w:rPr>
        <w:t>.</w:t>
      </w:r>
      <w:r w:rsidR="004A558D" w:rsidRPr="00826B76">
        <w:rPr>
          <w:rFonts w:ascii="ITC Avant Garde" w:hAnsi="ITC Avant Garde"/>
        </w:rPr>
        <w:t xml:space="preserve"> El numeral 3.1 establece las penalizaciones correspondientes por incumplimiento en el nivel de disponibilidad de las interfaces de la Plataforma de Gestión Mayorista. No obstante lo anterior, se observa que no se consideran penalizaciones por otras causas como la afectación en la prestación del servicio, o por incumplimiento en los plazos de atención de incidencias. Se considera relevante considerar penalizaciones por estas causas ya que una falla que impida la prestación del servicio afecta directamente al Cliente al ser sus usuarios los que hacen uso del servicio.</w:t>
      </w:r>
      <w:r w:rsidR="00D87470" w:rsidRPr="00826B76">
        <w:rPr>
          <w:rFonts w:ascii="ITC Avant Garde" w:hAnsi="ITC Avant Garde"/>
        </w:rPr>
        <w:t xml:space="preserve"> </w:t>
      </w:r>
      <w:r w:rsidR="004A558D" w:rsidRPr="00826B76">
        <w:rPr>
          <w:rFonts w:ascii="ITC Avant Garde" w:hAnsi="ITC Avant Garde"/>
        </w:rPr>
        <w:t>En este sentido, se requiere agregar penalizaciones por afectación en el servicio y por retrasos en la atención de incidencias.</w:t>
      </w:r>
    </w:p>
    <w:p w14:paraId="5C4DB112" w14:textId="77777777" w:rsidR="00826B76" w:rsidRPr="00826B76" w:rsidRDefault="002B05CF" w:rsidP="00826B76">
      <w:pPr>
        <w:pStyle w:val="Prrafodelista"/>
        <w:numPr>
          <w:ilvl w:val="1"/>
          <w:numId w:val="9"/>
        </w:numPr>
        <w:tabs>
          <w:tab w:val="left" w:pos="567"/>
        </w:tabs>
        <w:spacing w:before="240"/>
        <w:ind w:left="0" w:firstLine="0"/>
        <w:jc w:val="both"/>
        <w:rPr>
          <w:rFonts w:ascii="ITC Avant Garde" w:hAnsi="ITC Avant Garde"/>
          <w:b/>
        </w:rPr>
      </w:pPr>
      <w:r w:rsidRPr="00826B76">
        <w:rPr>
          <w:rFonts w:ascii="ITC Avant Garde" w:hAnsi="ITC Avant Garde"/>
          <w:b/>
        </w:rPr>
        <w:lastRenderedPageBreak/>
        <w:t>Cláusula Cuarta. Calidad del servicio.</w:t>
      </w:r>
      <w:r w:rsidR="004A558D" w:rsidRPr="00826B76">
        <w:rPr>
          <w:rFonts w:ascii="ITC Avant Garde" w:hAnsi="ITC Avant Garde"/>
        </w:rPr>
        <w:t xml:space="preserve"> En el numeral 4.4 se señala que en caso de que el tráfico para un mes y región o localidad determinada, exceda las proyecciones en un 20% (veinte por ciento) de lo pronosticado por el Cliente, Altán no estará obligada a mantener los índices de calidad indicados en el numeral 2.1. De lo cual se requiere la eliminación de dicho numeral, dado que los índices de calidad a los que está sujeto Altán emanan de las disposiciones aplicables, en este caso </w:t>
      </w:r>
      <w:r w:rsidR="00EC6BA0" w:rsidRPr="00826B76">
        <w:rPr>
          <w:rFonts w:ascii="ITC Avant Garde" w:hAnsi="ITC Avant Garde"/>
        </w:rPr>
        <w:t>los Lineamientos de Calidad Móvil</w:t>
      </w:r>
      <w:r w:rsidR="004A558D" w:rsidRPr="00826B76">
        <w:rPr>
          <w:rFonts w:ascii="ITC Avant Garde" w:hAnsi="ITC Avant Garde" w:cs="Arial"/>
        </w:rPr>
        <w:t>, entre otras, por lo que Altán no puede disminuir o alterar la calidad en la prestación de los servicios. Asimismo, dicho tratamiento constituiría discriminación entre el tráfico de los diferentes Clientes de Altán.</w:t>
      </w:r>
    </w:p>
    <w:p w14:paraId="24D111E9" w14:textId="77777777" w:rsidR="00826B76" w:rsidRPr="00826B76" w:rsidRDefault="002B05CF" w:rsidP="00826B76">
      <w:pPr>
        <w:pStyle w:val="Prrafodelista"/>
        <w:numPr>
          <w:ilvl w:val="1"/>
          <w:numId w:val="9"/>
        </w:numPr>
        <w:tabs>
          <w:tab w:val="left" w:pos="567"/>
        </w:tabs>
        <w:spacing w:before="240"/>
        <w:ind w:left="0" w:firstLine="0"/>
        <w:jc w:val="both"/>
        <w:rPr>
          <w:rFonts w:ascii="ITC Avant Garde" w:hAnsi="ITC Avant Garde"/>
        </w:rPr>
      </w:pPr>
      <w:r w:rsidRPr="00826B76">
        <w:rPr>
          <w:rFonts w:ascii="ITC Avant Garde" w:hAnsi="ITC Avant Garde"/>
          <w:b/>
        </w:rPr>
        <w:t>Cláusula Cuarta. Suspensión de activaciones</w:t>
      </w:r>
      <w:r w:rsidR="004A558D" w:rsidRPr="00826B76">
        <w:rPr>
          <w:rFonts w:ascii="ITC Avant Garde" w:hAnsi="ITC Avant Garde"/>
          <w:b/>
        </w:rPr>
        <w:t xml:space="preserve">. </w:t>
      </w:r>
      <w:r w:rsidR="004A558D" w:rsidRPr="00826B76">
        <w:rPr>
          <w:rFonts w:ascii="ITC Avant Garde" w:hAnsi="ITC Avant Garde"/>
        </w:rPr>
        <w:t>El numeral 4.5 indica que en caso de que el tráfico en una determinada región o localidad exceda las proyecciones realizadas por el Cliente en más del 50% (cincuenta por ciento), Altán podrá suspender las activaciones en dicha región o localidad, misma que permanecerá hasta que Altán pueda asegurar la integridad de la red, resolver la carencia de numeración, y que el Cliente entregue proyecciones de tráfico corregidas.</w:t>
      </w:r>
    </w:p>
    <w:p w14:paraId="7DE6F188" w14:textId="77777777" w:rsidR="00826B76" w:rsidRPr="00826B76" w:rsidRDefault="004A558D" w:rsidP="00826B76">
      <w:pPr>
        <w:pStyle w:val="Prrafodelista"/>
        <w:spacing w:before="240"/>
        <w:ind w:left="0"/>
        <w:jc w:val="both"/>
        <w:rPr>
          <w:rFonts w:ascii="ITC Avant Garde" w:hAnsi="ITC Avant Garde"/>
        </w:rPr>
      </w:pPr>
      <w:r w:rsidRPr="00826B76">
        <w:rPr>
          <w:rFonts w:ascii="ITC Avant Garde" w:hAnsi="ITC Avant Garde"/>
        </w:rPr>
        <w:t xml:space="preserve">Al respecto se señala que los operadores de red realizan el monitoreo continuo del nivel de utilización de los elementos que conforman la red, a efecto de </w:t>
      </w:r>
      <w:r w:rsidR="00BF5430" w:rsidRPr="00826B76">
        <w:rPr>
          <w:rFonts w:ascii="ITC Avant Garde" w:hAnsi="ITC Avant Garde"/>
        </w:rPr>
        <w:t xml:space="preserve">incrementar la capacidad </w:t>
      </w:r>
      <w:r w:rsidRPr="00826B76">
        <w:rPr>
          <w:rFonts w:ascii="ITC Avant Garde" w:hAnsi="ITC Avant Garde"/>
        </w:rPr>
        <w:t xml:space="preserve">correspondiente o prever la saturación de la misma en alguna región o localidad. De igual forma, la administración de los recursos como la numeración consiste en que, de acuerdo a la utilización de los mismos se realicen acciones para garantizar su disponibilidad. En este sentido, </w:t>
      </w:r>
      <w:r w:rsidR="00313588" w:rsidRPr="00826B76">
        <w:rPr>
          <w:rFonts w:ascii="ITC Avant Garde" w:hAnsi="ITC Avant Garde"/>
        </w:rPr>
        <w:t>mediante el monitoreo, planes de crecimiento y la administración de los recursos es posible</w:t>
      </w:r>
      <w:r w:rsidRPr="00826B76">
        <w:rPr>
          <w:rFonts w:ascii="ITC Avant Garde" w:hAnsi="ITC Avant Garde"/>
        </w:rPr>
        <w:t xml:space="preserve"> contar con los recursos de red y de numeración </w:t>
      </w:r>
      <w:r w:rsidR="00313588" w:rsidRPr="00826B76">
        <w:rPr>
          <w:rFonts w:ascii="ITC Avant Garde" w:hAnsi="ITC Avant Garde"/>
        </w:rPr>
        <w:t xml:space="preserve">suficientes </w:t>
      </w:r>
      <w:r w:rsidRPr="00826B76">
        <w:rPr>
          <w:rFonts w:ascii="ITC Avant Garde" w:hAnsi="ITC Avant Garde"/>
        </w:rPr>
        <w:t>aún en casos en los que se exceda la proyección de tráfico o usuarios de un Cliente en más del 50% por lo que no resulta justificable la suspensión de las activaciones del Cliente. Asimismo, dicha suspensión podría inhibir la competencia</w:t>
      </w:r>
      <w:r w:rsidR="00E96AB2" w:rsidRPr="00826B76">
        <w:rPr>
          <w:rFonts w:ascii="ITC Avant Garde" w:hAnsi="ITC Avant Garde"/>
        </w:rPr>
        <w:t xml:space="preserve"> y comprometer la continuidad de los servicios en perjuicio de los usuarios,</w:t>
      </w:r>
      <w:r w:rsidRPr="00826B76">
        <w:rPr>
          <w:rFonts w:ascii="ITC Avant Garde" w:hAnsi="ITC Avant Garde"/>
        </w:rPr>
        <w:t xml:space="preserve"> por lo anterior se requiere su eliminación</w:t>
      </w:r>
      <w:r w:rsidR="00E86C65" w:rsidRPr="00826B76">
        <w:rPr>
          <w:rFonts w:ascii="ITC Avant Garde" w:hAnsi="ITC Avant Garde"/>
        </w:rPr>
        <w:t xml:space="preserve"> o Altán justifique la razón por la que dicha suspensión </w:t>
      </w:r>
      <w:r w:rsidR="00E96AB2" w:rsidRPr="00826B76">
        <w:rPr>
          <w:rFonts w:ascii="ITC Avant Garde" w:hAnsi="ITC Avant Garde"/>
        </w:rPr>
        <w:t>es imprescindible</w:t>
      </w:r>
      <w:r w:rsidRPr="00826B76">
        <w:rPr>
          <w:rFonts w:ascii="ITC Avant Garde" w:hAnsi="ITC Avant Garde"/>
        </w:rPr>
        <w:t>.</w:t>
      </w:r>
    </w:p>
    <w:p w14:paraId="15D9122D" w14:textId="77777777" w:rsidR="00826B76" w:rsidRPr="00826B76" w:rsidRDefault="00247407" w:rsidP="00826B76">
      <w:pPr>
        <w:tabs>
          <w:tab w:val="num" w:pos="1940"/>
        </w:tabs>
        <w:spacing w:before="240" w:after="200"/>
        <w:jc w:val="both"/>
        <w:rPr>
          <w:rFonts w:ascii="ITC Avant Garde" w:hAnsi="ITC Avant Garde" w:cs="Arial"/>
          <w:b/>
        </w:rPr>
      </w:pPr>
      <w:r w:rsidRPr="00826B76">
        <w:rPr>
          <w:rFonts w:ascii="ITC Avant Garde" w:hAnsi="ITC Avant Garde" w:cs="Arial"/>
        </w:rPr>
        <w:t>Por lo antes expuesto y con fundamento en los artículos 6o.</w:t>
      </w:r>
      <w:r w:rsidR="00897A82" w:rsidRPr="00826B76">
        <w:rPr>
          <w:rFonts w:ascii="ITC Avant Garde" w:hAnsi="ITC Avant Garde" w:cs="Arial"/>
        </w:rPr>
        <w:t>, apartado B, fracción II</w:t>
      </w:r>
      <w:r w:rsidRPr="00826B76">
        <w:rPr>
          <w:rFonts w:ascii="ITC Avant Garde" w:hAnsi="ITC Avant Garde" w:cs="Arial"/>
        </w:rPr>
        <w:t xml:space="preserve"> y 28, párrafo</w:t>
      </w:r>
      <w:r w:rsidR="00651A25" w:rsidRPr="00826B76">
        <w:rPr>
          <w:rFonts w:ascii="ITC Avant Garde" w:hAnsi="ITC Avant Garde" w:cs="Arial"/>
        </w:rPr>
        <w:t>s</w:t>
      </w:r>
      <w:r w:rsidRPr="00826B76">
        <w:rPr>
          <w:rFonts w:ascii="ITC Avant Garde" w:hAnsi="ITC Avant Garde" w:cs="Arial"/>
        </w:rPr>
        <w:t xml:space="preserve"> décimo quinto</w:t>
      </w:r>
      <w:r w:rsidR="00085188" w:rsidRPr="00826B76">
        <w:rPr>
          <w:rFonts w:ascii="ITC Avant Garde" w:hAnsi="ITC Avant Garde" w:cs="Arial"/>
        </w:rPr>
        <w:t xml:space="preserve"> y décimo sexto</w:t>
      </w:r>
      <w:r w:rsidRPr="00826B76">
        <w:rPr>
          <w:rFonts w:ascii="ITC Avant Garde" w:hAnsi="ITC Avant Garde" w:cs="Arial"/>
        </w:rPr>
        <w:t xml:space="preserve"> de la Constitución Política de los Estados Unidos Mexicanos 1, 2</w:t>
      </w:r>
      <w:r w:rsidR="00085188" w:rsidRPr="00826B76">
        <w:rPr>
          <w:rFonts w:ascii="ITC Avant Garde" w:hAnsi="ITC Avant Garde" w:cs="Arial"/>
        </w:rPr>
        <w:t xml:space="preserve">, </w:t>
      </w:r>
      <w:r w:rsidR="00F1234D" w:rsidRPr="00826B76">
        <w:rPr>
          <w:rFonts w:ascii="ITC Avant Garde" w:hAnsi="ITC Avant Garde" w:cs="Arial"/>
        </w:rPr>
        <w:t xml:space="preserve">6, fracción IV, </w:t>
      </w:r>
      <w:r w:rsidR="00085188" w:rsidRPr="00826B76">
        <w:rPr>
          <w:rFonts w:ascii="ITC Avant Garde" w:hAnsi="ITC Avant Garde" w:cs="Arial"/>
        </w:rPr>
        <w:t>7</w:t>
      </w:r>
      <w:r w:rsidR="00651A25" w:rsidRPr="00826B76">
        <w:rPr>
          <w:rFonts w:ascii="ITC Avant Garde" w:hAnsi="ITC Avant Garde" w:cs="Arial"/>
        </w:rPr>
        <w:t xml:space="preserve">, 15, fracción </w:t>
      </w:r>
      <w:r w:rsidR="00956BC9" w:rsidRPr="00826B76">
        <w:rPr>
          <w:rFonts w:ascii="ITC Avant Garde" w:hAnsi="ITC Avant Garde" w:cs="Arial"/>
        </w:rPr>
        <w:t xml:space="preserve">LXIII, 140, 141, 143 y 144 </w:t>
      </w:r>
      <w:r w:rsidR="00085188" w:rsidRPr="00826B76">
        <w:rPr>
          <w:rFonts w:ascii="ITC Avant Garde" w:hAnsi="ITC Avant Garde" w:cs="Arial"/>
        </w:rPr>
        <w:t>de la Ley Federal de Telecomunicaciones y Radiodifusión; 35, fracción I, 36, 38 y 39 de la Ley Federal de Procedimiento Administrativo; 1,4 fracción I</w:t>
      </w:r>
      <w:r w:rsidRPr="00826B76">
        <w:rPr>
          <w:rFonts w:ascii="ITC Avant Garde" w:hAnsi="ITC Avant Garde" w:cs="Arial"/>
        </w:rPr>
        <w:t xml:space="preserve"> y 6 fracci</w:t>
      </w:r>
      <w:r w:rsidR="00085188" w:rsidRPr="00826B76">
        <w:rPr>
          <w:rFonts w:ascii="ITC Avant Garde" w:hAnsi="ITC Avant Garde" w:cs="Arial"/>
        </w:rPr>
        <w:t>o</w:t>
      </w:r>
      <w:r w:rsidRPr="00826B76">
        <w:rPr>
          <w:rFonts w:ascii="ITC Avant Garde" w:hAnsi="ITC Avant Garde" w:cs="Arial"/>
        </w:rPr>
        <w:t>n</w:t>
      </w:r>
      <w:r w:rsidR="00085188" w:rsidRPr="00826B76">
        <w:rPr>
          <w:rFonts w:ascii="ITC Avant Garde" w:hAnsi="ITC Avant Garde" w:cs="Arial"/>
        </w:rPr>
        <w:t>es</w:t>
      </w:r>
      <w:r w:rsidRPr="00826B76">
        <w:rPr>
          <w:rFonts w:ascii="ITC Avant Garde" w:hAnsi="ITC Avant Garde" w:cs="Arial"/>
        </w:rPr>
        <w:t xml:space="preserve"> </w:t>
      </w:r>
      <w:r w:rsidR="00085188" w:rsidRPr="00826B76">
        <w:rPr>
          <w:rFonts w:ascii="ITC Avant Garde" w:hAnsi="ITC Avant Garde" w:cs="Arial"/>
        </w:rPr>
        <w:t xml:space="preserve">I, y </w:t>
      </w:r>
      <w:r w:rsidRPr="00826B76">
        <w:rPr>
          <w:rFonts w:ascii="ITC Avant Garde" w:hAnsi="ITC Avant Garde" w:cs="Arial"/>
        </w:rPr>
        <w:t>XXXVI</w:t>
      </w:r>
      <w:r w:rsidR="007962F4" w:rsidRPr="00826B76">
        <w:rPr>
          <w:rFonts w:ascii="ITC Avant Garde" w:hAnsi="ITC Avant Garde" w:cs="Arial"/>
        </w:rPr>
        <w:t>I</w:t>
      </w:r>
      <w:r w:rsidRPr="00826B76">
        <w:rPr>
          <w:rFonts w:ascii="ITC Avant Garde" w:hAnsi="ITC Avant Garde" w:cs="Arial"/>
        </w:rPr>
        <w:t>I, del Estatuto Orgánico del Instituto Federal de Telecomunicacione</w:t>
      </w:r>
      <w:r w:rsidR="00651A25" w:rsidRPr="00826B76">
        <w:rPr>
          <w:rFonts w:ascii="ITC Avant Garde" w:hAnsi="ITC Avant Garde" w:cs="Arial"/>
        </w:rPr>
        <w:t xml:space="preserve">s; </w:t>
      </w:r>
      <w:r w:rsidR="00956BC9" w:rsidRPr="00826B76">
        <w:rPr>
          <w:rFonts w:ascii="ITC Avant Garde" w:hAnsi="ITC Avant Garde" w:cs="Arial"/>
        </w:rPr>
        <w:t>el Título de concesión para uso comercial, que otorga el Instituto Federal de Telecomunicaciones con carácter de red compartida mayorista de servicios de telecomunicaciones, en favor de Altán Redes, S.A.P.I. de C.V., otorgado el 24 de enero de 2017</w:t>
      </w:r>
      <w:r w:rsidRPr="00826B76">
        <w:rPr>
          <w:rFonts w:ascii="ITC Avant Garde" w:hAnsi="ITC Avant Garde" w:cs="Arial"/>
        </w:rPr>
        <w:t>, el Pleno de</w:t>
      </w:r>
      <w:r w:rsidR="00085188" w:rsidRPr="00826B76">
        <w:rPr>
          <w:rFonts w:ascii="ITC Avant Garde" w:hAnsi="ITC Avant Garde" w:cs="Arial"/>
        </w:rPr>
        <w:t xml:space="preserve">l </w:t>
      </w:r>
      <w:r w:rsidRPr="00826B76">
        <w:rPr>
          <w:rFonts w:ascii="ITC Avant Garde" w:hAnsi="ITC Avant Garde" w:cs="Arial"/>
        </w:rPr>
        <w:t>Instituto</w:t>
      </w:r>
      <w:r w:rsidR="00085188" w:rsidRPr="00826B76">
        <w:rPr>
          <w:rFonts w:ascii="ITC Avant Garde" w:hAnsi="ITC Avant Garde" w:cs="Arial"/>
        </w:rPr>
        <w:t xml:space="preserve"> Federal de Telecomunicaciones</w:t>
      </w:r>
      <w:r w:rsidRPr="00826B76">
        <w:rPr>
          <w:rFonts w:ascii="ITC Avant Garde" w:hAnsi="ITC Avant Garde" w:cs="Arial"/>
        </w:rPr>
        <w:t xml:space="preserve"> emite </w:t>
      </w:r>
      <w:r w:rsidR="00651A25" w:rsidRPr="00826B76">
        <w:rPr>
          <w:rFonts w:ascii="ITC Avant Garde" w:hAnsi="ITC Avant Garde" w:cs="Arial"/>
        </w:rPr>
        <w:t>e</w:t>
      </w:r>
      <w:r w:rsidRPr="00826B76">
        <w:rPr>
          <w:rFonts w:ascii="ITC Avant Garde" w:hAnsi="ITC Avant Garde" w:cs="Arial"/>
        </w:rPr>
        <w:t>l siguiente:</w:t>
      </w:r>
    </w:p>
    <w:p w14:paraId="2FB8116A" w14:textId="77777777" w:rsidR="00826B76" w:rsidRPr="00826B76" w:rsidRDefault="00D43B43" w:rsidP="00826B76">
      <w:pPr>
        <w:pStyle w:val="Ttulo2"/>
        <w:spacing w:before="240"/>
        <w:jc w:val="center"/>
      </w:pPr>
      <w:r w:rsidRPr="00826B76">
        <w:lastRenderedPageBreak/>
        <w:t>ACUERDO</w:t>
      </w:r>
    </w:p>
    <w:p w14:paraId="42AD36B4" w14:textId="77777777" w:rsidR="00826B76" w:rsidRPr="00826B76" w:rsidRDefault="00D43B43" w:rsidP="00826B76">
      <w:pPr>
        <w:tabs>
          <w:tab w:val="num" w:pos="1940"/>
        </w:tabs>
        <w:spacing w:before="240" w:after="200" w:line="276" w:lineRule="auto"/>
        <w:jc w:val="both"/>
        <w:rPr>
          <w:rFonts w:ascii="ITC Avant Garde" w:hAnsi="ITC Avant Garde" w:cs="Arial"/>
        </w:rPr>
      </w:pPr>
      <w:r w:rsidRPr="00826B76">
        <w:rPr>
          <w:rFonts w:ascii="ITC Avant Garde" w:hAnsi="ITC Avant Garde" w:cs="Arial"/>
          <w:b/>
          <w:snapToGrid w:val="0"/>
        </w:rPr>
        <w:t>PRIMERO.-</w:t>
      </w:r>
      <w:r w:rsidRPr="00826B76">
        <w:rPr>
          <w:rFonts w:ascii="ITC Avant Garde" w:hAnsi="ITC Avant Garde" w:cs="Arial"/>
          <w:snapToGrid w:val="0"/>
        </w:rPr>
        <w:t xml:space="preserve"> Se requiere a </w:t>
      </w:r>
      <w:r w:rsidR="00BE578F" w:rsidRPr="00826B76">
        <w:rPr>
          <w:rFonts w:ascii="ITC Avant Garde" w:hAnsi="ITC Avant Garde" w:cs="Arial"/>
          <w:snapToGrid w:val="0"/>
        </w:rPr>
        <w:t>Altán Redes, S.A.P.I. de C.V</w:t>
      </w:r>
      <w:r w:rsidRPr="00826B76">
        <w:rPr>
          <w:rFonts w:ascii="ITC Avant Garde" w:hAnsi="ITC Avant Garde" w:cs="Arial"/>
          <w:snapToGrid w:val="0"/>
        </w:rPr>
        <w:t>., para que realice las modificaciones</w:t>
      </w:r>
      <w:r w:rsidR="006139C4" w:rsidRPr="00826B76">
        <w:rPr>
          <w:rFonts w:ascii="ITC Avant Garde" w:hAnsi="ITC Avant Garde" w:cs="Arial"/>
          <w:snapToGrid w:val="0"/>
        </w:rPr>
        <w:t xml:space="preserve"> a la </w:t>
      </w:r>
      <w:r w:rsidR="00F62098" w:rsidRPr="00826B76">
        <w:rPr>
          <w:rFonts w:ascii="ITC Avant Garde" w:hAnsi="ITC Avant Garde" w:cs="Arial"/>
          <w:snapToGrid w:val="0"/>
        </w:rPr>
        <w:t xml:space="preserve">propuesta de </w:t>
      </w:r>
      <w:r w:rsidR="006139C4" w:rsidRPr="00826B76">
        <w:rPr>
          <w:rFonts w:ascii="ITC Avant Garde" w:hAnsi="ITC Avant Garde" w:cs="Arial"/>
          <w:snapToGrid w:val="0"/>
        </w:rPr>
        <w:t>“</w:t>
      </w:r>
      <w:r w:rsidR="002B05CF" w:rsidRPr="00826B76">
        <w:rPr>
          <w:rFonts w:ascii="ITC Avant Garde" w:hAnsi="ITC Avant Garde" w:cs="Arial"/>
          <w:bCs/>
          <w:snapToGrid w:val="0"/>
        </w:rPr>
        <w:t>Oferta de Referencia de Prestación de Servicios de Telecomunicaciones</w:t>
      </w:r>
      <w:r w:rsidR="006139C4" w:rsidRPr="00826B76">
        <w:rPr>
          <w:rFonts w:ascii="ITC Avant Garde" w:hAnsi="ITC Avant Garde" w:cs="Arial"/>
          <w:bCs/>
          <w:snapToGrid w:val="0"/>
        </w:rPr>
        <w:t>”</w:t>
      </w:r>
      <w:r w:rsidR="006139C4" w:rsidRPr="00826B76" w:rsidDel="009B3191">
        <w:rPr>
          <w:rFonts w:ascii="ITC Avant Garde" w:hAnsi="ITC Avant Garde" w:cs="Arial"/>
          <w:snapToGrid w:val="0"/>
        </w:rPr>
        <w:t xml:space="preserve"> </w:t>
      </w:r>
      <w:r w:rsidRPr="00826B76">
        <w:rPr>
          <w:rFonts w:ascii="ITC Avant Garde" w:hAnsi="ITC Avant Garde" w:cs="Arial"/>
        </w:rPr>
        <w:t>en tér</w:t>
      </w:r>
      <w:bookmarkStart w:id="2" w:name="_GoBack"/>
      <w:bookmarkEnd w:id="2"/>
      <w:r w:rsidRPr="00826B76">
        <w:rPr>
          <w:rFonts w:ascii="ITC Avant Garde" w:hAnsi="ITC Avant Garde" w:cs="Arial"/>
        </w:rPr>
        <w:t xml:space="preserve">minos del Considerando </w:t>
      </w:r>
      <w:r w:rsidR="002B05CF" w:rsidRPr="00826B76">
        <w:rPr>
          <w:rFonts w:ascii="ITC Avant Garde" w:hAnsi="ITC Avant Garde" w:cs="Arial"/>
        </w:rPr>
        <w:t>CUARTO</w:t>
      </w:r>
      <w:r w:rsidRPr="00826B76">
        <w:rPr>
          <w:rFonts w:ascii="ITC Avant Garde" w:hAnsi="ITC Avant Garde" w:cs="Arial"/>
        </w:rPr>
        <w:t xml:space="preserve"> del presente Acuerdo. </w:t>
      </w:r>
    </w:p>
    <w:p w14:paraId="66FED321" w14:textId="77777777" w:rsidR="00826B76" w:rsidRPr="00826B76" w:rsidRDefault="00D43B43" w:rsidP="00826B76">
      <w:pPr>
        <w:spacing w:before="240" w:after="200" w:line="276" w:lineRule="auto"/>
        <w:ind w:right="-93"/>
        <w:jc w:val="both"/>
        <w:rPr>
          <w:rFonts w:ascii="ITC Avant Garde" w:hAnsi="ITC Avant Garde" w:cs="Arial"/>
          <w:snapToGrid w:val="0"/>
        </w:rPr>
      </w:pPr>
      <w:r w:rsidRPr="00826B76">
        <w:rPr>
          <w:rFonts w:ascii="ITC Avant Garde" w:hAnsi="ITC Avant Garde" w:cs="Arial"/>
          <w:b/>
          <w:snapToGrid w:val="0"/>
        </w:rPr>
        <w:t>SEGUNDO.-</w:t>
      </w:r>
      <w:r w:rsidRPr="00826B76">
        <w:rPr>
          <w:rFonts w:ascii="ITC Avant Garde" w:hAnsi="ITC Avant Garde" w:cs="Arial"/>
          <w:snapToGrid w:val="0"/>
        </w:rPr>
        <w:t xml:space="preserve"> </w:t>
      </w:r>
      <w:r w:rsidR="00BE578F" w:rsidRPr="00826B76">
        <w:rPr>
          <w:rFonts w:ascii="ITC Avant Garde" w:hAnsi="ITC Avant Garde" w:cs="Arial"/>
          <w:snapToGrid w:val="0"/>
        </w:rPr>
        <w:t xml:space="preserve">Altán Redes, S.A.P.I. de C.V., </w:t>
      </w:r>
      <w:r w:rsidRPr="00826B76">
        <w:rPr>
          <w:rFonts w:ascii="ITC Avant Garde" w:hAnsi="ITC Avant Garde" w:cs="Arial"/>
          <w:snapToGrid w:val="0"/>
        </w:rPr>
        <w:t xml:space="preserve">deberá presentar nuevamente al Instituto Federal de Telecomunicaciones </w:t>
      </w:r>
      <w:r w:rsidR="00F62098" w:rsidRPr="00826B76">
        <w:rPr>
          <w:rFonts w:ascii="ITC Avant Garde" w:hAnsi="ITC Avant Garde" w:cs="Arial"/>
          <w:snapToGrid w:val="0"/>
        </w:rPr>
        <w:t>la propuesta de</w:t>
      </w:r>
      <w:r w:rsidR="006139C4" w:rsidRPr="00826B76">
        <w:rPr>
          <w:rFonts w:ascii="ITC Avant Garde" w:hAnsi="ITC Avant Garde" w:cs="Arial"/>
          <w:snapToGrid w:val="0"/>
        </w:rPr>
        <w:t xml:space="preserve"> “</w:t>
      </w:r>
      <w:r w:rsidR="00C94C04" w:rsidRPr="00826B76">
        <w:rPr>
          <w:rFonts w:ascii="ITC Avant Garde" w:hAnsi="ITC Avant Garde" w:cs="Arial"/>
          <w:bCs/>
          <w:snapToGrid w:val="0"/>
        </w:rPr>
        <w:t>Oferta de Referencia de Prestación de Servicios de Telecomunicaciones</w:t>
      </w:r>
      <w:r w:rsidR="006139C4" w:rsidRPr="00826B76">
        <w:rPr>
          <w:rFonts w:ascii="ITC Avant Garde" w:hAnsi="ITC Avant Garde" w:cs="Arial"/>
          <w:bCs/>
          <w:snapToGrid w:val="0"/>
        </w:rPr>
        <w:t>”</w:t>
      </w:r>
      <w:r w:rsidRPr="00826B76">
        <w:rPr>
          <w:rFonts w:ascii="ITC Avant Garde" w:hAnsi="ITC Avant Garde" w:cs="Arial"/>
          <w:snapToGrid w:val="0"/>
        </w:rPr>
        <w:t xml:space="preserve"> con las modificaciones solicitadas en el presente Acuerdo </w:t>
      </w:r>
      <w:r w:rsidR="00BE6C4D" w:rsidRPr="00826B76">
        <w:rPr>
          <w:rFonts w:ascii="ITC Avant Garde" w:hAnsi="ITC Avant Garde" w:cs="Arial"/>
          <w:snapToGrid w:val="0"/>
        </w:rPr>
        <w:t>en un plazo que no exceda de</w:t>
      </w:r>
      <w:r w:rsidRPr="00826B76">
        <w:rPr>
          <w:rFonts w:ascii="ITC Avant Garde" w:hAnsi="ITC Avant Garde" w:cs="Arial"/>
          <w:snapToGrid w:val="0"/>
        </w:rPr>
        <w:t xml:space="preserve"> </w:t>
      </w:r>
      <w:r w:rsidR="002B05CF" w:rsidRPr="00826B76">
        <w:rPr>
          <w:rFonts w:ascii="ITC Avant Garde" w:hAnsi="ITC Avant Garde" w:cs="Arial"/>
          <w:snapToGrid w:val="0"/>
        </w:rPr>
        <w:t xml:space="preserve">10 (diez) días hábiles </w:t>
      </w:r>
      <w:r w:rsidR="00BE6C4D" w:rsidRPr="00826B76">
        <w:rPr>
          <w:rFonts w:ascii="ITC Avant Garde" w:hAnsi="ITC Avant Garde" w:cs="Arial"/>
          <w:snapToGrid w:val="0"/>
        </w:rPr>
        <w:t>contados a partir del día siguiente a que surta efectos</w:t>
      </w:r>
      <w:r w:rsidR="002B05CF" w:rsidRPr="00826B76">
        <w:rPr>
          <w:rFonts w:ascii="ITC Avant Garde" w:hAnsi="ITC Avant Garde" w:cs="Arial"/>
          <w:snapToGrid w:val="0"/>
        </w:rPr>
        <w:t xml:space="preserve"> la notificación del presente Acuerdo </w:t>
      </w:r>
      <w:r w:rsidRPr="00826B76">
        <w:rPr>
          <w:rFonts w:ascii="ITC Avant Garde" w:hAnsi="ITC Avant Garde" w:cs="Arial"/>
          <w:snapToGrid w:val="0"/>
        </w:rPr>
        <w:t xml:space="preserve">en términos de la </w:t>
      </w:r>
      <w:r w:rsidR="002B05CF" w:rsidRPr="00826B76">
        <w:rPr>
          <w:rFonts w:ascii="ITC Avant Garde" w:hAnsi="ITC Avant Garde" w:cs="Arial"/>
          <w:snapToGrid w:val="0"/>
        </w:rPr>
        <w:t>Condición 12 del “TÍTULO DE CONCESIÓN PARA USO COMERCIAL, QUE OTORGA EL INSTITUTO FEDERAL DE TELECOMUNICACIONES CON CARÁCTER DE RED COMPARTIDA MAYORISTA DE SERVICIOS DE TELECOMUNICACIONES, EN FAVOR DE ALTÁN REDES, S.A.P.I. DE C.V.”</w:t>
      </w:r>
    </w:p>
    <w:p w14:paraId="0499BE6C" w14:textId="77777777" w:rsidR="00826B76" w:rsidRPr="00826B76" w:rsidRDefault="00D43B43" w:rsidP="00826B76">
      <w:pPr>
        <w:spacing w:before="240" w:after="200" w:line="276" w:lineRule="auto"/>
        <w:ind w:right="-93"/>
        <w:jc w:val="both"/>
        <w:rPr>
          <w:rFonts w:ascii="ITC Avant Garde" w:hAnsi="ITC Avant Garde" w:cs="Arial"/>
          <w:color w:val="000000"/>
          <w:shd w:val="clear" w:color="auto" w:fill="FFFFFF"/>
        </w:rPr>
      </w:pPr>
      <w:r w:rsidRPr="00826B76">
        <w:rPr>
          <w:rFonts w:ascii="ITC Avant Garde" w:hAnsi="ITC Avant Garde" w:cs="Arial"/>
          <w:b/>
          <w:snapToGrid w:val="0"/>
        </w:rPr>
        <w:t>TERCERO.-</w:t>
      </w:r>
      <w:r w:rsidRPr="00826B76">
        <w:rPr>
          <w:rFonts w:ascii="ITC Avant Garde" w:hAnsi="ITC Avant Garde" w:cs="Arial"/>
          <w:snapToGrid w:val="0"/>
        </w:rPr>
        <w:t xml:space="preserve"> Notifíquese personalmente a </w:t>
      </w:r>
      <w:r w:rsidR="00BE578F" w:rsidRPr="00826B76">
        <w:rPr>
          <w:rFonts w:ascii="ITC Avant Garde" w:hAnsi="ITC Avant Garde" w:cs="Arial"/>
          <w:snapToGrid w:val="0"/>
        </w:rPr>
        <w:t>Altán Redes, S.A.P.I. de C.V.</w:t>
      </w:r>
    </w:p>
    <w:p w14:paraId="27DF88D2" w14:textId="17E3DE2C" w:rsidR="008C4E3B" w:rsidRPr="00826B76" w:rsidRDefault="008C4E3B" w:rsidP="00826B76">
      <w:pPr>
        <w:pStyle w:val="Prrafodelista"/>
        <w:spacing w:before="240" w:line="240" w:lineRule="auto"/>
        <w:ind w:left="0"/>
        <w:jc w:val="both"/>
        <w:rPr>
          <w:rFonts w:ascii="ITC Avant Garde" w:hAnsi="ITC Avant Garde"/>
          <w:sz w:val="14"/>
          <w:szCs w:val="14"/>
        </w:rPr>
      </w:pPr>
      <w:r w:rsidRPr="00826B76">
        <w:rPr>
          <w:rFonts w:ascii="ITC Avant Garde" w:hAnsi="ITC Avant Garde"/>
          <w:sz w:val="14"/>
          <w:szCs w:val="14"/>
        </w:rPr>
        <w:t xml:space="preserve">El presente Acuerdo fue aprobado por el Pleno del Instituto Federal de Telecomunicaciones en su II Sesión Ordinaria celebrada el 24 de enero de 2018, </w:t>
      </w:r>
      <w:r w:rsidRPr="00826B76">
        <w:rPr>
          <w:rFonts w:ascii="ITC Avant Garde" w:hAnsi="ITC Avant Garde"/>
          <w:bCs/>
          <w:sz w:val="14"/>
          <w:szCs w:val="14"/>
        </w:rPr>
        <w:t>por unanimidad</w:t>
      </w:r>
      <w:r w:rsidRPr="00826B76">
        <w:rPr>
          <w:rFonts w:ascii="ITC Avant Garde" w:hAnsi="ITC Avant Garde"/>
          <w:sz w:val="14"/>
          <w:szCs w:val="14"/>
        </w:rPr>
        <w:t xml:space="preserve"> de votos de los Comisionados Gabriel Oswaldo Contreras Saldívar, Adriana Sofía Labardini Inzunza, María Elena Estavillo Flores, Mario Germán Fromow Rangel, Adolfo Cuevas Teja, Javier Juárez Mojica y Arturo Robles Rovalo;</w:t>
      </w:r>
      <w:r w:rsidRPr="00826B76">
        <w:rPr>
          <w:rFonts w:ascii="ITC Avant Garde" w:hAnsi="ITC Avant Garde"/>
          <w:color w:val="C00000"/>
          <w:sz w:val="14"/>
          <w:szCs w:val="14"/>
        </w:rPr>
        <w:t xml:space="preserve"> </w:t>
      </w:r>
      <w:r w:rsidRPr="00826B76">
        <w:rPr>
          <w:rFonts w:ascii="ITC Avant Garde" w:hAnsi="ITC Avant Garde"/>
          <w:sz w:val="14"/>
          <w:szCs w:val="14"/>
        </w:rPr>
        <w:t>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P/IFT/240118/25.</w:t>
      </w:r>
    </w:p>
    <w:sectPr w:rsidR="008C4E3B" w:rsidRPr="00826B76" w:rsidSect="00846C44">
      <w:footerReference w:type="default" r:id="rId11"/>
      <w:pgSz w:w="12240" w:h="15840"/>
      <w:pgMar w:top="212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94531" w14:textId="77777777" w:rsidR="009D31FA" w:rsidRDefault="009D31FA" w:rsidP="00FE25DD">
      <w:pPr>
        <w:spacing w:after="0" w:line="240" w:lineRule="auto"/>
      </w:pPr>
      <w:r>
        <w:separator/>
      </w:r>
    </w:p>
  </w:endnote>
  <w:endnote w:type="continuationSeparator" w:id="0">
    <w:p w14:paraId="3607B274" w14:textId="77777777" w:rsidR="009D31FA" w:rsidRDefault="009D31FA" w:rsidP="00FE25DD">
      <w:pPr>
        <w:spacing w:after="0" w:line="240" w:lineRule="auto"/>
      </w:pPr>
      <w:r>
        <w:continuationSeparator/>
      </w:r>
    </w:p>
  </w:endnote>
  <w:endnote w:type="continuationNotice" w:id="1">
    <w:p w14:paraId="5728C51A" w14:textId="77777777" w:rsidR="009D31FA" w:rsidRDefault="009D31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92112"/>
      <w:docPartObj>
        <w:docPartGallery w:val="Page Numbers (Bottom of Page)"/>
        <w:docPartUnique/>
      </w:docPartObj>
    </w:sdtPr>
    <w:sdtEndPr>
      <w:rPr>
        <w:rFonts w:ascii="ITC Avant Garde" w:hAnsi="ITC Avant Garde"/>
        <w:sz w:val="20"/>
        <w:szCs w:val="20"/>
      </w:rPr>
    </w:sdtEndPr>
    <w:sdtContent>
      <w:p w14:paraId="556F143E" w14:textId="51493AE5" w:rsidR="008E3E36" w:rsidRPr="00826B76" w:rsidRDefault="008E3E36" w:rsidP="00826B76">
        <w:pPr>
          <w:pStyle w:val="Piedepgina"/>
          <w:jc w:val="right"/>
          <w:rPr>
            <w:rFonts w:ascii="ITC Avant Garde" w:hAnsi="ITC Avant Garde"/>
            <w:sz w:val="20"/>
            <w:szCs w:val="20"/>
          </w:rPr>
        </w:pPr>
        <w:r w:rsidRPr="00846C44">
          <w:rPr>
            <w:rFonts w:ascii="ITC Avant Garde" w:hAnsi="ITC Avant Garde"/>
            <w:sz w:val="20"/>
            <w:szCs w:val="20"/>
          </w:rPr>
          <w:fldChar w:fldCharType="begin"/>
        </w:r>
        <w:r w:rsidRPr="00846C44">
          <w:rPr>
            <w:rFonts w:ascii="ITC Avant Garde" w:hAnsi="ITC Avant Garde"/>
            <w:sz w:val="20"/>
            <w:szCs w:val="20"/>
          </w:rPr>
          <w:instrText>PAGE   \* MERGEFORMAT</w:instrText>
        </w:r>
        <w:r w:rsidRPr="00846C44">
          <w:rPr>
            <w:rFonts w:ascii="ITC Avant Garde" w:hAnsi="ITC Avant Garde"/>
            <w:sz w:val="20"/>
            <w:szCs w:val="20"/>
          </w:rPr>
          <w:fldChar w:fldCharType="separate"/>
        </w:r>
        <w:r w:rsidR="00826B76" w:rsidRPr="00826B76">
          <w:rPr>
            <w:rFonts w:ascii="ITC Avant Garde" w:hAnsi="ITC Avant Garde"/>
            <w:noProof/>
            <w:sz w:val="20"/>
            <w:szCs w:val="20"/>
            <w:lang w:val="es-ES"/>
          </w:rPr>
          <w:t>19</w:t>
        </w:r>
        <w:r w:rsidRPr="00846C4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2596A" w14:textId="77777777" w:rsidR="009D31FA" w:rsidRDefault="009D31FA" w:rsidP="00FE25DD">
      <w:pPr>
        <w:spacing w:after="0" w:line="240" w:lineRule="auto"/>
      </w:pPr>
      <w:r>
        <w:separator/>
      </w:r>
    </w:p>
  </w:footnote>
  <w:footnote w:type="continuationSeparator" w:id="0">
    <w:p w14:paraId="200619CF" w14:textId="77777777" w:rsidR="009D31FA" w:rsidRDefault="009D31FA" w:rsidP="00FE25DD">
      <w:pPr>
        <w:spacing w:after="0" w:line="240" w:lineRule="auto"/>
      </w:pPr>
      <w:r>
        <w:continuationSeparator/>
      </w:r>
    </w:p>
  </w:footnote>
  <w:footnote w:type="continuationNotice" w:id="1">
    <w:p w14:paraId="46183AAE" w14:textId="77777777" w:rsidR="009D31FA" w:rsidRDefault="009D31FA">
      <w:pPr>
        <w:spacing w:after="0" w:line="240" w:lineRule="auto"/>
      </w:pPr>
    </w:p>
  </w:footnote>
  <w:footnote w:id="2">
    <w:p w14:paraId="366089C3" w14:textId="77777777" w:rsidR="008E3E36" w:rsidRDefault="008E3E36" w:rsidP="00E169B8">
      <w:pPr>
        <w:pStyle w:val="Textonotapie"/>
        <w:jc w:val="both"/>
      </w:pPr>
      <w:r>
        <w:rPr>
          <w:rStyle w:val="Refdenotaalpie"/>
        </w:rPr>
        <w:footnoteRef/>
      </w:r>
      <w:r>
        <w:t xml:space="preserve"> </w:t>
      </w:r>
      <w:r w:rsidRPr="00B05AD5">
        <w:rPr>
          <w:rFonts w:ascii="ITC Avant Garde" w:hAnsi="ITC Avant Garde"/>
          <w:sz w:val="16"/>
          <w:szCs w:val="16"/>
        </w:rPr>
        <w:t>ACUERDO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2018</w:t>
      </w:r>
      <w:r>
        <w:rPr>
          <w:rFonts w:ascii="ITC Avant Garde" w:hAnsi="ITC Avant Garde"/>
          <w:sz w:val="16"/>
          <w:szCs w:val="16"/>
        </w:rPr>
        <w:t xml:space="preserve">, aprobado mediante </w:t>
      </w:r>
      <w:r w:rsidRPr="00AA4EEB">
        <w:rPr>
          <w:rFonts w:ascii="ITC Avant Garde" w:hAnsi="ITC Avant Garde"/>
          <w:sz w:val="16"/>
          <w:szCs w:val="16"/>
        </w:rPr>
        <w:t>Acuerdo P/IFT/021117/657</w:t>
      </w:r>
      <w:r>
        <w:rPr>
          <w:rFonts w:ascii="ITC Avant Garde" w:hAnsi="ITC Avant Garde"/>
          <w:sz w:val="16"/>
          <w:szCs w:val="16"/>
        </w:rPr>
        <w:t>.</w:t>
      </w:r>
    </w:p>
  </w:footnote>
  <w:footnote w:id="3">
    <w:p w14:paraId="62A22732" w14:textId="4E1243D4" w:rsidR="008E3E36" w:rsidRPr="00940644" w:rsidRDefault="008E3E36" w:rsidP="00826B76">
      <w:pPr>
        <w:pStyle w:val="Textonotapie"/>
        <w:jc w:val="both"/>
        <w:rPr>
          <w:rFonts w:ascii="ITC Avant Garde" w:hAnsi="ITC Avant Garde"/>
          <w:sz w:val="18"/>
          <w:szCs w:val="18"/>
        </w:rPr>
      </w:pPr>
      <w:r w:rsidRPr="00895661">
        <w:rPr>
          <w:rStyle w:val="Refdenotaalpie"/>
          <w:rFonts w:ascii="ITC Avant Garde" w:hAnsi="ITC Avant Garde"/>
          <w:sz w:val="18"/>
          <w:szCs w:val="18"/>
        </w:rPr>
        <w:footnoteRef/>
      </w:r>
      <w:r w:rsidRPr="00895661">
        <w:rPr>
          <w:rFonts w:ascii="ITC Avant Garde" w:hAnsi="ITC Avant Garde"/>
          <w:sz w:val="18"/>
          <w:szCs w:val="18"/>
        </w:rPr>
        <w:t xml:space="preserve"> “</w:t>
      </w:r>
      <w:r w:rsidRPr="00895661">
        <w:rPr>
          <w:rFonts w:ascii="ITC Avant Garde" w:hAnsi="ITC Avant Garde"/>
          <w:i/>
          <w:sz w:val="18"/>
          <w:szCs w:val="18"/>
        </w:rPr>
        <w:t>ACUERDO mediante el cual el Pleno del Instituto Federal de Telecomunicaciones aprueba y emite los lineamientos que fijan los índices y parámetros de calidad a que deberán sujetarse los prestadores del servicio móvil y se abroga el Plan Técnico Fundamental de Calidad del Servicio Local Móvil publicado el 30 de agosto de 2011, así como la metodología de mediciones del Plan Técnico Fundamental de Calidad del Servicio Local Móvil publicada el 27 de junio de 2012</w:t>
      </w:r>
      <w:r>
        <w:rPr>
          <w:rFonts w:ascii="ITC Avant Garde" w:hAnsi="ITC Avant Garde"/>
          <w:i/>
          <w:sz w:val="18"/>
          <w:szCs w:val="18"/>
        </w:rPr>
        <w:t>”</w:t>
      </w:r>
      <w:r w:rsidRPr="00895661">
        <w:rPr>
          <w:rFonts w:ascii="ITC Avant Garde" w:hAnsi="ITC Avant Garde"/>
          <w:sz w:val="18"/>
          <w:szCs w:val="18"/>
        </w:rPr>
        <w:t>, aprobado mediante acuerdo P/IFT/161117/715.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0ACB"/>
    <w:multiLevelType w:val="hybridMultilevel"/>
    <w:tmpl w:val="601C785C"/>
    <w:lvl w:ilvl="0" w:tplc="EB6C3F06">
      <w:start w:val="1"/>
      <w:numFmt w:val="bullet"/>
      <w:pStyle w:val="Cita"/>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093E322C"/>
    <w:multiLevelType w:val="multilevel"/>
    <w:tmpl w:val="157CB884"/>
    <w:lvl w:ilvl="0">
      <w:start w:val="12"/>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72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2"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B6E096C"/>
    <w:multiLevelType w:val="hybridMultilevel"/>
    <w:tmpl w:val="2CA89D6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1E6D58"/>
    <w:multiLevelType w:val="hybridMultilevel"/>
    <w:tmpl w:val="7ED8A4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73B03FA"/>
    <w:multiLevelType w:val="hybridMultilevel"/>
    <w:tmpl w:val="9A38D7A6"/>
    <w:lvl w:ilvl="0" w:tplc="59580142">
      <w:numFmt w:val="bullet"/>
      <w:lvlText w:val="-"/>
      <w:lvlJc w:val="left"/>
      <w:pPr>
        <w:ind w:left="720" w:hanging="360"/>
      </w:pPr>
      <w:rPr>
        <w:rFonts w:ascii="ITC Avant Garde" w:eastAsia="Times New Roman" w:hAnsi="ITC Avant Garde"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1968F3"/>
    <w:multiLevelType w:val="hybridMultilevel"/>
    <w:tmpl w:val="751640AC"/>
    <w:lvl w:ilvl="0" w:tplc="787ED44E">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 w15:restartNumberingAfterBreak="0">
    <w:nsid w:val="721B4583"/>
    <w:multiLevelType w:val="hybridMultilevel"/>
    <w:tmpl w:val="92A40680"/>
    <w:lvl w:ilvl="0" w:tplc="E0CC7ED6">
      <w:start w:val="1"/>
      <w:numFmt w:val="decimal"/>
      <w:pStyle w:val="5TitCin"/>
      <w:suff w:val="space"/>
      <w:lvlText w:val="4.2.2.1.%1."/>
      <w:lvlJc w:val="right"/>
      <w:pPr>
        <w:ind w:left="-964" w:firstLine="96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30728F7"/>
    <w:multiLevelType w:val="hybridMultilevel"/>
    <w:tmpl w:val="323A33F6"/>
    <w:lvl w:ilvl="0" w:tplc="FD80D30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472A44"/>
    <w:multiLevelType w:val="multilevel"/>
    <w:tmpl w:val="69C8904A"/>
    <w:lvl w:ilvl="0">
      <w:start w:val="4"/>
      <w:numFmt w:val="decimal"/>
      <w:lvlText w:val="%1"/>
      <w:lvlJc w:val="left"/>
      <w:pPr>
        <w:ind w:left="360" w:hanging="360"/>
      </w:pPr>
      <w:rPr>
        <w:rFonts w:eastAsiaTheme="minorHAnsi" w:cstheme="minorBidi" w:hint="default"/>
        <w:b/>
        <w:i w:val="0"/>
        <w:color w:val="000000"/>
      </w:rPr>
    </w:lvl>
    <w:lvl w:ilvl="1">
      <w:start w:val="1"/>
      <w:numFmt w:val="decimal"/>
      <w:lvlText w:val="%1.%2"/>
      <w:lvlJc w:val="left"/>
      <w:pPr>
        <w:ind w:left="360" w:hanging="360"/>
      </w:pPr>
      <w:rPr>
        <w:rFonts w:eastAsiaTheme="minorHAnsi" w:cstheme="minorBidi" w:hint="default"/>
        <w:b/>
        <w:i w:val="0"/>
        <w:color w:val="000000"/>
      </w:rPr>
    </w:lvl>
    <w:lvl w:ilvl="2">
      <w:start w:val="1"/>
      <w:numFmt w:val="decimal"/>
      <w:lvlText w:val="%1.%2.%3"/>
      <w:lvlJc w:val="left"/>
      <w:pPr>
        <w:ind w:left="720" w:hanging="720"/>
      </w:pPr>
      <w:rPr>
        <w:rFonts w:eastAsiaTheme="minorHAnsi" w:cstheme="minorBidi" w:hint="default"/>
        <w:b/>
        <w:i w:val="0"/>
        <w:color w:val="000000"/>
      </w:rPr>
    </w:lvl>
    <w:lvl w:ilvl="3">
      <w:start w:val="1"/>
      <w:numFmt w:val="decimal"/>
      <w:lvlText w:val="%1.%2.%3.%4"/>
      <w:lvlJc w:val="left"/>
      <w:pPr>
        <w:ind w:left="720" w:hanging="720"/>
      </w:pPr>
      <w:rPr>
        <w:rFonts w:eastAsiaTheme="minorHAnsi" w:cstheme="minorBidi" w:hint="default"/>
        <w:b/>
        <w:i w:val="0"/>
        <w:color w:val="000000"/>
      </w:rPr>
    </w:lvl>
    <w:lvl w:ilvl="4">
      <w:start w:val="1"/>
      <w:numFmt w:val="decimal"/>
      <w:lvlText w:val="%1.%2.%3.%4.%5"/>
      <w:lvlJc w:val="left"/>
      <w:pPr>
        <w:ind w:left="1080" w:hanging="1080"/>
      </w:pPr>
      <w:rPr>
        <w:rFonts w:eastAsiaTheme="minorHAnsi" w:cstheme="minorBidi" w:hint="default"/>
        <w:b/>
        <w:i w:val="0"/>
        <w:color w:val="000000"/>
      </w:rPr>
    </w:lvl>
    <w:lvl w:ilvl="5">
      <w:start w:val="1"/>
      <w:numFmt w:val="decimal"/>
      <w:lvlText w:val="%1.%2.%3.%4.%5.%6"/>
      <w:lvlJc w:val="left"/>
      <w:pPr>
        <w:ind w:left="1080" w:hanging="1080"/>
      </w:pPr>
      <w:rPr>
        <w:rFonts w:eastAsiaTheme="minorHAnsi" w:cstheme="minorBidi" w:hint="default"/>
        <w:b/>
        <w:i w:val="0"/>
        <w:color w:val="000000"/>
      </w:rPr>
    </w:lvl>
    <w:lvl w:ilvl="6">
      <w:start w:val="1"/>
      <w:numFmt w:val="decimal"/>
      <w:lvlText w:val="%1.%2.%3.%4.%5.%6.%7"/>
      <w:lvlJc w:val="left"/>
      <w:pPr>
        <w:ind w:left="1440" w:hanging="1440"/>
      </w:pPr>
      <w:rPr>
        <w:rFonts w:eastAsiaTheme="minorHAnsi" w:cstheme="minorBidi" w:hint="default"/>
        <w:b/>
        <w:i w:val="0"/>
        <w:color w:val="000000"/>
      </w:rPr>
    </w:lvl>
    <w:lvl w:ilvl="7">
      <w:start w:val="1"/>
      <w:numFmt w:val="decimal"/>
      <w:lvlText w:val="%1.%2.%3.%4.%5.%6.%7.%8"/>
      <w:lvlJc w:val="left"/>
      <w:pPr>
        <w:ind w:left="1440" w:hanging="1440"/>
      </w:pPr>
      <w:rPr>
        <w:rFonts w:eastAsiaTheme="minorHAnsi" w:cstheme="minorBidi" w:hint="default"/>
        <w:b/>
        <w:i w:val="0"/>
        <w:color w:val="000000"/>
      </w:rPr>
    </w:lvl>
    <w:lvl w:ilvl="8">
      <w:start w:val="1"/>
      <w:numFmt w:val="decimal"/>
      <w:lvlText w:val="%1.%2.%3.%4.%5.%6.%7.%8.%9"/>
      <w:lvlJc w:val="left"/>
      <w:pPr>
        <w:ind w:left="1800" w:hanging="1800"/>
      </w:pPr>
      <w:rPr>
        <w:rFonts w:eastAsiaTheme="minorHAnsi" w:cstheme="minorBidi" w:hint="default"/>
        <w:b/>
        <w:i w:val="0"/>
        <w:color w:val="000000"/>
      </w:rPr>
    </w:lvl>
  </w:abstractNum>
  <w:abstractNum w:abstractNumId="10" w15:restartNumberingAfterBreak="0">
    <w:nsid w:val="79AC0525"/>
    <w:multiLevelType w:val="hybridMultilevel"/>
    <w:tmpl w:val="B908DB30"/>
    <w:lvl w:ilvl="0" w:tplc="659CA55A">
      <w:start w:val="1"/>
      <w:numFmt w:val="bullet"/>
      <w:pStyle w:val="Listaconvietas"/>
      <w:lvlText w:val=""/>
      <w:lvlJc w:val="left"/>
      <w:pPr>
        <w:ind w:left="720" w:hanging="360"/>
      </w:pPr>
      <w:rPr>
        <w:rFonts w:ascii="Symbol" w:hAnsi="Symbol" w:hint="default"/>
      </w:rPr>
    </w:lvl>
    <w:lvl w:ilvl="1" w:tplc="7E18FA0A">
      <w:numFmt w:val="bullet"/>
      <w:pStyle w:val="Niv2Bullets"/>
      <w:lvlText w:val="-"/>
      <w:lvlJc w:val="left"/>
      <w:pPr>
        <w:ind w:left="1440" w:hanging="360"/>
      </w:pPr>
      <w:rPr>
        <w:rFonts w:ascii="ITC Avant Garde" w:eastAsia="Calibri" w:hAnsi="ITC Avant Garde"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EB6F36"/>
    <w:multiLevelType w:val="hybridMultilevel"/>
    <w:tmpl w:val="3A123760"/>
    <w:lvl w:ilvl="0" w:tplc="AB3E1898">
      <w:start w:val="1"/>
      <w:numFmt w:val="bullet"/>
      <w:pStyle w:val="ListaCitaOtras"/>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num w:numId="1">
    <w:abstractNumId w:val="2"/>
  </w:num>
  <w:num w:numId="2">
    <w:abstractNumId w:val="10"/>
  </w:num>
  <w:num w:numId="3">
    <w:abstractNumId w:val="0"/>
  </w:num>
  <w:num w:numId="4">
    <w:abstractNumId w:val="11"/>
  </w:num>
  <w:num w:numId="5">
    <w:abstractNumId w:val="3"/>
  </w:num>
  <w:num w:numId="6">
    <w:abstractNumId w:val="7"/>
  </w:num>
  <w:num w:numId="7">
    <w:abstractNumId w:val="5"/>
  </w:num>
  <w:num w:numId="8">
    <w:abstractNumId w:val="1"/>
  </w:num>
  <w:num w:numId="9">
    <w:abstractNumId w:val="9"/>
  </w:num>
  <w:num w:numId="10">
    <w:abstractNumId w:val="8"/>
  </w:num>
  <w:num w:numId="11">
    <w:abstractNumId w:val="6"/>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DD"/>
    <w:rsid w:val="00001C2C"/>
    <w:rsid w:val="000020AD"/>
    <w:rsid w:val="00004294"/>
    <w:rsid w:val="000069DE"/>
    <w:rsid w:val="00007430"/>
    <w:rsid w:val="000074EB"/>
    <w:rsid w:val="00010BEA"/>
    <w:rsid w:val="0001310A"/>
    <w:rsid w:val="00013346"/>
    <w:rsid w:val="0001398B"/>
    <w:rsid w:val="00014D7E"/>
    <w:rsid w:val="00016D1C"/>
    <w:rsid w:val="00016F03"/>
    <w:rsid w:val="00017772"/>
    <w:rsid w:val="0001788D"/>
    <w:rsid w:val="00021968"/>
    <w:rsid w:val="00021C53"/>
    <w:rsid w:val="00031E69"/>
    <w:rsid w:val="0003277B"/>
    <w:rsid w:val="000360BB"/>
    <w:rsid w:val="00037F5B"/>
    <w:rsid w:val="000404A0"/>
    <w:rsid w:val="00040B65"/>
    <w:rsid w:val="000411D8"/>
    <w:rsid w:val="00042C9E"/>
    <w:rsid w:val="0004327D"/>
    <w:rsid w:val="0004352B"/>
    <w:rsid w:val="00045933"/>
    <w:rsid w:val="00046456"/>
    <w:rsid w:val="00046CC6"/>
    <w:rsid w:val="00047801"/>
    <w:rsid w:val="0004795B"/>
    <w:rsid w:val="00051962"/>
    <w:rsid w:val="00052CF1"/>
    <w:rsid w:val="00053815"/>
    <w:rsid w:val="00053B8C"/>
    <w:rsid w:val="0005673D"/>
    <w:rsid w:val="00056F02"/>
    <w:rsid w:val="0006043F"/>
    <w:rsid w:val="000608EF"/>
    <w:rsid w:val="00060B99"/>
    <w:rsid w:val="0006257C"/>
    <w:rsid w:val="00063C8B"/>
    <w:rsid w:val="00065091"/>
    <w:rsid w:val="000651F0"/>
    <w:rsid w:val="00066DC9"/>
    <w:rsid w:val="00067EB3"/>
    <w:rsid w:val="00067EDA"/>
    <w:rsid w:val="00070B4D"/>
    <w:rsid w:val="00071CF6"/>
    <w:rsid w:val="00071FA4"/>
    <w:rsid w:val="00072B34"/>
    <w:rsid w:val="000734BA"/>
    <w:rsid w:val="00076319"/>
    <w:rsid w:val="0007763B"/>
    <w:rsid w:val="000829F1"/>
    <w:rsid w:val="00083796"/>
    <w:rsid w:val="00085188"/>
    <w:rsid w:val="000853C2"/>
    <w:rsid w:val="00085E12"/>
    <w:rsid w:val="000868F7"/>
    <w:rsid w:val="00087752"/>
    <w:rsid w:val="0009015E"/>
    <w:rsid w:val="000901D9"/>
    <w:rsid w:val="00091C3D"/>
    <w:rsid w:val="00091EDC"/>
    <w:rsid w:val="0009370A"/>
    <w:rsid w:val="0009526C"/>
    <w:rsid w:val="00095546"/>
    <w:rsid w:val="00096E66"/>
    <w:rsid w:val="00096E6D"/>
    <w:rsid w:val="000A04E0"/>
    <w:rsid w:val="000A16AB"/>
    <w:rsid w:val="000A1E8D"/>
    <w:rsid w:val="000A3EB9"/>
    <w:rsid w:val="000A4C06"/>
    <w:rsid w:val="000A500F"/>
    <w:rsid w:val="000A737C"/>
    <w:rsid w:val="000B069D"/>
    <w:rsid w:val="000B2230"/>
    <w:rsid w:val="000B2272"/>
    <w:rsid w:val="000B2290"/>
    <w:rsid w:val="000B3785"/>
    <w:rsid w:val="000B7679"/>
    <w:rsid w:val="000B784D"/>
    <w:rsid w:val="000C0C82"/>
    <w:rsid w:val="000C1411"/>
    <w:rsid w:val="000C14D6"/>
    <w:rsid w:val="000C273E"/>
    <w:rsid w:val="000C2D05"/>
    <w:rsid w:val="000C4A55"/>
    <w:rsid w:val="000C6CF5"/>
    <w:rsid w:val="000C7D02"/>
    <w:rsid w:val="000C7E9F"/>
    <w:rsid w:val="000D007B"/>
    <w:rsid w:val="000D0FAD"/>
    <w:rsid w:val="000D1BAA"/>
    <w:rsid w:val="000D265B"/>
    <w:rsid w:val="000D4516"/>
    <w:rsid w:val="000D7F3C"/>
    <w:rsid w:val="000E0E00"/>
    <w:rsid w:val="000E205D"/>
    <w:rsid w:val="000E3064"/>
    <w:rsid w:val="000E3430"/>
    <w:rsid w:val="000E3926"/>
    <w:rsid w:val="000E529F"/>
    <w:rsid w:val="000E6008"/>
    <w:rsid w:val="000E6A19"/>
    <w:rsid w:val="000E742D"/>
    <w:rsid w:val="000F0055"/>
    <w:rsid w:val="000F0BC1"/>
    <w:rsid w:val="000F0D92"/>
    <w:rsid w:val="000F2966"/>
    <w:rsid w:val="000F3A0A"/>
    <w:rsid w:val="000F4050"/>
    <w:rsid w:val="000F415C"/>
    <w:rsid w:val="000F64FE"/>
    <w:rsid w:val="000F7C96"/>
    <w:rsid w:val="00100A48"/>
    <w:rsid w:val="00101D02"/>
    <w:rsid w:val="00101FE6"/>
    <w:rsid w:val="00102B88"/>
    <w:rsid w:val="00102BC3"/>
    <w:rsid w:val="00103247"/>
    <w:rsid w:val="001032A6"/>
    <w:rsid w:val="00103E66"/>
    <w:rsid w:val="0010558B"/>
    <w:rsid w:val="00106CC7"/>
    <w:rsid w:val="00107BD8"/>
    <w:rsid w:val="0011165B"/>
    <w:rsid w:val="00111B9F"/>
    <w:rsid w:val="00113664"/>
    <w:rsid w:val="00113FD6"/>
    <w:rsid w:val="0011608A"/>
    <w:rsid w:val="00116E32"/>
    <w:rsid w:val="00117E79"/>
    <w:rsid w:val="00117EC2"/>
    <w:rsid w:val="001201D3"/>
    <w:rsid w:val="00120A03"/>
    <w:rsid w:val="0012103D"/>
    <w:rsid w:val="00121476"/>
    <w:rsid w:val="00121590"/>
    <w:rsid w:val="00125790"/>
    <w:rsid w:val="00125C41"/>
    <w:rsid w:val="00127E7E"/>
    <w:rsid w:val="00131FE5"/>
    <w:rsid w:val="00132489"/>
    <w:rsid w:val="00133145"/>
    <w:rsid w:val="00134777"/>
    <w:rsid w:val="001357E4"/>
    <w:rsid w:val="00136146"/>
    <w:rsid w:val="0013631B"/>
    <w:rsid w:val="00136902"/>
    <w:rsid w:val="00140C91"/>
    <w:rsid w:val="001418B0"/>
    <w:rsid w:val="00141E70"/>
    <w:rsid w:val="00142849"/>
    <w:rsid w:val="001434D4"/>
    <w:rsid w:val="00143A11"/>
    <w:rsid w:val="001446EA"/>
    <w:rsid w:val="00145329"/>
    <w:rsid w:val="00145D34"/>
    <w:rsid w:val="00151188"/>
    <w:rsid w:val="00151269"/>
    <w:rsid w:val="001518C3"/>
    <w:rsid w:val="001518D9"/>
    <w:rsid w:val="00155B14"/>
    <w:rsid w:val="001567EE"/>
    <w:rsid w:val="0015694C"/>
    <w:rsid w:val="00162395"/>
    <w:rsid w:val="00164052"/>
    <w:rsid w:val="00164E1B"/>
    <w:rsid w:val="00165C29"/>
    <w:rsid w:val="00166FD7"/>
    <w:rsid w:val="001678C1"/>
    <w:rsid w:val="001711D5"/>
    <w:rsid w:val="001742B8"/>
    <w:rsid w:val="0017545F"/>
    <w:rsid w:val="001768FF"/>
    <w:rsid w:val="00176C85"/>
    <w:rsid w:val="001801D9"/>
    <w:rsid w:val="001806AA"/>
    <w:rsid w:val="00180945"/>
    <w:rsid w:val="0018168F"/>
    <w:rsid w:val="00182914"/>
    <w:rsid w:val="001848E6"/>
    <w:rsid w:val="00185104"/>
    <w:rsid w:val="0018531A"/>
    <w:rsid w:val="00185625"/>
    <w:rsid w:val="0018582E"/>
    <w:rsid w:val="00185E5F"/>
    <w:rsid w:val="00186ACD"/>
    <w:rsid w:val="00190C1B"/>
    <w:rsid w:val="00192BBC"/>
    <w:rsid w:val="00193938"/>
    <w:rsid w:val="001941B2"/>
    <w:rsid w:val="00194AB9"/>
    <w:rsid w:val="00194EDA"/>
    <w:rsid w:val="00195B92"/>
    <w:rsid w:val="00195F98"/>
    <w:rsid w:val="00196ECE"/>
    <w:rsid w:val="0019752E"/>
    <w:rsid w:val="001A108A"/>
    <w:rsid w:val="001A2B17"/>
    <w:rsid w:val="001A2F39"/>
    <w:rsid w:val="001A3550"/>
    <w:rsid w:val="001A3609"/>
    <w:rsid w:val="001A4B15"/>
    <w:rsid w:val="001A5580"/>
    <w:rsid w:val="001A5DF2"/>
    <w:rsid w:val="001A5F27"/>
    <w:rsid w:val="001A7828"/>
    <w:rsid w:val="001A7921"/>
    <w:rsid w:val="001A7A34"/>
    <w:rsid w:val="001B0C6D"/>
    <w:rsid w:val="001B1569"/>
    <w:rsid w:val="001B5FC2"/>
    <w:rsid w:val="001B6578"/>
    <w:rsid w:val="001B6BF9"/>
    <w:rsid w:val="001C06E5"/>
    <w:rsid w:val="001C0AFE"/>
    <w:rsid w:val="001C0FDC"/>
    <w:rsid w:val="001C57E4"/>
    <w:rsid w:val="001D2540"/>
    <w:rsid w:val="001D2C08"/>
    <w:rsid w:val="001D421B"/>
    <w:rsid w:val="001D54A7"/>
    <w:rsid w:val="001D6131"/>
    <w:rsid w:val="001D7DEB"/>
    <w:rsid w:val="001E1339"/>
    <w:rsid w:val="001E2F5D"/>
    <w:rsid w:val="001E2F99"/>
    <w:rsid w:val="001E33A1"/>
    <w:rsid w:val="001F02A7"/>
    <w:rsid w:val="001F0B28"/>
    <w:rsid w:val="001F2FCB"/>
    <w:rsid w:val="001F3DE9"/>
    <w:rsid w:val="001F625D"/>
    <w:rsid w:val="0020023B"/>
    <w:rsid w:val="0020040A"/>
    <w:rsid w:val="00201B6D"/>
    <w:rsid w:val="00203514"/>
    <w:rsid w:val="00203F54"/>
    <w:rsid w:val="002047D1"/>
    <w:rsid w:val="002051DF"/>
    <w:rsid w:val="00206513"/>
    <w:rsid w:val="00206F05"/>
    <w:rsid w:val="00207691"/>
    <w:rsid w:val="00211CC0"/>
    <w:rsid w:val="00212401"/>
    <w:rsid w:val="00213764"/>
    <w:rsid w:val="002156B2"/>
    <w:rsid w:val="0021734E"/>
    <w:rsid w:val="00220897"/>
    <w:rsid w:val="00220AD2"/>
    <w:rsid w:val="00223C63"/>
    <w:rsid w:val="002250B8"/>
    <w:rsid w:val="00225CEF"/>
    <w:rsid w:val="002261FF"/>
    <w:rsid w:val="00226D2F"/>
    <w:rsid w:val="002272B4"/>
    <w:rsid w:val="00230D3E"/>
    <w:rsid w:val="00232069"/>
    <w:rsid w:val="002333DF"/>
    <w:rsid w:val="00235DCC"/>
    <w:rsid w:val="002363D1"/>
    <w:rsid w:val="00240ABE"/>
    <w:rsid w:val="00242784"/>
    <w:rsid w:val="002436DF"/>
    <w:rsid w:val="00243A6E"/>
    <w:rsid w:val="002444BB"/>
    <w:rsid w:val="00244858"/>
    <w:rsid w:val="00245CE8"/>
    <w:rsid w:val="0024624E"/>
    <w:rsid w:val="00247407"/>
    <w:rsid w:val="0025061D"/>
    <w:rsid w:val="00255970"/>
    <w:rsid w:val="00256A04"/>
    <w:rsid w:val="00256BD8"/>
    <w:rsid w:val="00257C71"/>
    <w:rsid w:val="002621CC"/>
    <w:rsid w:val="00263DD7"/>
    <w:rsid w:val="00265A83"/>
    <w:rsid w:val="00266FB8"/>
    <w:rsid w:val="00271BFB"/>
    <w:rsid w:val="0027713A"/>
    <w:rsid w:val="00277F62"/>
    <w:rsid w:val="00282C50"/>
    <w:rsid w:val="00282EBC"/>
    <w:rsid w:val="00283872"/>
    <w:rsid w:val="00283C84"/>
    <w:rsid w:val="00284029"/>
    <w:rsid w:val="0028478A"/>
    <w:rsid w:val="002861ED"/>
    <w:rsid w:val="00286826"/>
    <w:rsid w:val="002878E4"/>
    <w:rsid w:val="00287AAE"/>
    <w:rsid w:val="0029136C"/>
    <w:rsid w:val="00294541"/>
    <w:rsid w:val="00294FB9"/>
    <w:rsid w:val="002976A0"/>
    <w:rsid w:val="002A0584"/>
    <w:rsid w:val="002A0B8D"/>
    <w:rsid w:val="002A0D43"/>
    <w:rsid w:val="002A26DA"/>
    <w:rsid w:val="002A2C41"/>
    <w:rsid w:val="002A3FA3"/>
    <w:rsid w:val="002A3FEB"/>
    <w:rsid w:val="002A40DB"/>
    <w:rsid w:val="002A6EA5"/>
    <w:rsid w:val="002A6ED7"/>
    <w:rsid w:val="002B05CF"/>
    <w:rsid w:val="002B1095"/>
    <w:rsid w:val="002B128E"/>
    <w:rsid w:val="002B223E"/>
    <w:rsid w:val="002B29EF"/>
    <w:rsid w:val="002B6B5F"/>
    <w:rsid w:val="002C03E9"/>
    <w:rsid w:val="002C0762"/>
    <w:rsid w:val="002C57BE"/>
    <w:rsid w:val="002C65F4"/>
    <w:rsid w:val="002C74F3"/>
    <w:rsid w:val="002D0638"/>
    <w:rsid w:val="002D27EB"/>
    <w:rsid w:val="002D2DD0"/>
    <w:rsid w:val="002D2DE9"/>
    <w:rsid w:val="002D302F"/>
    <w:rsid w:val="002D3E70"/>
    <w:rsid w:val="002E09D8"/>
    <w:rsid w:val="002E0FF4"/>
    <w:rsid w:val="002E2708"/>
    <w:rsid w:val="002E45C1"/>
    <w:rsid w:val="002E4C6C"/>
    <w:rsid w:val="002E7521"/>
    <w:rsid w:val="002F00AD"/>
    <w:rsid w:val="002F0E58"/>
    <w:rsid w:val="002F28F4"/>
    <w:rsid w:val="002F2A94"/>
    <w:rsid w:val="002F64F2"/>
    <w:rsid w:val="002F6EB6"/>
    <w:rsid w:val="002F6EDE"/>
    <w:rsid w:val="00300B52"/>
    <w:rsid w:val="00300EC6"/>
    <w:rsid w:val="00301DF9"/>
    <w:rsid w:val="00302AA2"/>
    <w:rsid w:val="00303B3C"/>
    <w:rsid w:val="00303D18"/>
    <w:rsid w:val="003043E5"/>
    <w:rsid w:val="003048D0"/>
    <w:rsid w:val="00306E5E"/>
    <w:rsid w:val="00306FE0"/>
    <w:rsid w:val="0031141D"/>
    <w:rsid w:val="003115FE"/>
    <w:rsid w:val="00311871"/>
    <w:rsid w:val="00313588"/>
    <w:rsid w:val="003156C9"/>
    <w:rsid w:val="00316079"/>
    <w:rsid w:val="00317458"/>
    <w:rsid w:val="003175BD"/>
    <w:rsid w:val="00317BCF"/>
    <w:rsid w:val="00321109"/>
    <w:rsid w:val="003211FA"/>
    <w:rsid w:val="00323EC6"/>
    <w:rsid w:val="0032693A"/>
    <w:rsid w:val="00326F2C"/>
    <w:rsid w:val="00327D10"/>
    <w:rsid w:val="00332203"/>
    <w:rsid w:val="00333E1A"/>
    <w:rsid w:val="00335A2D"/>
    <w:rsid w:val="00341C8C"/>
    <w:rsid w:val="00343D87"/>
    <w:rsid w:val="00344099"/>
    <w:rsid w:val="003454D3"/>
    <w:rsid w:val="00346283"/>
    <w:rsid w:val="00346DBA"/>
    <w:rsid w:val="00347666"/>
    <w:rsid w:val="00350F36"/>
    <w:rsid w:val="00352B1E"/>
    <w:rsid w:val="00352F14"/>
    <w:rsid w:val="00353C93"/>
    <w:rsid w:val="003552BC"/>
    <w:rsid w:val="00357187"/>
    <w:rsid w:val="0036253C"/>
    <w:rsid w:val="003626DB"/>
    <w:rsid w:val="003627CB"/>
    <w:rsid w:val="0036293E"/>
    <w:rsid w:val="00363E14"/>
    <w:rsid w:val="00365A1F"/>
    <w:rsid w:val="003704B1"/>
    <w:rsid w:val="003742F9"/>
    <w:rsid w:val="00377C72"/>
    <w:rsid w:val="00381177"/>
    <w:rsid w:val="00387C07"/>
    <w:rsid w:val="00390B5F"/>
    <w:rsid w:val="00391225"/>
    <w:rsid w:val="00391352"/>
    <w:rsid w:val="0039212D"/>
    <w:rsid w:val="0039281A"/>
    <w:rsid w:val="00392ACE"/>
    <w:rsid w:val="00392EA8"/>
    <w:rsid w:val="00392FBE"/>
    <w:rsid w:val="00394414"/>
    <w:rsid w:val="003951B0"/>
    <w:rsid w:val="00395812"/>
    <w:rsid w:val="00395C0A"/>
    <w:rsid w:val="0039769F"/>
    <w:rsid w:val="003A06C1"/>
    <w:rsid w:val="003A06DD"/>
    <w:rsid w:val="003A130C"/>
    <w:rsid w:val="003A1380"/>
    <w:rsid w:val="003A2A6C"/>
    <w:rsid w:val="003A2F1C"/>
    <w:rsid w:val="003A3216"/>
    <w:rsid w:val="003A4F8E"/>
    <w:rsid w:val="003A79DA"/>
    <w:rsid w:val="003B1F7B"/>
    <w:rsid w:val="003C02AD"/>
    <w:rsid w:val="003C19B2"/>
    <w:rsid w:val="003C257B"/>
    <w:rsid w:val="003C3853"/>
    <w:rsid w:val="003C4E76"/>
    <w:rsid w:val="003C648F"/>
    <w:rsid w:val="003C6885"/>
    <w:rsid w:val="003C6E46"/>
    <w:rsid w:val="003D07EB"/>
    <w:rsid w:val="003D1C45"/>
    <w:rsid w:val="003D2CFD"/>
    <w:rsid w:val="003D4BD8"/>
    <w:rsid w:val="003D6FE4"/>
    <w:rsid w:val="003D76BF"/>
    <w:rsid w:val="003D7891"/>
    <w:rsid w:val="003E264F"/>
    <w:rsid w:val="003E4591"/>
    <w:rsid w:val="003F0F65"/>
    <w:rsid w:val="003F110B"/>
    <w:rsid w:val="003F18D8"/>
    <w:rsid w:val="003F1F27"/>
    <w:rsid w:val="003F227C"/>
    <w:rsid w:val="003F25DA"/>
    <w:rsid w:val="003F297E"/>
    <w:rsid w:val="003F2C27"/>
    <w:rsid w:val="003F2D7A"/>
    <w:rsid w:val="003F426B"/>
    <w:rsid w:val="003F463B"/>
    <w:rsid w:val="003F5CD2"/>
    <w:rsid w:val="003F6AB7"/>
    <w:rsid w:val="00400C05"/>
    <w:rsid w:val="004027A0"/>
    <w:rsid w:val="00404203"/>
    <w:rsid w:val="004048C3"/>
    <w:rsid w:val="00404B25"/>
    <w:rsid w:val="00410290"/>
    <w:rsid w:val="004104E7"/>
    <w:rsid w:val="004106F6"/>
    <w:rsid w:val="00411637"/>
    <w:rsid w:val="0041218E"/>
    <w:rsid w:val="0041244B"/>
    <w:rsid w:val="00412DC1"/>
    <w:rsid w:val="00412E98"/>
    <w:rsid w:val="00413A40"/>
    <w:rsid w:val="00415047"/>
    <w:rsid w:val="00415D89"/>
    <w:rsid w:val="00415FAD"/>
    <w:rsid w:val="00416960"/>
    <w:rsid w:val="0041734C"/>
    <w:rsid w:val="00421768"/>
    <w:rsid w:val="00422190"/>
    <w:rsid w:val="00422359"/>
    <w:rsid w:val="00422597"/>
    <w:rsid w:val="00424959"/>
    <w:rsid w:val="00425968"/>
    <w:rsid w:val="00425A69"/>
    <w:rsid w:val="004264D4"/>
    <w:rsid w:val="00427F6E"/>
    <w:rsid w:val="00430C86"/>
    <w:rsid w:val="0043114E"/>
    <w:rsid w:val="00431947"/>
    <w:rsid w:val="004322D8"/>
    <w:rsid w:val="0043413F"/>
    <w:rsid w:val="00441170"/>
    <w:rsid w:val="004430A8"/>
    <w:rsid w:val="0044436E"/>
    <w:rsid w:val="00444840"/>
    <w:rsid w:val="00445D1A"/>
    <w:rsid w:val="00446FD4"/>
    <w:rsid w:val="00450129"/>
    <w:rsid w:val="00451F90"/>
    <w:rsid w:val="00454DE0"/>
    <w:rsid w:val="00455189"/>
    <w:rsid w:val="0046783C"/>
    <w:rsid w:val="00467999"/>
    <w:rsid w:val="004720EE"/>
    <w:rsid w:val="004727FE"/>
    <w:rsid w:val="004743C1"/>
    <w:rsid w:val="0048155B"/>
    <w:rsid w:val="00485C55"/>
    <w:rsid w:val="00485F86"/>
    <w:rsid w:val="0049002D"/>
    <w:rsid w:val="004916B1"/>
    <w:rsid w:val="004916FB"/>
    <w:rsid w:val="004923C2"/>
    <w:rsid w:val="00493E39"/>
    <w:rsid w:val="00494119"/>
    <w:rsid w:val="00496485"/>
    <w:rsid w:val="00497811"/>
    <w:rsid w:val="004A1B7F"/>
    <w:rsid w:val="004A3E61"/>
    <w:rsid w:val="004A558D"/>
    <w:rsid w:val="004A58AF"/>
    <w:rsid w:val="004A5C5C"/>
    <w:rsid w:val="004B1B5B"/>
    <w:rsid w:val="004B214F"/>
    <w:rsid w:val="004B3106"/>
    <w:rsid w:val="004B462F"/>
    <w:rsid w:val="004B5F83"/>
    <w:rsid w:val="004C0B84"/>
    <w:rsid w:val="004C1644"/>
    <w:rsid w:val="004C1896"/>
    <w:rsid w:val="004C6365"/>
    <w:rsid w:val="004C6A2F"/>
    <w:rsid w:val="004C72F4"/>
    <w:rsid w:val="004D22BD"/>
    <w:rsid w:val="004D3C08"/>
    <w:rsid w:val="004D44DC"/>
    <w:rsid w:val="004E1F9B"/>
    <w:rsid w:val="004E2533"/>
    <w:rsid w:val="004E4EE3"/>
    <w:rsid w:val="004E6F1A"/>
    <w:rsid w:val="004F0AD6"/>
    <w:rsid w:val="004F2B4D"/>
    <w:rsid w:val="004F6787"/>
    <w:rsid w:val="005003FF"/>
    <w:rsid w:val="00501E4D"/>
    <w:rsid w:val="00503251"/>
    <w:rsid w:val="005035F9"/>
    <w:rsid w:val="0050379F"/>
    <w:rsid w:val="00504965"/>
    <w:rsid w:val="00505D09"/>
    <w:rsid w:val="00507E77"/>
    <w:rsid w:val="005107BF"/>
    <w:rsid w:val="00512B62"/>
    <w:rsid w:val="0051416F"/>
    <w:rsid w:val="005144B9"/>
    <w:rsid w:val="00515293"/>
    <w:rsid w:val="00516881"/>
    <w:rsid w:val="00517115"/>
    <w:rsid w:val="00520BDE"/>
    <w:rsid w:val="005219D0"/>
    <w:rsid w:val="00521D2F"/>
    <w:rsid w:val="00521D38"/>
    <w:rsid w:val="005228C3"/>
    <w:rsid w:val="005236FB"/>
    <w:rsid w:val="00525D7A"/>
    <w:rsid w:val="0052635F"/>
    <w:rsid w:val="00527A6C"/>
    <w:rsid w:val="005302DA"/>
    <w:rsid w:val="005320DB"/>
    <w:rsid w:val="0053470E"/>
    <w:rsid w:val="00534AD6"/>
    <w:rsid w:val="005361F5"/>
    <w:rsid w:val="00537F2F"/>
    <w:rsid w:val="005415D1"/>
    <w:rsid w:val="0054333D"/>
    <w:rsid w:val="00543763"/>
    <w:rsid w:val="00543A9F"/>
    <w:rsid w:val="005445D1"/>
    <w:rsid w:val="00544C14"/>
    <w:rsid w:val="005455CD"/>
    <w:rsid w:val="0054623B"/>
    <w:rsid w:val="005504A0"/>
    <w:rsid w:val="00551E12"/>
    <w:rsid w:val="00552073"/>
    <w:rsid w:val="0055297A"/>
    <w:rsid w:val="00554E43"/>
    <w:rsid w:val="00561584"/>
    <w:rsid w:val="00561C6C"/>
    <w:rsid w:val="00562A5E"/>
    <w:rsid w:val="005652A3"/>
    <w:rsid w:val="00565857"/>
    <w:rsid w:val="0056638E"/>
    <w:rsid w:val="005713A3"/>
    <w:rsid w:val="00572159"/>
    <w:rsid w:val="005723DE"/>
    <w:rsid w:val="0057410E"/>
    <w:rsid w:val="00576626"/>
    <w:rsid w:val="005768CA"/>
    <w:rsid w:val="0057703D"/>
    <w:rsid w:val="0058012B"/>
    <w:rsid w:val="0058129D"/>
    <w:rsid w:val="00581929"/>
    <w:rsid w:val="00581EAC"/>
    <w:rsid w:val="005825A4"/>
    <w:rsid w:val="00582D62"/>
    <w:rsid w:val="005846AF"/>
    <w:rsid w:val="005851A9"/>
    <w:rsid w:val="00585AC1"/>
    <w:rsid w:val="005876BC"/>
    <w:rsid w:val="00587810"/>
    <w:rsid w:val="00590577"/>
    <w:rsid w:val="00590CE5"/>
    <w:rsid w:val="005937D0"/>
    <w:rsid w:val="00594087"/>
    <w:rsid w:val="00594CCC"/>
    <w:rsid w:val="005951A5"/>
    <w:rsid w:val="005951F2"/>
    <w:rsid w:val="005961E9"/>
    <w:rsid w:val="00597EE2"/>
    <w:rsid w:val="005A174D"/>
    <w:rsid w:val="005A373B"/>
    <w:rsid w:val="005A45F9"/>
    <w:rsid w:val="005A4F9C"/>
    <w:rsid w:val="005A59D1"/>
    <w:rsid w:val="005A6D6D"/>
    <w:rsid w:val="005A73D6"/>
    <w:rsid w:val="005B1784"/>
    <w:rsid w:val="005B5A31"/>
    <w:rsid w:val="005B7B05"/>
    <w:rsid w:val="005C0ABC"/>
    <w:rsid w:val="005C1314"/>
    <w:rsid w:val="005C1C40"/>
    <w:rsid w:val="005C20C6"/>
    <w:rsid w:val="005C2491"/>
    <w:rsid w:val="005C40B4"/>
    <w:rsid w:val="005C67C3"/>
    <w:rsid w:val="005D1529"/>
    <w:rsid w:val="005D18A8"/>
    <w:rsid w:val="005D3A0B"/>
    <w:rsid w:val="005D5B24"/>
    <w:rsid w:val="005D6C6E"/>
    <w:rsid w:val="005D7DB6"/>
    <w:rsid w:val="005E2EB2"/>
    <w:rsid w:val="005E7583"/>
    <w:rsid w:val="005F2236"/>
    <w:rsid w:val="005F3B20"/>
    <w:rsid w:val="005F41AB"/>
    <w:rsid w:val="005F5459"/>
    <w:rsid w:val="005F56D0"/>
    <w:rsid w:val="005F748A"/>
    <w:rsid w:val="0060113F"/>
    <w:rsid w:val="00601A18"/>
    <w:rsid w:val="00603792"/>
    <w:rsid w:val="00604873"/>
    <w:rsid w:val="00607D66"/>
    <w:rsid w:val="00610392"/>
    <w:rsid w:val="006139C4"/>
    <w:rsid w:val="00614C46"/>
    <w:rsid w:val="0062039C"/>
    <w:rsid w:val="00620595"/>
    <w:rsid w:val="00620976"/>
    <w:rsid w:val="00620E01"/>
    <w:rsid w:val="00622501"/>
    <w:rsid w:val="006240FB"/>
    <w:rsid w:val="006310A4"/>
    <w:rsid w:val="0063492F"/>
    <w:rsid w:val="00634A06"/>
    <w:rsid w:val="00637FA9"/>
    <w:rsid w:val="006437E7"/>
    <w:rsid w:val="00643FE6"/>
    <w:rsid w:val="00644BF9"/>
    <w:rsid w:val="0065000A"/>
    <w:rsid w:val="00650184"/>
    <w:rsid w:val="0065071C"/>
    <w:rsid w:val="00651A25"/>
    <w:rsid w:val="00651B22"/>
    <w:rsid w:val="00651D01"/>
    <w:rsid w:val="006522CD"/>
    <w:rsid w:val="0065299F"/>
    <w:rsid w:val="00657A31"/>
    <w:rsid w:val="00657B6E"/>
    <w:rsid w:val="006603F6"/>
    <w:rsid w:val="006630A0"/>
    <w:rsid w:val="0066467B"/>
    <w:rsid w:val="00665F42"/>
    <w:rsid w:val="0066665A"/>
    <w:rsid w:val="00670297"/>
    <w:rsid w:val="00671AB3"/>
    <w:rsid w:val="00671B40"/>
    <w:rsid w:val="00672011"/>
    <w:rsid w:val="00672A52"/>
    <w:rsid w:val="00673C83"/>
    <w:rsid w:val="00675B57"/>
    <w:rsid w:val="0067721F"/>
    <w:rsid w:val="00677585"/>
    <w:rsid w:val="006806C0"/>
    <w:rsid w:val="00680968"/>
    <w:rsid w:val="00681F16"/>
    <w:rsid w:val="00682630"/>
    <w:rsid w:val="0068529A"/>
    <w:rsid w:val="0068626E"/>
    <w:rsid w:val="0069009C"/>
    <w:rsid w:val="006901E0"/>
    <w:rsid w:val="0069174E"/>
    <w:rsid w:val="00691E53"/>
    <w:rsid w:val="0069309E"/>
    <w:rsid w:val="006938CD"/>
    <w:rsid w:val="006942E5"/>
    <w:rsid w:val="00694322"/>
    <w:rsid w:val="006953A1"/>
    <w:rsid w:val="006964DE"/>
    <w:rsid w:val="0069695E"/>
    <w:rsid w:val="006A22E2"/>
    <w:rsid w:val="006A272D"/>
    <w:rsid w:val="006A366F"/>
    <w:rsid w:val="006A5235"/>
    <w:rsid w:val="006A5720"/>
    <w:rsid w:val="006A5DA4"/>
    <w:rsid w:val="006A5E77"/>
    <w:rsid w:val="006A5FC2"/>
    <w:rsid w:val="006B542B"/>
    <w:rsid w:val="006B5587"/>
    <w:rsid w:val="006B6E63"/>
    <w:rsid w:val="006B74EE"/>
    <w:rsid w:val="006B7638"/>
    <w:rsid w:val="006B7B2F"/>
    <w:rsid w:val="006B7DC1"/>
    <w:rsid w:val="006C05CD"/>
    <w:rsid w:val="006C09C6"/>
    <w:rsid w:val="006C1B13"/>
    <w:rsid w:val="006C2709"/>
    <w:rsid w:val="006C2E5D"/>
    <w:rsid w:val="006C35B4"/>
    <w:rsid w:val="006C4776"/>
    <w:rsid w:val="006C7239"/>
    <w:rsid w:val="006C7627"/>
    <w:rsid w:val="006D007C"/>
    <w:rsid w:val="006D095A"/>
    <w:rsid w:val="006D6286"/>
    <w:rsid w:val="006D7F2A"/>
    <w:rsid w:val="006E1986"/>
    <w:rsid w:val="006E266B"/>
    <w:rsid w:val="006E30EA"/>
    <w:rsid w:val="006E37A5"/>
    <w:rsid w:val="006E3EE5"/>
    <w:rsid w:val="006E4208"/>
    <w:rsid w:val="006E5072"/>
    <w:rsid w:val="006E5A3E"/>
    <w:rsid w:val="006E604D"/>
    <w:rsid w:val="006E6ECF"/>
    <w:rsid w:val="006E71B7"/>
    <w:rsid w:val="006F19EE"/>
    <w:rsid w:val="006F4E16"/>
    <w:rsid w:val="006F6974"/>
    <w:rsid w:val="006F7B66"/>
    <w:rsid w:val="00702C13"/>
    <w:rsid w:val="0070320A"/>
    <w:rsid w:val="00707526"/>
    <w:rsid w:val="00711B6F"/>
    <w:rsid w:val="00714A64"/>
    <w:rsid w:val="00715617"/>
    <w:rsid w:val="00716DAF"/>
    <w:rsid w:val="00716EC3"/>
    <w:rsid w:val="00716ED8"/>
    <w:rsid w:val="007171C3"/>
    <w:rsid w:val="00717508"/>
    <w:rsid w:val="007179E6"/>
    <w:rsid w:val="0072142B"/>
    <w:rsid w:val="007218CC"/>
    <w:rsid w:val="00722CDB"/>
    <w:rsid w:val="00722DB7"/>
    <w:rsid w:val="0072474B"/>
    <w:rsid w:val="0072485E"/>
    <w:rsid w:val="007248FE"/>
    <w:rsid w:val="00724F1E"/>
    <w:rsid w:val="007261D8"/>
    <w:rsid w:val="007331A8"/>
    <w:rsid w:val="00734738"/>
    <w:rsid w:val="00737C30"/>
    <w:rsid w:val="00740EA1"/>
    <w:rsid w:val="00741764"/>
    <w:rsid w:val="00742D01"/>
    <w:rsid w:val="00744F44"/>
    <w:rsid w:val="007472B3"/>
    <w:rsid w:val="00747EC1"/>
    <w:rsid w:val="0075272C"/>
    <w:rsid w:val="007551F5"/>
    <w:rsid w:val="00756095"/>
    <w:rsid w:val="0075702E"/>
    <w:rsid w:val="00757B63"/>
    <w:rsid w:val="00760156"/>
    <w:rsid w:val="007616DB"/>
    <w:rsid w:val="007616DD"/>
    <w:rsid w:val="00763D65"/>
    <w:rsid w:val="00764DE4"/>
    <w:rsid w:val="00765B95"/>
    <w:rsid w:val="00766929"/>
    <w:rsid w:val="007712B5"/>
    <w:rsid w:val="00772E45"/>
    <w:rsid w:val="00773DD4"/>
    <w:rsid w:val="0077451C"/>
    <w:rsid w:val="00774F82"/>
    <w:rsid w:val="0077673A"/>
    <w:rsid w:val="0078009C"/>
    <w:rsid w:val="007801CE"/>
    <w:rsid w:val="00780A39"/>
    <w:rsid w:val="00782060"/>
    <w:rsid w:val="007823B0"/>
    <w:rsid w:val="00782ED2"/>
    <w:rsid w:val="00784E83"/>
    <w:rsid w:val="00785EB5"/>
    <w:rsid w:val="00786DD6"/>
    <w:rsid w:val="007905EB"/>
    <w:rsid w:val="007916C8"/>
    <w:rsid w:val="007925F3"/>
    <w:rsid w:val="007933D5"/>
    <w:rsid w:val="00796115"/>
    <w:rsid w:val="007962F4"/>
    <w:rsid w:val="00797438"/>
    <w:rsid w:val="007A0440"/>
    <w:rsid w:val="007A0984"/>
    <w:rsid w:val="007A13C5"/>
    <w:rsid w:val="007B0D62"/>
    <w:rsid w:val="007B1589"/>
    <w:rsid w:val="007B2516"/>
    <w:rsid w:val="007B2C37"/>
    <w:rsid w:val="007B2D0B"/>
    <w:rsid w:val="007B37B0"/>
    <w:rsid w:val="007B49DE"/>
    <w:rsid w:val="007B6863"/>
    <w:rsid w:val="007C010F"/>
    <w:rsid w:val="007C10A1"/>
    <w:rsid w:val="007C23E0"/>
    <w:rsid w:val="007C3143"/>
    <w:rsid w:val="007C3B2B"/>
    <w:rsid w:val="007C49E0"/>
    <w:rsid w:val="007C7499"/>
    <w:rsid w:val="007C75AA"/>
    <w:rsid w:val="007D0787"/>
    <w:rsid w:val="007D1AEC"/>
    <w:rsid w:val="007D4C8B"/>
    <w:rsid w:val="007D584D"/>
    <w:rsid w:val="007D5B14"/>
    <w:rsid w:val="007D62FA"/>
    <w:rsid w:val="007D6C0C"/>
    <w:rsid w:val="007D70E4"/>
    <w:rsid w:val="007E241F"/>
    <w:rsid w:val="007E2B37"/>
    <w:rsid w:val="007E2C5D"/>
    <w:rsid w:val="007E2E77"/>
    <w:rsid w:val="007E56C4"/>
    <w:rsid w:val="007E5770"/>
    <w:rsid w:val="007F03AE"/>
    <w:rsid w:val="007F075D"/>
    <w:rsid w:val="007F0932"/>
    <w:rsid w:val="007F1419"/>
    <w:rsid w:val="007F1C53"/>
    <w:rsid w:val="007F2E91"/>
    <w:rsid w:val="007F4E46"/>
    <w:rsid w:val="007F5045"/>
    <w:rsid w:val="007F6E7F"/>
    <w:rsid w:val="00800A36"/>
    <w:rsid w:val="00801D83"/>
    <w:rsid w:val="00805608"/>
    <w:rsid w:val="00805C92"/>
    <w:rsid w:val="00806D31"/>
    <w:rsid w:val="00807A5E"/>
    <w:rsid w:val="008116C9"/>
    <w:rsid w:val="00812069"/>
    <w:rsid w:val="008121FF"/>
    <w:rsid w:val="00813988"/>
    <w:rsid w:val="0081534D"/>
    <w:rsid w:val="00817D13"/>
    <w:rsid w:val="00817E71"/>
    <w:rsid w:val="00825328"/>
    <w:rsid w:val="00826B76"/>
    <w:rsid w:val="00830695"/>
    <w:rsid w:val="00832AE5"/>
    <w:rsid w:val="00833143"/>
    <w:rsid w:val="0083334B"/>
    <w:rsid w:val="00842341"/>
    <w:rsid w:val="00843024"/>
    <w:rsid w:val="00844993"/>
    <w:rsid w:val="00844FAB"/>
    <w:rsid w:val="00846C44"/>
    <w:rsid w:val="008537D1"/>
    <w:rsid w:val="00855242"/>
    <w:rsid w:val="0085642F"/>
    <w:rsid w:val="00856D2D"/>
    <w:rsid w:val="00862A84"/>
    <w:rsid w:val="008651CA"/>
    <w:rsid w:val="00865C2C"/>
    <w:rsid w:val="008678B6"/>
    <w:rsid w:val="00870EFA"/>
    <w:rsid w:val="008712CC"/>
    <w:rsid w:val="008736E5"/>
    <w:rsid w:val="00874BF5"/>
    <w:rsid w:val="008751A4"/>
    <w:rsid w:val="00875876"/>
    <w:rsid w:val="008767C1"/>
    <w:rsid w:val="008779D5"/>
    <w:rsid w:val="00881D48"/>
    <w:rsid w:val="00883EA8"/>
    <w:rsid w:val="00883FA4"/>
    <w:rsid w:val="008840D9"/>
    <w:rsid w:val="00884377"/>
    <w:rsid w:val="00885531"/>
    <w:rsid w:val="00886536"/>
    <w:rsid w:val="00886A15"/>
    <w:rsid w:val="00890295"/>
    <w:rsid w:val="008905C9"/>
    <w:rsid w:val="008908F2"/>
    <w:rsid w:val="00891F75"/>
    <w:rsid w:val="008929B2"/>
    <w:rsid w:val="008943DE"/>
    <w:rsid w:val="00895661"/>
    <w:rsid w:val="008956A3"/>
    <w:rsid w:val="00897328"/>
    <w:rsid w:val="00897A82"/>
    <w:rsid w:val="008A0B12"/>
    <w:rsid w:val="008A1E23"/>
    <w:rsid w:val="008A27DA"/>
    <w:rsid w:val="008A3AD6"/>
    <w:rsid w:val="008A3B99"/>
    <w:rsid w:val="008A4038"/>
    <w:rsid w:val="008A537E"/>
    <w:rsid w:val="008A6CBD"/>
    <w:rsid w:val="008A6E3A"/>
    <w:rsid w:val="008A7ADA"/>
    <w:rsid w:val="008A7E3A"/>
    <w:rsid w:val="008B2B9D"/>
    <w:rsid w:val="008B3516"/>
    <w:rsid w:val="008B5A74"/>
    <w:rsid w:val="008B62C5"/>
    <w:rsid w:val="008B7C85"/>
    <w:rsid w:val="008C232A"/>
    <w:rsid w:val="008C2637"/>
    <w:rsid w:val="008C27FB"/>
    <w:rsid w:val="008C310C"/>
    <w:rsid w:val="008C3213"/>
    <w:rsid w:val="008C47C5"/>
    <w:rsid w:val="008C4E3B"/>
    <w:rsid w:val="008C5CF2"/>
    <w:rsid w:val="008C5EA4"/>
    <w:rsid w:val="008C6205"/>
    <w:rsid w:val="008C6BB3"/>
    <w:rsid w:val="008D1596"/>
    <w:rsid w:val="008D16B8"/>
    <w:rsid w:val="008D1B1F"/>
    <w:rsid w:val="008D3CD2"/>
    <w:rsid w:val="008D3E8B"/>
    <w:rsid w:val="008D48F7"/>
    <w:rsid w:val="008D51D4"/>
    <w:rsid w:val="008E105F"/>
    <w:rsid w:val="008E269E"/>
    <w:rsid w:val="008E2D7B"/>
    <w:rsid w:val="008E3E36"/>
    <w:rsid w:val="008E42DC"/>
    <w:rsid w:val="008E4DC5"/>
    <w:rsid w:val="008E6E67"/>
    <w:rsid w:val="008E7BDC"/>
    <w:rsid w:val="008F05BE"/>
    <w:rsid w:val="008F11D4"/>
    <w:rsid w:val="008F3D0C"/>
    <w:rsid w:val="008F7894"/>
    <w:rsid w:val="009003F9"/>
    <w:rsid w:val="009007B2"/>
    <w:rsid w:val="009018C9"/>
    <w:rsid w:val="00902759"/>
    <w:rsid w:val="009039A0"/>
    <w:rsid w:val="00906544"/>
    <w:rsid w:val="00906A42"/>
    <w:rsid w:val="00906A49"/>
    <w:rsid w:val="00906E46"/>
    <w:rsid w:val="00913440"/>
    <w:rsid w:val="00914A81"/>
    <w:rsid w:val="00916631"/>
    <w:rsid w:val="00916F76"/>
    <w:rsid w:val="00917991"/>
    <w:rsid w:val="00922353"/>
    <w:rsid w:val="009230A7"/>
    <w:rsid w:val="0092320D"/>
    <w:rsid w:val="00923B9E"/>
    <w:rsid w:val="00924044"/>
    <w:rsid w:val="00924B8C"/>
    <w:rsid w:val="00925F79"/>
    <w:rsid w:val="009276ED"/>
    <w:rsid w:val="009277FF"/>
    <w:rsid w:val="00932ECC"/>
    <w:rsid w:val="00934B19"/>
    <w:rsid w:val="009358F8"/>
    <w:rsid w:val="00936F32"/>
    <w:rsid w:val="0093736A"/>
    <w:rsid w:val="00940644"/>
    <w:rsid w:val="00941039"/>
    <w:rsid w:val="009419EC"/>
    <w:rsid w:val="00942EB8"/>
    <w:rsid w:val="0094471A"/>
    <w:rsid w:val="00944BCF"/>
    <w:rsid w:val="00945186"/>
    <w:rsid w:val="00956738"/>
    <w:rsid w:val="00956BC9"/>
    <w:rsid w:val="00957876"/>
    <w:rsid w:val="00960813"/>
    <w:rsid w:val="00964BC7"/>
    <w:rsid w:val="009658F8"/>
    <w:rsid w:val="00965FF5"/>
    <w:rsid w:val="00966053"/>
    <w:rsid w:val="00966A98"/>
    <w:rsid w:val="00967857"/>
    <w:rsid w:val="00971553"/>
    <w:rsid w:val="00975DA8"/>
    <w:rsid w:val="00976B53"/>
    <w:rsid w:val="00976C68"/>
    <w:rsid w:val="00976C89"/>
    <w:rsid w:val="009825E7"/>
    <w:rsid w:val="0098306C"/>
    <w:rsid w:val="00985C64"/>
    <w:rsid w:val="00990B2C"/>
    <w:rsid w:val="00991569"/>
    <w:rsid w:val="00991CCE"/>
    <w:rsid w:val="0099346A"/>
    <w:rsid w:val="00993551"/>
    <w:rsid w:val="00996371"/>
    <w:rsid w:val="00996AC6"/>
    <w:rsid w:val="009976B0"/>
    <w:rsid w:val="00997814"/>
    <w:rsid w:val="009A06C3"/>
    <w:rsid w:val="009A1435"/>
    <w:rsid w:val="009A2B4C"/>
    <w:rsid w:val="009A3DB1"/>
    <w:rsid w:val="009A4B41"/>
    <w:rsid w:val="009A4CAE"/>
    <w:rsid w:val="009A4D3C"/>
    <w:rsid w:val="009A4D69"/>
    <w:rsid w:val="009A5C1A"/>
    <w:rsid w:val="009B1667"/>
    <w:rsid w:val="009B191E"/>
    <w:rsid w:val="009B3454"/>
    <w:rsid w:val="009B518B"/>
    <w:rsid w:val="009B637E"/>
    <w:rsid w:val="009B663E"/>
    <w:rsid w:val="009B6BEB"/>
    <w:rsid w:val="009B6DC1"/>
    <w:rsid w:val="009B7004"/>
    <w:rsid w:val="009C0B31"/>
    <w:rsid w:val="009C3885"/>
    <w:rsid w:val="009C3C0D"/>
    <w:rsid w:val="009C43A1"/>
    <w:rsid w:val="009C488E"/>
    <w:rsid w:val="009C5498"/>
    <w:rsid w:val="009C75B4"/>
    <w:rsid w:val="009D1823"/>
    <w:rsid w:val="009D2C56"/>
    <w:rsid w:val="009D31FA"/>
    <w:rsid w:val="009D3941"/>
    <w:rsid w:val="009D4585"/>
    <w:rsid w:val="009D77B8"/>
    <w:rsid w:val="009E003E"/>
    <w:rsid w:val="009E008E"/>
    <w:rsid w:val="009E04A6"/>
    <w:rsid w:val="009E0D74"/>
    <w:rsid w:val="009E143A"/>
    <w:rsid w:val="009E36CC"/>
    <w:rsid w:val="009E41BF"/>
    <w:rsid w:val="009E42CA"/>
    <w:rsid w:val="009E5049"/>
    <w:rsid w:val="009E6526"/>
    <w:rsid w:val="009F18C4"/>
    <w:rsid w:val="009F36E5"/>
    <w:rsid w:val="009F402E"/>
    <w:rsid w:val="009F66AD"/>
    <w:rsid w:val="009F7189"/>
    <w:rsid w:val="00A02A4B"/>
    <w:rsid w:val="00A046B3"/>
    <w:rsid w:val="00A05C82"/>
    <w:rsid w:val="00A06F12"/>
    <w:rsid w:val="00A07EB1"/>
    <w:rsid w:val="00A117B1"/>
    <w:rsid w:val="00A12513"/>
    <w:rsid w:val="00A12630"/>
    <w:rsid w:val="00A129BB"/>
    <w:rsid w:val="00A13AAD"/>
    <w:rsid w:val="00A1473D"/>
    <w:rsid w:val="00A15BCD"/>
    <w:rsid w:val="00A16959"/>
    <w:rsid w:val="00A17238"/>
    <w:rsid w:val="00A175F5"/>
    <w:rsid w:val="00A178DF"/>
    <w:rsid w:val="00A2343B"/>
    <w:rsid w:val="00A24785"/>
    <w:rsid w:val="00A3027D"/>
    <w:rsid w:val="00A30DA9"/>
    <w:rsid w:val="00A30F60"/>
    <w:rsid w:val="00A32234"/>
    <w:rsid w:val="00A32253"/>
    <w:rsid w:val="00A35F7B"/>
    <w:rsid w:val="00A376B2"/>
    <w:rsid w:val="00A37985"/>
    <w:rsid w:val="00A40BC7"/>
    <w:rsid w:val="00A416E2"/>
    <w:rsid w:val="00A44D4D"/>
    <w:rsid w:val="00A45E38"/>
    <w:rsid w:val="00A465DF"/>
    <w:rsid w:val="00A467F9"/>
    <w:rsid w:val="00A4744C"/>
    <w:rsid w:val="00A476C4"/>
    <w:rsid w:val="00A504B6"/>
    <w:rsid w:val="00A51D7A"/>
    <w:rsid w:val="00A54712"/>
    <w:rsid w:val="00A570FF"/>
    <w:rsid w:val="00A5735A"/>
    <w:rsid w:val="00A614C3"/>
    <w:rsid w:val="00A629CF"/>
    <w:rsid w:val="00A62B31"/>
    <w:rsid w:val="00A640E5"/>
    <w:rsid w:val="00A6488D"/>
    <w:rsid w:val="00A656DD"/>
    <w:rsid w:val="00A65B26"/>
    <w:rsid w:val="00A66988"/>
    <w:rsid w:val="00A702D5"/>
    <w:rsid w:val="00A71711"/>
    <w:rsid w:val="00A718AB"/>
    <w:rsid w:val="00A72719"/>
    <w:rsid w:val="00A727E3"/>
    <w:rsid w:val="00A81143"/>
    <w:rsid w:val="00A84EBF"/>
    <w:rsid w:val="00A85DE2"/>
    <w:rsid w:val="00A86534"/>
    <w:rsid w:val="00A865E9"/>
    <w:rsid w:val="00A86DAF"/>
    <w:rsid w:val="00A873D9"/>
    <w:rsid w:val="00A900FE"/>
    <w:rsid w:val="00A90A2F"/>
    <w:rsid w:val="00A92CFE"/>
    <w:rsid w:val="00A93669"/>
    <w:rsid w:val="00A93D0B"/>
    <w:rsid w:val="00A974A6"/>
    <w:rsid w:val="00A97DE5"/>
    <w:rsid w:val="00AA092E"/>
    <w:rsid w:val="00AA4EEB"/>
    <w:rsid w:val="00AA5C92"/>
    <w:rsid w:val="00AA6464"/>
    <w:rsid w:val="00AA6A53"/>
    <w:rsid w:val="00AA6F93"/>
    <w:rsid w:val="00AB0762"/>
    <w:rsid w:val="00AB129D"/>
    <w:rsid w:val="00AB1D12"/>
    <w:rsid w:val="00AB24CC"/>
    <w:rsid w:val="00AB2D48"/>
    <w:rsid w:val="00AB359C"/>
    <w:rsid w:val="00AB5F23"/>
    <w:rsid w:val="00AB7D3B"/>
    <w:rsid w:val="00AC2A16"/>
    <w:rsid w:val="00AC39E8"/>
    <w:rsid w:val="00AC4251"/>
    <w:rsid w:val="00AC6BA9"/>
    <w:rsid w:val="00AC6FE2"/>
    <w:rsid w:val="00AC76A1"/>
    <w:rsid w:val="00AC7AA8"/>
    <w:rsid w:val="00AD0DE1"/>
    <w:rsid w:val="00AD2DF1"/>
    <w:rsid w:val="00AD3F8B"/>
    <w:rsid w:val="00AD40C9"/>
    <w:rsid w:val="00AD5904"/>
    <w:rsid w:val="00AD6122"/>
    <w:rsid w:val="00AD680F"/>
    <w:rsid w:val="00AD6FC5"/>
    <w:rsid w:val="00AD776A"/>
    <w:rsid w:val="00AD7E14"/>
    <w:rsid w:val="00AE02FA"/>
    <w:rsid w:val="00AE0DAA"/>
    <w:rsid w:val="00AE348B"/>
    <w:rsid w:val="00AE71D8"/>
    <w:rsid w:val="00AE7ACE"/>
    <w:rsid w:val="00AE7D41"/>
    <w:rsid w:val="00AF0D39"/>
    <w:rsid w:val="00AF2BCB"/>
    <w:rsid w:val="00AF56BA"/>
    <w:rsid w:val="00AF5D80"/>
    <w:rsid w:val="00B0136F"/>
    <w:rsid w:val="00B01780"/>
    <w:rsid w:val="00B02412"/>
    <w:rsid w:val="00B026EC"/>
    <w:rsid w:val="00B0354C"/>
    <w:rsid w:val="00B04EC7"/>
    <w:rsid w:val="00B05831"/>
    <w:rsid w:val="00B05AD5"/>
    <w:rsid w:val="00B06255"/>
    <w:rsid w:val="00B07F05"/>
    <w:rsid w:val="00B10580"/>
    <w:rsid w:val="00B10D9C"/>
    <w:rsid w:val="00B11CBE"/>
    <w:rsid w:val="00B11E6D"/>
    <w:rsid w:val="00B14207"/>
    <w:rsid w:val="00B14995"/>
    <w:rsid w:val="00B16C73"/>
    <w:rsid w:val="00B17333"/>
    <w:rsid w:val="00B20517"/>
    <w:rsid w:val="00B213F6"/>
    <w:rsid w:val="00B21A0C"/>
    <w:rsid w:val="00B21F37"/>
    <w:rsid w:val="00B2740D"/>
    <w:rsid w:val="00B31B9C"/>
    <w:rsid w:val="00B321F9"/>
    <w:rsid w:val="00B327C2"/>
    <w:rsid w:val="00B3382F"/>
    <w:rsid w:val="00B33C81"/>
    <w:rsid w:val="00B33F3D"/>
    <w:rsid w:val="00B36CB2"/>
    <w:rsid w:val="00B36E31"/>
    <w:rsid w:val="00B37A79"/>
    <w:rsid w:val="00B465EF"/>
    <w:rsid w:val="00B46735"/>
    <w:rsid w:val="00B50C19"/>
    <w:rsid w:val="00B52450"/>
    <w:rsid w:val="00B53514"/>
    <w:rsid w:val="00B53B4E"/>
    <w:rsid w:val="00B53FDC"/>
    <w:rsid w:val="00B542BC"/>
    <w:rsid w:val="00B55389"/>
    <w:rsid w:val="00B563F8"/>
    <w:rsid w:val="00B56BD5"/>
    <w:rsid w:val="00B57711"/>
    <w:rsid w:val="00B579C9"/>
    <w:rsid w:val="00B605D5"/>
    <w:rsid w:val="00B60FF2"/>
    <w:rsid w:val="00B62AFD"/>
    <w:rsid w:val="00B62B91"/>
    <w:rsid w:val="00B63A59"/>
    <w:rsid w:val="00B63C15"/>
    <w:rsid w:val="00B6407D"/>
    <w:rsid w:val="00B64186"/>
    <w:rsid w:val="00B645AC"/>
    <w:rsid w:val="00B645C6"/>
    <w:rsid w:val="00B65DD6"/>
    <w:rsid w:val="00B6678F"/>
    <w:rsid w:val="00B6702D"/>
    <w:rsid w:val="00B67915"/>
    <w:rsid w:val="00B71271"/>
    <w:rsid w:val="00B71CF1"/>
    <w:rsid w:val="00B73B03"/>
    <w:rsid w:val="00B73FF7"/>
    <w:rsid w:val="00B7479A"/>
    <w:rsid w:val="00B76627"/>
    <w:rsid w:val="00B76923"/>
    <w:rsid w:val="00B76C19"/>
    <w:rsid w:val="00B77213"/>
    <w:rsid w:val="00B77BD6"/>
    <w:rsid w:val="00B803A0"/>
    <w:rsid w:val="00B80545"/>
    <w:rsid w:val="00B81FDF"/>
    <w:rsid w:val="00B82686"/>
    <w:rsid w:val="00B82DC1"/>
    <w:rsid w:val="00B859E5"/>
    <w:rsid w:val="00B91C69"/>
    <w:rsid w:val="00B91D42"/>
    <w:rsid w:val="00BA180E"/>
    <w:rsid w:val="00BA1817"/>
    <w:rsid w:val="00BA18FA"/>
    <w:rsid w:val="00BA253D"/>
    <w:rsid w:val="00BA2E7E"/>
    <w:rsid w:val="00BA32C0"/>
    <w:rsid w:val="00BA4174"/>
    <w:rsid w:val="00BA4C99"/>
    <w:rsid w:val="00BA7C46"/>
    <w:rsid w:val="00BB172B"/>
    <w:rsid w:val="00BB4FBB"/>
    <w:rsid w:val="00BB5A65"/>
    <w:rsid w:val="00BB5DC9"/>
    <w:rsid w:val="00BB6B7D"/>
    <w:rsid w:val="00BB7AE3"/>
    <w:rsid w:val="00BC07B5"/>
    <w:rsid w:val="00BC1BD6"/>
    <w:rsid w:val="00BC2107"/>
    <w:rsid w:val="00BC2985"/>
    <w:rsid w:val="00BC2A48"/>
    <w:rsid w:val="00BC3B23"/>
    <w:rsid w:val="00BC3F85"/>
    <w:rsid w:val="00BC4B22"/>
    <w:rsid w:val="00BC4D16"/>
    <w:rsid w:val="00BC7ACA"/>
    <w:rsid w:val="00BC7C22"/>
    <w:rsid w:val="00BD04DF"/>
    <w:rsid w:val="00BD0F7F"/>
    <w:rsid w:val="00BD1323"/>
    <w:rsid w:val="00BD15C4"/>
    <w:rsid w:val="00BD28A2"/>
    <w:rsid w:val="00BD3000"/>
    <w:rsid w:val="00BD4FFC"/>
    <w:rsid w:val="00BD7D7A"/>
    <w:rsid w:val="00BD7D9C"/>
    <w:rsid w:val="00BE1CEF"/>
    <w:rsid w:val="00BE3243"/>
    <w:rsid w:val="00BE391F"/>
    <w:rsid w:val="00BE578F"/>
    <w:rsid w:val="00BE5837"/>
    <w:rsid w:val="00BE69CC"/>
    <w:rsid w:val="00BE6C4D"/>
    <w:rsid w:val="00BE6DEE"/>
    <w:rsid w:val="00BF0975"/>
    <w:rsid w:val="00BF1650"/>
    <w:rsid w:val="00BF23CE"/>
    <w:rsid w:val="00BF2837"/>
    <w:rsid w:val="00BF2F80"/>
    <w:rsid w:val="00BF5430"/>
    <w:rsid w:val="00BF64FA"/>
    <w:rsid w:val="00BF751D"/>
    <w:rsid w:val="00C009B9"/>
    <w:rsid w:val="00C042DA"/>
    <w:rsid w:val="00C04A28"/>
    <w:rsid w:val="00C0595E"/>
    <w:rsid w:val="00C059A2"/>
    <w:rsid w:val="00C06246"/>
    <w:rsid w:val="00C079C2"/>
    <w:rsid w:val="00C10674"/>
    <w:rsid w:val="00C12CF0"/>
    <w:rsid w:val="00C138E5"/>
    <w:rsid w:val="00C14DC9"/>
    <w:rsid w:val="00C16CF7"/>
    <w:rsid w:val="00C2351A"/>
    <w:rsid w:val="00C24DF5"/>
    <w:rsid w:val="00C272BA"/>
    <w:rsid w:val="00C2765F"/>
    <w:rsid w:val="00C27A4D"/>
    <w:rsid w:val="00C27B0A"/>
    <w:rsid w:val="00C30E5B"/>
    <w:rsid w:val="00C314E1"/>
    <w:rsid w:val="00C31BA5"/>
    <w:rsid w:val="00C3298B"/>
    <w:rsid w:val="00C33F6F"/>
    <w:rsid w:val="00C37CDB"/>
    <w:rsid w:val="00C40754"/>
    <w:rsid w:val="00C44143"/>
    <w:rsid w:val="00C45540"/>
    <w:rsid w:val="00C47D75"/>
    <w:rsid w:val="00C51C8A"/>
    <w:rsid w:val="00C51DA9"/>
    <w:rsid w:val="00C55D21"/>
    <w:rsid w:val="00C57CA1"/>
    <w:rsid w:val="00C619F0"/>
    <w:rsid w:val="00C6436B"/>
    <w:rsid w:val="00C66501"/>
    <w:rsid w:val="00C700AA"/>
    <w:rsid w:val="00C71211"/>
    <w:rsid w:val="00C7295A"/>
    <w:rsid w:val="00C72C71"/>
    <w:rsid w:val="00C735EF"/>
    <w:rsid w:val="00C73A61"/>
    <w:rsid w:val="00C765E8"/>
    <w:rsid w:val="00C8012A"/>
    <w:rsid w:val="00C803D2"/>
    <w:rsid w:val="00C80A91"/>
    <w:rsid w:val="00C81B9F"/>
    <w:rsid w:val="00C82A9A"/>
    <w:rsid w:val="00C834AD"/>
    <w:rsid w:val="00C83C6D"/>
    <w:rsid w:val="00C84F4E"/>
    <w:rsid w:val="00C86D20"/>
    <w:rsid w:val="00C90D7C"/>
    <w:rsid w:val="00C9180B"/>
    <w:rsid w:val="00C940C3"/>
    <w:rsid w:val="00C94731"/>
    <w:rsid w:val="00C94809"/>
    <w:rsid w:val="00C94C04"/>
    <w:rsid w:val="00C96351"/>
    <w:rsid w:val="00C9640C"/>
    <w:rsid w:val="00CA1716"/>
    <w:rsid w:val="00CA3FD8"/>
    <w:rsid w:val="00CA54CB"/>
    <w:rsid w:val="00CA5794"/>
    <w:rsid w:val="00CA6539"/>
    <w:rsid w:val="00CA7768"/>
    <w:rsid w:val="00CA7BD2"/>
    <w:rsid w:val="00CB0395"/>
    <w:rsid w:val="00CB067D"/>
    <w:rsid w:val="00CB0DE2"/>
    <w:rsid w:val="00CB1EDA"/>
    <w:rsid w:val="00CB2331"/>
    <w:rsid w:val="00CB28FF"/>
    <w:rsid w:val="00CB38C8"/>
    <w:rsid w:val="00CB4FA3"/>
    <w:rsid w:val="00CB53F8"/>
    <w:rsid w:val="00CB5856"/>
    <w:rsid w:val="00CB6D8F"/>
    <w:rsid w:val="00CB746E"/>
    <w:rsid w:val="00CB7831"/>
    <w:rsid w:val="00CC3E2D"/>
    <w:rsid w:val="00CC5FE9"/>
    <w:rsid w:val="00CC606E"/>
    <w:rsid w:val="00CC6B12"/>
    <w:rsid w:val="00CC7E03"/>
    <w:rsid w:val="00CD2204"/>
    <w:rsid w:val="00CD22BE"/>
    <w:rsid w:val="00CD2C15"/>
    <w:rsid w:val="00CD2EC3"/>
    <w:rsid w:val="00CD63D4"/>
    <w:rsid w:val="00CD6588"/>
    <w:rsid w:val="00CD7CEC"/>
    <w:rsid w:val="00CE0B17"/>
    <w:rsid w:val="00CE40C5"/>
    <w:rsid w:val="00CE61B1"/>
    <w:rsid w:val="00CE63EC"/>
    <w:rsid w:val="00CE6A1F"/>
    <w:rsid w:val="00CE6FDA"/>
    <w:rsid w:val="00CF07CF"/>
    <w:rsid w:val="00CF1517"/>
    <w:rsid w:val="00CF23C0"/>
    <w:rsid w:val="00CF24B6"/>
    <w:rsid w:val="00CF4A12"/>
    <w:rsid w:val="00CF6392"/>
    <w:rsid w:val="00CF75E4"/>
    <w:rsid w:val="00CF76D0"/>
    <w:rsid w:val="00D00142"/>
    <w:rsid w:val="00D00E7F"/>
    <w:rsid w:val="00D04120"/>
    <w:rsid w:val="00D04691"/>
    <w:rsid w:val="00D10A36"/>
    <w:rsid w:val="00D13679"/>
    <w:rsid w:val="00D14885"/>
    <w:rsid w:val="00D17413"/>
    <w:rsid w:val="00D21773"/>
    <w:rsid w:val="00D22A41"/>
    <w:rsid w:val="00D238FA"/>
    <w:rsid w:val="00D23AC7"/>
    <w:rsid w:val="00D265EF"/>
    <w:rsid w:val="00D26735"/>
    <w:rsid w:val="00D30DB9"/>
    <w:rsid w:val="00D3189E"/>
    <w:rsid w:val="00D32DD7"/>
    <w:rsid w:val="00D3378D"/>
    <w:rsid w:val="00D34903"/>
    <w:rsid w:val="00D3769B"/>
    <w:rsid w:val="00D37A5F"/>
    <w:rsid w:val="00D42961"/>
    <w:rsid w:val="00D43226"/>
    <w:rsid w:val="00D43B43"/>
    <w:rsid w:val="00D44547"/>
    <w:rsid w:val="00D46021"/>
    <w:rsid w:val="00D52C44"/>
    <w:rsid w:val="00D537D0"/>
    <w:rsid w:val="00D60E16"/>
    <w:rsid w:val="00D61DF8"/>
    <w:rsid w:val="00D6261B"/>
    <w:rsid w:val="00D6274B"/>
    <w:rsid w:val="00D64378"/>
    <w:rsid w:val="00D646AC"/>
    <w:rsid w:val="00D64B36"/>
    <w:rsid w:val="00D661D8"/>
    <w:rsid w:val="00D67C14"/>
    <w:rsid w:val="00D70DDE"/>
    <w:rsid w:val="00D70E57"/>
    <w:rsid w:val="00D726B0"/>
    <w:rsid w:val="00D76AE4"/>
    <w:rsid w:val="00D76D26"/>
    <w:rsid w:val="00D77CFD"/>
    <w:rsid w:val="00D77DD9"/>
    <w:rsid w:val="00D82238"/>
    <w:rsid w:val="00D82FFB"/>
    <w:rsid w:val="00D858A4"/>
    <w:rsid w:val="00D87470"/>
    <w:rsid w:val="00D87ED0"/>
    <w:rsid w:val="00D90F70"/>
    <w:rsid w:val="00D91A8A"/>
    <w:rsid w:val="00D92474"/>
    <w:rsid w:val="00D93196"/>
    <w:rsid w:val="00D958CE"/>
    <w:rsid w:val="00DA0124"/>
    <w:rsid w:val="00DA04D9"/>
    <w:rsid w:val="00DA1E17"/>
    <w:rsid w:val="00DA1F6A"/>
    <w:rsid w:val="00DA2A06"/>
    <w:rsid w:val="00DA32CC"/>
    <w:rsid w:val="00DA3CB7"/>
    <w:rsid w:val="00DA3E28"/>
    <w:rsid w:val="00DA4248"/>
    <w:rsid w:val="00DA686B"/>
    <w:rsid w:val="00DA7B16"/>
    <w:rsid w:val="00DA7C17"/>
    <w:rsid w:val="00DB1F3B"/>
    <w:rsid w:val="00DB2468"/>
    <w:rsid w:val="00DB3294"/>
    <w:rsid w:val="00DB5BC2"/>
    <w:rsid w:val="00DB6317"/>
    <w:rsid w:val="00DC01DA"/>
    <w:rsid w:val="00DC04A1"/>
    <w:rsid w:val="00DC0AF3"/>
    <w:rsid w:val="00DC3062"/>
    <w:rsid w:val="00DC3E8E"/>
    <w:rsid w:val="00DC6F40"/>
    <w:rsid w:val="00DC799F"/>
    <w:rsid w:val="00DD0A5C"/>
    <w:rsid w:val="00DD1D6A"/>
    <w:rsid w:val="00DD36E9"/>
    <w:rsid w:val="00DD3B8A"/>
    <w:rsid w:val="00DD6B66"/>
    <w:rsid w:val="00DD75B5"/>
    <w:rsid w:val="00DE2764"/>
    <w:rsid w:val="00DE3181"/>
    <w:rsid w:val="00DE36C4"/>
    <w:rsid w:val="00DE4A21"/>
    <w:rsid w:val="00DE4C1E"/>
    <w:rsid w:val="00DF011F"/>
    <w:rsid w:val="00DF0C5D"/>
    <w:rsid w:val="00DF0D66"/>
    <w:rsid w:val="00DF1882"/>
    <w:rsid w:val="00DF593B"/>
    <w:rsid w:val="00DF66B7"/>
    <w:rsid w:val="00E003C3"/>
    <w:rsid w:val="00E00559"/>
    <w:rsid w:val="00E0111D"/>
    <w:rsid w:val="00E02ACE"/>
    <w:rsid w:val="00E03156"/>
    <w:rsid w:val="00E03376"/>
    <w:rsid w:val="00E070DD"/>
    <w:rsid w:val="00E077DA"/>
    <w:rsid w:val="00E1251A"/>
    <w:rsid w:val="00E1313E"/>
    <w:rsid w:val="00E1649C"/>
    <w:rsid w:val="00E16608"/>
    <w:rsid w:val="00E169B8"/>
    <w:rsid w:val="00E204FB"/>
    <w:rsid w:val="00E20620"/>
    <w:rsid w:val="00E242BF"/>
    <w:rsid w:val="00E244BB"/>
    <w:rsid w:val="00E25663"/>
    <w:rsid w:val="00E25E18"/>
    <w:rsid w:val="00E25FB5"/>
    <w:rsid w:val="00E27266"/>
    <w:rsid w:val="00E32F0E"/>
    <w:rsid w:val="00E41A00"/>
    <w:rsid w:val="00E4508B"/>
    <w:rsid w:val="00E47384"/>
    <w:rsid w:val="00E47769"/>
    <w:rsid w:val="00E509B8"/>
    <w:rsid w:val="00E51AD7"/>
    <w:rsid w:val="00E523C0"/>
    <w:rsid w:val="00E52AE6"/>
    <w:rsid w:val="00E5433A"/>
    <w:rsid w:val="00E549A5"/>
    <w:rsid w:val="00E56264"/>
    <w:rsid w:val="00E56D76"/>
    <w:rsid w:val="00E62DF0"/>
    <w:rsid w:val="00E63A3F"/>
    <w:rsid w:val="00E647A2"/>
    <w:rsid w:val="00E66B25"/>
    <w:rsid w:val="00E678C1"/>
    <w:rsid w:val="00E70F20"/>
    <w:rsid w:val="00E73CC0"/>
    <w:rsid w:val="00E73F3A"/>
    <w:rsid w:val="00E74626"/>
    <w:rsid w:val="00E74F51"/>
    <w:rsid w:val="00E758BC"/>
    <w:rsid w:val="00E768F0"/>
    <w:rsid w:val="00E77721"/>
    <w:rsid w:val="00E80197"/>
    <w:rsid w:val="00E80F0A"/>
    <w:rsid w:val="00E8106E"/>
    <w:rsid w:val="00E824EA"/>
    <w:rsid w:val="00E841BB"/>
    <w:rsid w:val="00E859AB"/>
    <w:rsid w:val="00E86137"/>
    <w:rsid w:val="00E86C65"/>
    <w:rsid w:val="00E8747A"/>
    <w:rsid w:val="00E87729"/>
    <w:rsid w:val="00E90F32"/>
    <w:rsid w:val="00E914AC"/>
    <w:rsid w:val="00E91F3D"/>
    <w:rsid w:val="00E93657"/>
    <w:rsid w:val="00E95C36"/>
    <w:rsid w:val="00E96AB2"/>
    <w:rsid w:val="00E97273"/>
    <w:rsid w:val="00EA1408"/>
    <w:rsid w:val="00EA16AE"/>
    <w:rsid w:val="00EA20AC"/>
    <w:rsid w:val="00EA4251"/>
    <w:rsid w:val="00EA7D98"/>
    <w:rsid w:val="00EB0BAF"/>
    <w:rsid w:val="00EB0CE0"/>
    <w:rsid w:val="00EB278A"/>
    <w:rsid w:val="00EB2C9C"/>
    <w:rsid w:val="00EB324B"/>
    <w:rsid w:val="00EB3384"/>
    <w:rsid w:val="00EB389F"/>
    <w:rsid w:val="00EB678E"/>
    <w:rsid w:val="00EC1506"/>
    <w:rsid w:val="00EC53D6"/>
    <w:rsid w:val="00EC585E"/>
    <w:rsid w:val="00EC59EE"/>
    <w:rsid w:val="00EC65D1"/>
    <w:rsid w:val="00EC6BA0"/>
    <w:rsid w:val="00ED131B"/>
    <w:rsid w:val="00ED2F23"/>
    <w:rsid w:val="00ED7FAD"/>
    <w:rsid w:val="00EE0693"/>
    <w:rsid w:val="00EE2A19"/>
    <w:rsid w:val="00EE563B"/>
    <w:rsid w:val="00EE5F00"/>
    <w:rsid w:val="00EE65FE"/>
    <w:rsid w:val="00EE6F6E"/>
    <w:rsid w:val="00EE7060"/>
    <w:rsid w:val="00EF0562"/>
    <w:rsid w:val="00EF07F9"/>
    <w:rsid w:val="00EF0A96"/>
    <w:rsid w:val="00EF50E9"/>
    <w:rsid w:val="00EF5458"/>
    <w:rsid w:val="00EF628E"/>
    <w:rsid w:val="00F012FA"/>
    <w:rsid w:val="00F02555"/>
    <w:rsid w:val="00F02680"/>
    <w:rsid w:val="00F034E7"/>
    <w:rsid w:val="00F1049E"/>
    <w:rsid w:val="00F10CE3"/>
    <w:rsid w:val="00F118A5"/>
    <w:rsid w:val="00F12327"/>
    <w:rsid w:val="00F1234D"/>
    <w:rsid w:val="00F12E32"/>
    <w:rsid w:val="00F145F5"/>
    <w:rsid w:val="00F15358"/>
    <w:rsid w:val="00F15851"/>
    <w:rsid w:val="00F15F17"/>
    <w:rsid w:val="00F166E4"/>
    <w:rsid w:val="00F206C6"/>
    <w:rsid w:val="00F218B1"/>
    <w:rsid w:val="00F21B13"/>
    <w:rsid w:val="00F21DFB"/>
    <w:rsid w:val="00F21E3F"/>
    <w:rsid w:val="00F24F9B"/>
    <w:rsid w:val="00F26AEA"/>
    <w:rsid w:val="00F305EE"/>
    <w:rsid w:val="00F32201"/>
    <w:rsid w:val="00F325D3"/>
    <w:rsid w:val="00F32BC1"/>
    <w:rsid w:val="00F34ADC"/>
    <w:rsid w:val="00F35311"/>
    <w:rsid w:val="00F35801"/>
    <w:rsid w:val="00F35E4D"/>
    <w:rsid w:val="00F41863"/>
    <w:rsid w:val="00F43CBE"/>
    <w:rsid w:val="00F46C87"/>
    <w:rsid w:val="00F470C6"/>
    <w:rsid w:val="00F5049E"/>
    <w:rsid w:val="00F50593"/>
    <w:rsid w:val="00F52FB8"/>
    <w:rsid w:val="00F54E59"/>
    <w:rsid w:val="00F600CD"/>
    <w:rsid w:val="00F60835"/>
    <w:rsid w:val="00F60B86"/>
    <w:rsid w:val="00F62098"/>
    <w:rsid w:val="00F67485"/>
    <w:rsid w:val="00F67F4D"/>
    <w:rsid w:val="00F7047A"/>
    <w:rsid w:val="00F70892"/>
    <w:rsid w:val="00F70EBE"/>
    <w:rsid w:val="00F72015"/>
    <w:rsid w:val="00F72029"/>
    <w:rsid w:val="00F72BB4"/>
    <w:rsid w:val="00F738DC"/>
    <w:rsid w:val="00F75F8B"/>
    <w:rsid w:val="00F805BC"/>
    <w:rsid w:val="00F8217A"/>
    <w:rsid w:val="00F82584"/>
    <w:rsid w:val="00F82624"/>
    <w:rsid w:val="00F84E5B"/>
    <w:rsid w:val="00F874BC"/>
    <w:rsid w:val="00F87894"/>
    <w:rsid w:val="00F90364"/>
    <w:rsid w:val="00F90C57"/>
    <w:rsid w:val="00F940B7"/>
    <w:rsid w:val="00F95AF0"/>
    <w:rsid w:val="00F96DD2"/>
    <w:rsid w:val="00F9723D"/>
    <w:rsid w:val="00F972A1"/>
    <w:rsid w:val="00FA1E7F"/>
    <w:rsid w:val="00FA21BB"/>
    <w:rsid w:val="00FA2D91"/>
    <w:rsid w:val="00FA3778"/>
    <w:rsid w:val="00FA4136"/>
    <w:rsid w:val="00FA5A04"/>
    <w:rsid w:val="00FA743F"/>
    <w:rsid w:val="00FB01E2"/>
    <w:rsid w:val="00FB233E"/>
    <w:rsid w:val="00FB4E25"/>
    <w:rsid w:val="00FB5B9A"/>
    <w:rsid w:val="00FB677F"/>
    <w:rsid w:val="00FB7C68"/>
    <w:rsid w:val="00FC009D"/>
    <w:rsid w:val="00FC0E3B"/>
    <w:rsid w:val="00FC1EAB"/>
    <w:rsid w:val="00FC450A"/>
    <w:rsid w:val="00FC549A"/>
    <w:rsid w:val="00FC78EF"/>
    <w:rsid w:val="00FD0B02"/>
    <w:rsid w:val="00FD10AE"/>
    <w:rsid w:val="00FD16F9"/>
    <w:rsid w:val="00FD370D"/>
    <w:rsid w:val="00FD4048"/>
    <w:rsid w:val="00FD4401"/>
    <w:rsid w:val="00FD4F08"/>
    <w:rsid w:val="00FD63B3"/>
    <w:rsid w:val="00FD7393"/>
    <w:rsid w:val="00FE0BD8"/>
    <w:rsid w:val="00FE25DD"/>
    <w:rsid w:val="00FE55F6"/>
    <w:rsid w:val="00FE5816"/>
    <w:rsid w:val="00FE6671"/>
    <w:rsid w:val="00FE76E7"/>
    <w:rsid w:val="00FE7E1E"/>
    <w:rsid w:val="00FF07DE"/>
    <w:rsid w:val="00FF15F7"/>
    <w:rsid w:val="00FF2F8B"/>
    <w:rsid w:val="00FF326D"/>
    <w:rsid w:val="00FF4CCA"/>
    <w:rsid w:val="00FF50CF"/>
    <w:rsid w:val="00FF723E"/>
    <w:rsid w:val="00FF73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2C194"/>
  <w15:chartTrackingRefBased/>
  <w15:docId w15:val="{5955988E-B7E9-407F-9C20-923DF10E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4"/>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
    <w:basedOn w:val="IFTnormal"/>
    <w:next w:val="Normal"/>
    <w:link w:val="Ttulo1Car"/>
    <w:uiPriority w:val="9"/>
    <w:rsid w:val="00FE25DD"/>
    <w:pPr>
      <w:outlineLvl w:val="0"/>
    </w:pPr>
    <w:rPr>
      <w:b/>
      <w:lang w:val="es-ES"/>
    </w:rPr>
  </w:style>
  <w:style w:type="paragraph" w:styleId="Ttulo2">
    <w:name w:val="heading 2"/>
    <w:aliases w:val="2TitSec"/>
    <w:basedOn w:val="Normal"/>
    <w:next w:val="Normal"/>
    <w:link w:val="Ttulo2Car"/>
    <w:uiPriority w:val="9"/>
    <w:unhideWhenUsed/>
    <w:qFormat/>
    <w:rsid w:val="00FE25DD"/>
    <w:pPr>
      <w:keepNext/>
      <w:spacing w:after="200" w:line="276" w:lineRule="auto"/>
      <w:jc w:val="both"/>
      <w:outlineLvl w:val="1"/>
    </w:pPr>
    <w:rPr>
      <w:rFonts w:ascii="ITC Avant Garde" w:eastAsia="Times New Roman" w:hAnsi="ITC Avant Garde" w:cs="Arial"/>
      <w:b/>
      <w:bCs/>
    </w:rPr>
  </w:style>
  <w:style w:type="paragraph" w:styleId="Ttulo3">
    <w:name w:val="heading 3"/>
    <w:aliases w:val="h3"/>
    <w:basedOn w:val="Normal"/>
    <w:next w:val="Normal"/>
    <w:link w:val="Ttulo3Car"/>
    <w:uiPriority w:val="9"/>
    <w:rsid w:val="00FE25DD"/>
    <w:pPr>
      <w:keepNext/>
      <w:spacing w:after="0" w:line="240" w:lineRule="auto"/>
      <w:ind w:left="2630"/>
      <w:jc w:val="both"/>
      <w:outlineLvl w:val="2"/>
    </w:pPr>
    <w:rPr>
      <w:rFonts w:ascii="Arial" w:eastAsia="Times New Roman" w:hAnsi="Arial" w:cs="Times New Roman"/>
      <w:b/>
      <w:bCs/>
      <w:szCs w:val="20"/>
    </w:rPr>
  </w:style>
  <w:style w:type="paragraph" w:styleId="Ttulo4">
    <w:name w:val="heading 4"/>
    <w:basedOn w:val="Normal"/>
    <w:next w:val="Normal"/>
    <w:link w:val="Ttulo4Car"/>
    <w:uiPriority w:val="9"/>
    <w:rsid w:val="00FE25DD"/>
    <w:pPr>
      <w:keepNext/>
      <w:spacing w:before="240" w:after="60" w:line="240" w:lineRule="auto"/>
      <w:jc w:val="both"/>
      <w:outlineLvl w:val="3"/>
    </w:pPr>
    <w:rPr>
      <w:rFonts w:ascii="Times New Roman" w:eastAsia="Times New Roman" w:hAnsi="Times New Roman" w:cs="Times New Roman"/>
      <w:b/>
      <w:bCs/>
      <w:sz w:val="28"/>
      <w:szCs w:val="28"/>
      <w:lang w:eastAsia="es-ES"/>
    </w:rPr>
  </w:style>
  <w:style w:type="paragraph" w:styleId="Ttulo5">
    <w:name w:val="heading 5"/>
    <w:aliases w:val="Considerando,Apartado_sub"/>
    <w:basedOn w:val="Normal"/>
    <w:next w:val="Normal"/>
    <w:link w:val="Ttulo5Car"/>
    <w:rsid w:val="00FE25DD"/>
    <w:pPr>
      <w:keepNext/>
      <w:spacing w:after="0" w:line="240" w:lineRule="auto"/>
      <w:jc w:val="both"/>
      <w:outlineLvl w:val="4"/>
    </w:pPr>
    <w:rPr>
      <w:rFonts w:ascii="Arial" w:eastAsia="Times New Roman" w:hAnsi="Arial" w:cs="Times New Roman"/>
      <w:b/>
      <w:sz w:val="20"/>
      <w:szCs w:val="20"/>
    </w:rPr>
  </w:style>
  <w:style w:type="paragraph" w:styleId="Ttulo6">
    <w:name w:val="heading 6"/>
    <w:basedOn w:val="Normal"/>
    <w:next w:val="Normal"/>
    <w:link w:val="Ttulo6Car"/>
    <w:rsid w:val="00FE25DD"/>
    <w:pPr>
      <w:spacing w:before="240" w:after="60" w:line="240" w:lineRule="auto"/>
      <w:jc w:val="both"/>
      <w:outlineLvl w:val="5"/>
    </w:pPr>
    <w:rPr>
      <w:rFonts w:ascii="Times New Roman" w:eastAsia="Times New Roman" w:hAnsi="Times New Roman" w:cs="Times New Roman"/>
      <w:b/>
      <w:bCs/>
      <w:lang w:eastAsia="es-ES"/>
    </w:rPr>
  </w:style>
  <w:style w:type="paragraph" w:styleId="Ttulo7">
    <w:name w:val="heading 7"/>
    <w:basedOn w:val="Normal"/>
    <w:next w:val="Normal"/>
    <w:link w:val="Ttulo7Car"/>
    <w:rsid w:val="00FE25DD"/>
    <w:pPr>
      <w:spacing w:before="240" w:after="60" w:line="240" w:lineRule="auto"/>
      <w:jc w:val="both"/>
      <w:outlineLvl w:val="6"/>
    </w:pPr>
    <w:rPr>
      <w:rFonts w:ascii="Times New Roman" w:eastAsia="Times New Roman" w:hAnsi="Times New Roman" w:cs="Times New Roman"/>
      <w:sz w:val="24"/>
      <w:szCs w:val="24"/>
      <w:lang w:eastAsia="es-ES"/>
    </w:rPr>
  </w:style>
  <w:style w:type="paragraph" w:styleId="Ttulo8">
    <w:name w:val="heading 8"/>
    <w:basedOn w:val="Normal"/>
    <w:next w:val="Normal"/>
    <w:link w:val="Ttulo8Car"/>
    <w:rsid w:val="00FE25DD"/>
    <w:pPr>
      <w:keepNext/>
      <w:spacing w:after="0" w:line="240" w:lineRule="auto"/>
      <w:jc w:val="center"/>
      <w:outlineLvl w:val="7"/>
    </w:pPr>
    <w:rPr>
      <w:rFonts w:ascii="Arial" w:eastAsia="Times New Roman" w:hAnsi="Arial" w:cs="Times New Roman"/>
      <w:b/>
      <w:szCs w:val="20"/>
      <w:lang w:eastAsia="es-ES"/>
    </w:rPr>
  </w:style>
  <w:style w:type="paragraph" w:styleId="Ttulo9">
    <w:name w:val="heading 9"/>
    <w:aliases w:val="Citaciones"/>
    <w:basedOn w:val="Normal"/>
    <w:next w:val="Normal"/>
    <w:link w:val="Ttulo9Car"/>
    <w:rsid w:val="00FE25DD"/>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
    <w:basedOn w:val="Fuentedeprrafopredeter"/>
    <w:link w:val="Ttulo1"/>
    <w:uiPriority w:val="9"/>
    <w:rsid w:val="00FE25DD"/>
    <w:rPr>
      <w:rFonts w:ascii="ITC Avant Garde" w:eastAsia="Calibri" w:hAnsi="ITC Avant Garde" w:cs="Arial"/>
      <w:b/>
      <w:color w:val="000000"/>
      <w:lang w:val="es-ES" w:eastAsia="es-ES"/>
    </w:rPr>
  </w:style>
  <w:style w:type="character" w:customStyle="1" w:styleId="Ttulo2Car">
    <w:name w:val="Título 2 Car"/>
    <w:aliases w:val="2TitSec Car"/>
    <w:basedOn w:val="Fuentedeprrafopredeter"/>
    <w:link w:val="Ttulo2"/>
    <w:uiPriority w:val="9"/>
    <w:rsid w:val="00FE25DD"/>
    <w:rPr>
      <w:rFonts w:ascii="ITC Avant Garde" w:eastAsia="Times New Roman" w:hAnsi="ITC Avant Garde" w:cs="Arial"/>
      <w:b/>
      <w:bCs/>
    </w:rPr>
  </w:style>
  <w:style w:type="character" w:customStyle="1" w:styleId="Ttulo3Car">
    <w:name w:val="Título 3 Car"/>
    <w:aliases w:val="h3 Car"/>
    <w:basedOn w:val="Fuentedeprrafopredeter"/>
    <w:link w:val="Ttulo3"/>
    <w:uiPriority w:val="9"/>
    <w:rsid w:val="00FE25DD"/>
    <w:rPr>
      <w:rFonts w:ascii="Arial" w:eastAsia="Times New Roman" w:hAnsi="Arial" w:cs="Times New Roman"/>
      <w:b/>
      <w:bCs/>
      <w:szCs w:val="20"/>
    </w:rPr>
  </w:style>
  <w:style w:type="character" w:customStyle="1" w:styleId="Ttulo4Car">
    <w:name w:val="Título 4 Car"/>
    <w:basedOn w:val="Fuentedeprrafopredeter"/>
    <w:link w:val="Ttulo4"/>
    <w:uiPriority w:val="9"/>
    <w:rsid w:val="00FE25DD"/>
    <w:rPr>
      <w:rFonts w:ascii="Times New Roman" w:eastAsia="Times New Roman" w:hAnsi="Times New Roman" w:cs="Times New Roman"/>
      <w:b/>
      <w:bCs/>
      <w:sz w:val="28"/>
      <w:szCs w:val="28"/>
      <w:lang w:eastAsia="es-ES"/>
    </w:rPr>
  </w:style>
  <w:style w:type="character" w:customStyle="1" w:styleId="Ttulo5Car">
    <w:name w:val="Título 5 Car"/>
    <w:aliases w:val="Considerando Car,Apartado_sub Car"/>
    <w:basedOn w:val="Fuentedeprrafopredeter"/>
    <w:link w:val="Ttulo5"/>
    <w:rsid w:val="00FE25DD"/>
    <w:rPr>
      <w:rFonts w:ascii="Arial" w:eastAsia="Times New Roman" w:hAnsi="Arial" w:cs="Times New Roman"/>
      <w:b/>
      <w:sz w:val="20"/>
      <w:szCs w:val="20"/>
    </w:rPr>
  </w:style>
  <w:style w:type="character" w:customStyle="1" w:styleId="Ttulo6Car">
    <w:name w:val="Título 6 Car"/>
    <w:basedOn w:val="Fuentedeprrafopredeter"/>
    <w:link w:val="Ttulo6"/>
    <w:rsid w:val="00FE25DD"/>
    <w:rPr>
      <w:rFonts w:ascii="Times New Roman" w:eastAsia="Times New Roman" w:hAnsi="Times New Roman" w:cs="Times New Roman"/>
      <w:b/>
      <w:bCs/>
      <w:lang w:eastAsia="es-ES"/>
    </w:rPr>
  </w:style>
  <w:style w:type="character" w:customStyle="1" w:styleId="Ttulo7Car">
    <w:name w:val="Título 7 Car"/>
    <w:basedOn w:val="Fuentedeprrafopredeter"/>
    <w:link w:val="Ttulo7"/>
    <w:rsid w:val="00FE25DD"/>
    <w:rPr>
      <w:rFonts w:ascii="Times New Roman" w:eastAsia="Times New Roman" w:hAnsi="Times New Roman" w:cs="Times New Roman"/>
      <w:sz w:val="24"/>
      <w:szCs w:val="24"/>
      <w:lang w:eastAsia="es-ES"/>
    </w:rPr>
  </w:style>
  <w:style w:type="character" w:customStyle="1" w:styleId="Ttulo8Car">
    <w:name w:val="Título 8 Car"/>
    <w:basedOn w:val="Fuentedeprrafopredeter"/>
    <w:link w:val="Ttulo8"/>
    <w:rsid w:val="00FE25DD"/>
    <w:rPr>
      <w:rFonts w:ascii="Arial" w:eastAsia="Times New Roman" w:hAnsi="Arial" w:cs="Times New Roman"/>
      <w:b/>
      <w:szCs w:val="20"/>
      <w:lang w:eastAsia="es-ES"/>
    </w:rPr>
  </w:style>
  <w:style w:type="character" w:customStyle="1" w:styleId="Ttulo9Car">
    <w:name w:val="Título 9 Car"/>
    <w:aliases w:val="Citaciones Car"/>
    <w:basedOn w:val="Fuentedeprrafopredeter"/>
    <w:link w:val="Ttulo9"/>
    <w:rsid w:val="00FE25DD"/>
    <w:rPr>
      <w:rFonts w:ascii="Arial" w:eastAsia="Times New Roman" w:hAnsi="Arial" w:cs="Arial"/>
      <w:lang w:eastAsia="es-ES"/>
    </w:rPr>
  </w:style>
  <w:style w:type="numbering" w:customStyle="1" w:styleId="Sinlista1">
    <w:name w:val="Sin lista1"/>
    <w:next w:val="Sinlista"/>
    <w:uiPriority w:val="99"/>
    <w:semiHidden/>
    <w:unhideWhenUsed/>
    <w:rsid w:val="00FE25DD"/>
  </w:style>
  <w:style w:type="paragraph" w:customStyle="1" w:styleId="Citaift">
    <w:name w:val="Cita ift"/>
    <w:basedOn w:val="Normal"/>
    <w:link w:val="CitaiftCar"/>
    <w:qFormat/>
    <w:rsid w:val="00FE25DD"/>
    <w:pPr>
      <w:adjustRightInd w:val="0"/>
      <w:spacing w:after="200" w:line="276" w:lineRule="auto"/>
      <w:ind w:left="851" w:right="760"/>
      <w:jc w:val="both"/>
    </w:pPr>
    <w:rPr>
      <w:rFonts w:ascii="ITC Avant Garde" w:eastAsia="Times New Roman" w:hAnsi="ITC Avant Garde" w:cs="Arial"/>
      <w:i/>
      <w:color w:val="000000"/>
      <w:sz w:val="18"/>
      <w:szCs w:val="18"/>
      <w:lang w:eastAsia="es-ES"/>
    </w:rPr>
  </w:style>
  <w:style w:type="character" w:customStyle="1" w:styleId="CitaiftCar">
    <w:name w:val="Cita ift Car"/>
    <w:link w:val="Citaift"/>
    <w:rsid w:val="00FE25DD"/>
    <w:rPr>
      <w:rFonts w:ascii="ITC Avant Garde" w:eastAsia="Times New Roman" w:hAnsi="ITC Avant Garde" w:cs="Arial"/>
      <w:i/>
      <w:color w:val="000000"/>
      <w:sz w:val="18"/>
      <w:szCs w:val="18"/>
      <w:lang w:eastAsia="es-ES"/>
    </w:rPr>
  </w:style>
  <w:style w:type="paragraph" w:styleId="Cita">
    <w:name w:val="Quote"/>
    <w:aliases w:val="Bullets cita"/>
    <w:basedOn w:val="Prrafodelista"/>
    <w:next w:val="Normal"/>
    <w:link w:val="CitaCar"/>
    <w:uiPriority w:val="29"/>
    <w:qFormat/>
    <w:rsid w:val="00FE25DD"/>
    <w:pPr>
      <w:numPr>
        <w:numId w:val="3"/>
      </w:numPr>
      <w:ind w:right="616"/>
      <w:jc w:val="both"/>
    </w:pPr>
    <w:rPr>
      <w:rFonts w:ascii="ITC Avant Garde" w:hAnsi="ITC Avant Garde"/>
      <w:i/>
      <w:sz w:val="18"/>
      <w:szCs w:val="18"/>
    </w:rPr>
  </w:style>
  <w:style w:type="character" w:customStyle="1" w:styleId="CitaCar">
    <w:name w:val="Cita Car"/>
    <w:aliases w:val="Bullets cita Car"/>
    <w:basedOn w:val="Fuentedeprrafopredeter"/>
    <w:link w:val="Cita"/>
    <w:uiPriority w:val="29"/>
    <w:rsid w:val="00FE25DD"/>
    <w:rPr>
      <w:rFonts w:ascii="ITC Avant Garde" w:eastAsia="Calibri" w:hAnsi="ITC Avant Garde" w:cs="Times New Roman"/>
      <w:i/>
      <w:sz w:val="18"/>
      <w:szCs w:val="18"/>
    </w:rPr>
  </w:style>
  <w:style w:type="paragraph" w:customStyle="1" w:styleId="IFTnormal">
    <w:name w:val="IFT normal"/>
    <w:basedOn w:val="Normal"/>
    <w:link w:val="IFTnormalCar"/>
    <w:qFormat/>
    <w:rsid w:val="00FE25DD"/>
    <w:pPr>
      <w:spacing w:after="200" w:line="276" w:lineRule="auto"/>
      <w:jc w:val="both"/>
    </w:pPr>
    <w:rPr>
      <w:rFonts w:ascii="ITC Avant Garde" w:eastAsia="Calibri" w:hAnsi="ITC Avant Garde" w:cs="Arial"/>
      <w:color w:val="000000"/>
      <w:lang w:val="es-ES_tradnl" w:eastAsia="es-ES"/>
    </w:rPr>
  </w:style>
  <w:style w:type="paragraph" w:styleId="Listaconvietas">
    <w:name w:val="List Bullet"/>
    <w:aliases w:val="Bullets texto"/>
    <w:basedOn w:val="Normal"/>
    <w:autoRedefine/>
    <w:uiPriority w:val="99"/>
    <w:unhideWhenUsed/>
    <w:qFormat/>
    <w:rsid w:val="00FE25DD"/>
    <w:pPr>
      <w:numPr>
        <w:numId w:val="2"/>
      </w:numPr>
      <w:spacing w:after="200" w:line="276" w:lineRule="auto"/>
      <w:ind w:left="714" w:hanging="357"/>
      <w:jc w:val="both"/>
    </w:pPr>
    <w:rPr>
      <w:rFonts w:ascii="ITC Avant Garde" w:eastAsia="Times New Roman" w:hAnsi="ITC Avant Garde" w:cs="Arial"/>
      <w:iCs/>
    </w:rPr>
  </w:style>
  <w:style w:type="paragraph" w:styleId="Prrafodelista">
    <w:name w:val="List Paragraph"/>
    <w:aliases w:val="4 Viñ 1nivel,Numeración 1,Cuadrícula media 1 - Énfasis 21,Bullet List,FooterText,numbered,List Paragraph1,Paragraphe de liste1,Bulletr List Paragraph,列出段落,列出段落1,Cuadros,Lista general"/>
    <w:basedOn w:val="Normal"/>
    <w:link w:val="PrrafodelistaCar"/>
    <w:uiPriority w:val="34"/>
    <w:qFormat/>
    <w:rsid w:val="00FE25DD"/>
    <w:pPr>
      <w:spacing w:after="200" w:line="276" w:lineRule="auto"/>
      <w:ind w:left="720"/>
      <w:contextualSpacing/>
    </w:pPr>
    <w:rPr>
      <w:rFonts w:ascii="Calibri" w:eastAsia="Calibri" w:hAnsi="Calibri" w:cs="Times New Roman"/>
    </w:rPr>
  </w:style>
  <w:style w:type="paragraph" w:customStyle="1" w:styleId="1TitPrin">
    <w:name w:val="1TitPrin"/>
    <w:basedOn w:val="Ttulo1"/>
    <w:link w:val="1TitPrinCar"/>
    <w:autoRedefine/>
    <w:qFormat/>
    <w:rsid w:val="0044436E"/>
    <w:pPr>
      <w:spacing w:after="0"/>
    </w:pPr>
    <w:rPr>
      <w:lang w:val="es-ES_tradnl"/>
    </w:rPr>
  </w:style>
  <w:style w:type="character" w:customStyle="1" w:styleId="1TitPrinCar">
    <w:name w:val="1TitPrin Car"/>
    <w:link w:val="1TitPrin"/>
    <w:rsid w:val="0044436E"/>
    <w:rPr>
      <w:rFonts w:ascii="ITC Avant Garde" w:eastAsia="Calibri" w:hAnsi="ITC Avant Garde" w:cs="Arial"/>
      <w:b/>
      <w:color w:val="000000"/>
      <w:lang w:val="es-ES_tradnl" w:eastAsia="es-ES"/>
    </w:rPr>
  </w:style>
  <w:style w:type="paragraph" w:customStyle="1" w:styleId="NumeracinIFT">
    <w:name w:val="Numeración IFT"/>
    <w:basedOn w:val="Normal"/>
    <w:link w:val="NumeracinIFTCar"/>
    <w:qFormat/>
    <w:rsid w:val="00FE25DD"/>
    <w:pPr>
      <w:tabs>
        <w:tab w:val="left" w:pos="1134"/>
      </w:tabs>
      <w:adjustRightInd w:val="0"/>
      <w:spacing w:after="200" w:line="276" w:lineRule="auto"/>
      <w:ind w:left="1134" w:hanging="992"/>
      <w:jc w:val="both"/>
    </w:pPr>
    <w:rPr>
      <w:rFonts w:ascii="ITC Avant Garde" w:eastAsia="Calibri" w:hAnsi="ITC Avant Garde" w:cs="Arial"/>
      <w:bCs/>
      <w:lang w:eastAsia="es-ES"/>
    </w:rPr>
  </w:style>
  <w:style w:type="character" w:customStyle="1" w:styleId="NumeracinIFTCar">
    <w:name w:val="Numeración IFT Car"/>
    <w:link w:val="NumeracinIFT"/>
    <w:rsid w:val="00FE25DD"/>
    <w:rPr>
      <w:rFonts w:ascii="ITC Avant Garde" w:eastAsia="Calibri" w:hAnsi="ITC Avant Garde" w:cs="Arial"/>
      <w:bCs/>
      <w:lang w:eastAsia="es-ES"/>
    </w:rPr>
  </w:style>
  <w:style w:type="paragraph" w:styleId="Encabezado">
    <w:name w:val="header"/>
    <w:basedOn w:val="Normal"/>
    <w:link w:val="EncabezadoCar"/>
    <w:unhideWhenUsed/>
    <w:rsid w:val="00FE25DD"/>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rsid w:val="00FE25DD"/>
    <w:rPr>
      <w:rFonts w:ascii="Calibri" w:eastAsia="Calibri" w:hAnsi="Calibri" w:cs="Times New Roman"/>
    </w:rPr>
  </w:style>
  <w:style w:type="paragraph" w:styleId="Piedepgina">
    <w:name w:val="footer"/>
    <w:basedOn w:val="Normal"/>
    <w:link w:val="PiedepginaCar"/>
    <w:uiPriority w:val="99"/>
    <w:unhideWhenUsed/>
    <w:rsid w:val="00FE25DD"/>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FE25DD"/>
    <w:rPr>
      <w:rFonts w:ascii="Calibri" w:eastAsia="Calibri" w:hAnsi="Calibri" w:cs="Times New Roman"/>
    </w:rPr>
  </w:style>
  <w:style w:type="paragraph" w:customStyle="1" w:styleId="Listamulticolor-nfasis11">
    <w:name w:val="Lista multicolor - Énfasis 11"/>
    <w:basedOn w:val="Normal"/>
    <w:link w:val="Listamulticolor-nfasis1Car"/>
    <w:uiPriority w:val="34"/>
    <w:rsid w:val="00FE25DD"/>
    <w:pPr>
      <w:spacing w:after="200" w:line="276" w:lineRule="auto"/>
      <w:ind w:left="720"/>
      <w:contextualSpacing/>
    </w:pPr>
    <w:rPr>
      <w:rFonts w:ascii="Calibri" w:eastAsia="Calibri" w:hAnsi="Calibri" w:cs="Times New Roman"/>
    </w:rPr>
  </w:style>
  <w:style w:type="character" w:styleId="Refdecomentario">
    <w:name w:val="annotation reference"/>
    <w:aliases w:val="Comentarios"/>
    <w:uiPriority w:val="99"/>
    <w:unhideWhenUsed/>
    <w:qFormat/>
    <w:rsid w:val="00FE25DD"/>
    <w:rPr>
      <w:sz w:val="16"/>
      <w:szCs w:val="16"/>
    </w:rPr>
  </w:style>
  <w:style w:type="paragraph" w:styleId="Textocomentario">
    <w:name w:val="annotation text"/>
    <w:basedOn w:val="Normal"/>
    <w:link w:val="TextocomentarioCar"/>
    <w:uiPriority w:val="99"/>
    <w:unhideWhenUsed/>
    <w:qFormat/>
    <w:rsid w:val="00FE25DD"/>
    <w:pPr>
      <w:spacing w:after="200" w:line="240" w:lineRule="auto"/>
    </w:pPr>
    <w:rPr>
      <w:rFonts w:ascii="Calibri" w:eastAsia="Times New Roman" w:hAnsi="Calibri" w:cs="Times New Roman"/>
      <w:sz w:val="20"/>
      <w:szCs w:val="20"/>
      <w:lang w:eastAsia="es-MX"/>
    </w:rPr>
  </w:style>
  <w:style w:type="character" w:customStyle="1" w:styleId="TextocomentarioCar">
    <w:name w:val="Texto comentario Car"/>
    <w:basedOn w:val="Fuentedeprrafopredeter"/>
    <w:link w:val="Textocomentario"/>
    <w:uiPriority w:val="99"/>
    <w:rsid w:val="00FE25DD"/>
    <w:rPr>
      <w:rFonts w:ascii="Calibri" w:eastAsia="Times New Roman" w:hAnsi="Calibri" w:cs="Times New Roman"/>
      <w:sz w:val="20"/>
      <w:szCs w:val="20"/>
      <w:lang w:eastAsia="es-MX"/>
    </w:rPr>
  </w:style>
  <w:style w:type="character" w:customStyle="1" w:styleId="Listamulticolor-nfasis1Car">
    <w:name w:val="Lista multicolor - Énfasis 1 Car"/>
    <w:link w:val="Listamulticolor-nfasis11"/>
    <w:uiPriority w:val="34"/>
    <w:rsid w:val="00FE25DD"/>
    <w:rPr>
      <w:rFonts w:ascii="Calibri" w:eastAsia="Calibri" w:hAnsi="Calibri" w:cs="Times New Roman"/>
    </w:rPr>
  </w:style>
  <w:style w:type="character" w:customStyle="1" w:styleId="PrrafodelistaCar">
    <w:name w:val="Párrafo de lista Car"/>
    <w:aliases w:val="4 Viñ 1nivel Car,Numeración 1 Car,Cuadrícula media 1 - Énfasis 21 Car,Bullet List Car,FooterText Car,numbered Car,List Paragraph1 Car,Paragraphe de liste1 Car,Bulletr List Paragraph Car,列出段落 Car,列出段落1 Car,Cuadros Car"/>
    <w:link w:val="Prrafodelista"/>
    <w:uiPriority w:val="34"/>
    <w:rsid w:val="00FE25DD"/>
    <w:rPr>
      <w:rFonts w:ascii="Calibri" w:eastAsia="Calibri" w:hAnsi="Calibri" w:cs="Times New Roman"/>
    </w:rPr>
  </w:style>
  <w:style w:type="paragraph" w:styleId="Textodeglobo">
    <w:name w:val="Balloon Text"/>
    <w:basedOn w:val="Normal"/>
    <w:link w:val="TextodegloboCar"/>
    <w:uiPriority w:val="99"/>
    <w:unhideWhenUsed/>
    <w:rsid w:val="00FE25DD"/>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rsid w:val="00FE25DD"/>
    <w:rPr>
      <w:rFonts w:ascii="Segoe UI" w:eastAsia="Calibri" w:hAnsi="Segoe UI" w:cs="Segoe UI"/>
      <w:sz w:val="18"/>
      <w:szCs w:val="18"/>
    </w:rPr>
  </w:style>
  <w:style w:type="character" w:styleId="Hipervnculo">
    <w:name w:val="Hyperlink"/>
    <w:basedOn w:val="Fuentedeprrafopredeter"/>
    <w:uiPriority w:val="99"/>
    <w:unhideWhenUsed/>
    <w:rsid w:val="00FE25DD"/>
    <w:rPr>
      <w:color w:val="0563C1" w:themeColor="hyperlink"/>
      <w:u w:val="single"/>
    </w:rPr>
  </w:style>
  <w:style w:type="paragraph" w:styleId="NormalWeb">
    <w:name w:val="Normal (Web)"/>
    <w:basedOn w:val="Normal"/>
    <w:uiPriority w:val="99"/>
    <w:unhideWhenUsed/>
    <w:rsid w:val="00FE25D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FE25DD"/>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aliases w:val="Ref,de nota al pie,(NECG) Footnote Reference,o,fr,Style 3,Appel note de bas de p,Style 12,Style 124,Ref. de nota al pie 2"/>
    <w:uiPriority w:val="99"/>
    <w:unhideWhenUsed/>
    <w:qFormat/>
    <w:rsid w:val="00FE25DD"/>
    <w:rPr>
      <w:vertAlign w:val="superscript"/>
    </w:rPr>
  </w:style>
  <w:style w:type="paragraph" w:customStyle="1" w:styleId="Cuadrculamediana21">
    <w:name w:val="Cuadrícula mediana 21"/>
    <w:uiPriority w:val="1"/>
    <w:rsid w:val="00FE25DD"/>
    <w:pPr>
      <w:spacing w:after="0" w:line="240" w:lineRule="auto"/>
    </w:pPr>
    <w:rPr>
      <w:rFonts w:ascii="Calibri" w:eastAsia="Calibri" w:hAnsi="Calibri" w:cs="Times New Roman"/>
    </w:rPr>
  </w:style>
  <w:style w:type="paragraph" w:styleId="Asuntodelcomentario">
    <w:name w:val="annotation subject"/>
    <w:basedOn w:val="Textocomentario"/>
    <w:next w:val="Textocomentario"/>
    <w:link w:val="AsuntodelcomentarioCar"/>
    <w:uiPriority w:val="99"/>
    <w:unhideWhenUsed/>
    <w:rsid w:val="00FE25DD"/>
    <w:rPr>
      <w:b/>
      <w:bCs/>
    </w:rPr>
  </w:style>
  <w:style w:type="character" w:customStyle="1" w:styleId="AsuntodelcomentarioCar">
    <w:name w:val="Asunto del comentario Car"/>
    <w:basedOn w:val="TextocomentarioCar"/>
    <w:link w:val="Asuntodelcomentario"/>
    <w:uiPriority w:val="99"/>
    <w:rsid w:val="00FE25DD"/>
    <w:rPr>
      <w:rFonts w:ascii="Calibri" w:eastAsia="Times New Roman" w:hAnsi="Calibri" w:cs="Times New Roman"/>
      <w:b/>
      <w:bCs/>
      <w:sz w:val="20"/>
      <w:szCs w:val="20"/>
      <w:lang w:eastAsia="es-MX"/>
    </w:rPr>
  </w:style>
  <w:style w:type="paragraph" w:styleId="Listaconvietas2">
    <w:name w:val="List Bullet 2"/>
    <w:basedOn w:val="Normal"/>
    <w:link w:val="Listaconvietas2Car"/>
    <w:uiPriority w:val="99"/>
    <w:unhideWhenUsed/>
    <w:rsid w:val="00FE25DD"/>
    <w:pPr>
      <w:spacing w:after="200" w:line="276" w:lineRule="auto"/>
      <w:ind w:left="1077" w:hanging="360"/>
      <w:contextualSpacing/>
    </w:pPr>
    <w:rPr>
      <w:rFonts w:ascii="Calibri" w:eastAsia="Calibri" w:hAnsi="Calibri" w:cs="Times New Roman"/>
    </w:rPr>
  </w:style>
  <w:style w:type="character" w:styleId="CitaHTML">
    <w:name w:val="HTML Cite"/>
    <w:uiPriority w:val="99"/>
    <w:semiHidden/>
    <w:unhideWhenUsed/>
    <w:rsid w:val="00FE25DD"/>
    <w:rPr>
      <w:i/>
      <w:iCs/>
    </w:rPr>
  </w:style>
  <w:style w:type="paragraph" w:customStyle="1" w:styleId="Sombreadomulticolor-nfasis11">
    <w:name w:val="Sombreado multicolor - Énfasis 11"/>
    <w:hidden/>
    <w:uiPriority w:val="99"/>
    <w:semiHidden/>
    <w:rsid w:val="00FE25DD"/>
    <w:pPr>
      <w:spacing w:after="0" w:line="240" w:lineRule="auto"/>
    </w:pPr>
    <w:rPr>
      <w:rFonts w:ascii="Calibri" w:eastAsia="Calibri" w:hAnsi="Calibri" w:cs="Times New Roman"/>
    </w:rPr>
  </w:style>
  <w:style w:type="paragraph" w:styleId="Sangradetextonormal">
    <w:name w:val="Body Text Indent"/>
    <w:basedOn w:val="Normal"/>
    <w:link w:val="SangradetextonormalCar"/>
    <w:uiPriority w:val="99"/>
    <w:unhideWhenUsed/>
    <w:rsid w:val="00FE25DD"/>
    <w:pPr>
      <w:spacing w:after="120" w:line="276" w:lineRule="auto"/>
      <w:ind w:left="283"/>
    </w:pPr>
    <w:rPr>
      <w:rFonts w:ascii="Calibri" w:eastAsia="Calibri" w:hAnsi="Calibri" w:cs="Times New Roman"/>
    </w:rPr>
  </w:style>
  <w:style w:type="character" w:customStyle="1" w:styleId="SangradetextonormalCar">
    <w:name w:val="Sangría de texto normal Car"/>
    <w:basedOn w:val="Fuentedeprrafopredeter"/>
    <w:link w:val="Sangradetextonormal"/>
    <w:uiPriority w:val="99"/>
    <w:rsid w:val="00FE25DD"/>
    <w:rPr>
      <w:rFonts w:ascii="Calibri" w:eastAsia="Calibri" w:hAnsi="Calibri" w:cs="Times New Roman"/>
    </w:rPr>
  </w:style>
  <w:style w:type="character" w:styleId="Nmerodepgina">
    <w:name w:val="page number"/>
    <w:rsid w:val="00FE25DD"/>
  </w:style>
  <w:style w:type="paragraph" w:styleId="Subttulo">
    <w:name w:val="Subtitle"/>
    <w:basedOn w:val="Normal"/>
    <w:link w:val="SubttuloCar"/>
    <w:rsid w:val="00FE25DD"/>
    <w:pPr>
      <w:spacing w:after="200" w:line="276" w:lineRule="auto"/>
      <w:jc w:val="both"/>
    </w:pPr>
    <w:rPr>
      <w:rFonts w:ascii="ITC Avant Garde" w:eastAsia="Calibri" w:hAnsi="ITC Avant Garde" w:cs="Times New Roman"/>
      <w:b/>
    </w:rPr>
  </w:style>
  <w:style w:type="character" w:customStyle="1" w:styleId="SubttuloCar">
    <w:name w:val="Subtítulo Car"/>
    <w:basedOn w:val="Fuentedeprrafopredeter"/>
    <w:link w:val="Subttulo"/>
    <w:rsid w:val="00FE25DD"/>
    <w:rPr>
      <w:rFonts w:ascii="ITC Avant Garde" w:eastAsia="Calibri" w:hAnsi="ITC Avant Garde" w:cs="Times New Roman"/>
      <w:b/>
    </w:rPr>
  </w:style>
  <w:style w:type="paragraph" w:styleId="Textosinformato">
    <w:name w:val="Plain Text"/>
    <w:basedOn w:val="Normal"/>
    <w:link w:val="TextosinformatoCar"/>
    <w:rsid w:val="00FE25DD"/>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E25DD"/>
    <w:rPr>
      <w:rFonts w:ascii="Courier New" w:eastAsia="Times New Roman" w:hAnsi="Courier New" w:cs="Courier New"/>
      <w:sz w:val="20"/>
      <w:szCs w:val="20"/>
      <w:lang w:eastAsia="es-ES"/>
    </w:rPr>
  </w:style>
  <w:style w:type="character" w:styleId="Hipervnculovisitado">
    <w:name w:val="FollowedHyperlink"/>
    <w:uiPriority w:val="99"/>
    <w:rsid w:val="00FE25DD"/>
    <w:rPr>
      <w:color w:val="800080"/>
      <w:u w:val="single"/>
    </w:rPr>
  </w:style>
  <w:style w:type="paragraph" w:styleId="Lista">
    <w:name w:val="List"/>
    <w:basedOn w:val="Normal"/>
    <w:rsid w:val="00FE25DD"/>
    <w:pPr>
      <w:spacing w:after="0" w:line="240" w:lineRule="auto"/>
      <w:ind w:left="283" w:hanging="283"/>
    </w:pPr>
    <w:rPr>
      <w:rFonts w:ascii="Times New Roman" w:eastAsia="Times New Roman" w:hAnsi="Times New Roman" w:cs="Times New Roman"/>
      <w:sz w:val="24"/>
      <w:szCs w:val="24"/>
      <w:lang w:val="es-ES" w:eastAsia="es-ES"/>
    </w:rPr>
  </w:style>
  <w:style w:type="paragraph" w:styleId="Encabezadodemensaje">
    <w:name w:val="Message Header"/>
    <w:basedOn w:val="Normal"/>
    <w:link w:val="EncabezadodemensajeCar"/>
    <w:rsid w:val="00FE25D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E25DD"/>
    <w:rPr>
      <w:rFonts w:ascii="Arial" w:eastAsia="Times New Roman" w:hAnsi="Arial" w:cs="Arial"/>
      <w:sz w:val="24"/>
      <w:szCs w:val="24"/>
      <w:shd w:val="pct20" w:color="auto" w:fill="auto"/>
      <w:lang w:val="es-ES" w:eastAsia="es-ES"/>
    </w:rPr>
  </w:style>
  <w:style w:type="paragraph" w:styleId="Continuarlista">
    <w:name w:val="List Continue"/>
    <w:basedOn w:val="Normal"/>
    <w:rsid w:val="00FE25DD"/>
    <w:pPr>
      <w:spacing w:after="120" w:line="240" w:lineRule="auto"/>
      <w:ind w:left="283"/>
    </w:pPr>
    <w:rPr>
      <w:rFonts w:ascii="Times New Roman" w:eastAsia="Times New Roman" w:hAnsi="Times New Roman" w:cs="Times New Roman"/>
      <w:sz w:val="24"/>
      <w:szCs w:val="24"/>
      <w:lang w:val="es-ES" w:eastAsia="es-ES"/>
    </w:rPr>
  </w:style>
  <w:style w:type="paragraph" w:styleId="Listaconnmeros">
    <w:name w:val="List Number"/>
    <w:basedOn w:val="Normal"/>
    <w:uiPriority w:val="99"/>
    <w:rsid w:val="00FE25DD"/>
    <w:pPr>
      <w:tabs>
        <w:tab w:val="num" w:pos="360"/>
      </w:tabs>
      <w:spacing w:after="240" w:line="320" w:lineRule="atLeast"/>
      <w:ind w:left="360" w:hanging="360"/>
      <w:contextualSpacing/>
      <w:jc w:val="both"/>
    </w:pPr>
    <w:rPr>
      <w:rFonts w:ascii="Times New Roman" w:eastAsia="Calibri" w:hAnsi="Times New Roman" w:cs="Times New Roman"/>
      <w:lang w:val="es-ES"/>
    </w:rPr>
  </w:style>
  <w:style w:type="character" w:customStyle="1" w:styleId="Listaconvietas2Car">
    <w:name w:val="Lista con viñetas 2 Car"/>
    <w:link w:val="Listaconvietas2"/>
    <w:uiPriority w:val="99"/>
    <w:rsid w:val="00FE25DD"/>
    <w:rPr>
      <w:rFonts w:ascii="Calibri" w:eastAsia="Calibri" w:hAnsi="Calibri" w:cs="Times New Roman"/>
    </w:rPr>
  </w:style>
  <w:style w:type="numbering" w:styleId="1ai">
    <w:name w:val="Outline List 1"/>
    <w:basedOn w:val="Sinlista"/>
    <w:uiPriority w:val="99"/>
    <w:unhideWhenUsed/>
    <w:rsid w:val="00FE25DD"/>
    <w:pPr>
      <w:numPr>
        <w:numId w:val="1"/>
      </w:numPr>
    </w:pPr>
  </w:style>
  <w:style w:type="table" w:styleId="Tablaclsica2">
    <w:name w:val="Table Classic 2"/>
    <w:basedOn w:val="Tablanormal"/>
    <w:rsid w:val="00FE25DD"/>
    <w:pPr>
      <w:spacing w:after="0" w:line="240" w:lineRule="auto"/>
      <w:jc w:val="both"/>
    </w:pPr>
    <w:rPr>
      <w:rFonts w:ascii="Times New Roman" w:eastAsia="Times New Roman" w:hAnsi="Times New Roman" w:cs="Times New Roman"/>
      <w:sz w:val="20"/>
      <w:szCs w:val="20"/>
      <w:lang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E25DD"/>
    <w:pPr>
      <w:spacing w:after="0" w:line="240" w:lineRule="auto"/>
      <w:jc w:val="both"/>
    </w:pPr>
    <w:rPr>
      <w:rFonts w:ascii="Times New Roman" w:eastAsia="Times New Roman" w:hAnsi="Times New Roman" w:cs="Times New Roman"/>
      <w:sz w:val="20"/>
      <w:szCs w:val="20"/>
      <w:lang w:eastAsia="es-E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FE25DD"/>
    <w:pPr>
      <w:spacing w:after="0" w:line="240" w:lineRule="auto"/>
      <w:jc w:val="both"/>
    </w:pPr>
    <w:rPr>
      <w:rFonts w:ascii="Times New Roman" w:eastAsia="Times New Roman" w:hAnsi="Times New Roman" w:cs="Times New Roman"/>
      <w:color w:val="000080"/>
      <w:sz w:val="20"/>
      <w:szCs w:val="20"/>
      <w:lang w:eastAsia="es-E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uadrculamedia3-nfasis1">
    <w:name w:val="Medium Grid 3 Accent 1"/>
    <w:basedOn w:val="Tablanormal"/>
    <w:uiPriority w:val="64"/>
    <w:rsid w:val="00FE25DD"/>
    <w:pPr>
      <w:spacing w:after="0" w:line="240" w:lineRule="auto"/>
    </w:pPr>
    <w:rPr>
      <w:rFonts w:ascii="Calibri" w:eastAsia="Calibri" w:hAnsi="Calibri" w:cs="Times New Roman"/>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inespaciado">
    <w:name w:val="No Spacing"/>
    <w:uiPriority w:val="1"/>
    <w:qFormat/>
    <w:rsid w:val="00FE25DD"/>
    <w:pPr>
      <w:spacing w:after="0" w:line="240" w:lineRule="auto"/>
    </w:pPr>
    <w:rPr>
      <w:rFonts w:ascii="Calibri" w:eastAsia="Calibri" w:hAnsi="Calibri" w:cs="Times New Roman"/>
    </w:rPr>
  </w:style>
  <w:style w:type="paragraph" w:styleId="Revisin">
    <w:name w:val="Revision"/>
    <w:hidden/>
    <w:uiPriority w:val="99"/>
    <w:semiHidden/>
    <w:rsid w:val="00FE25DD"/>
    <w:pPr>
      <w:spacing w:after="0" w:line="240" w:lineRule="auto"/>
    </w:pPr>
    <w:rPr>
      <w:rFonts w:ascii="Calibri" w:eastAsia="Calibri" w:hAnsi="Calibri" w:cs="Times New Roman"/>
    </w:rPr>
  </w:style>
  <w:style w:type="paragraph" w:customStyle="1" w:styleId="PuntosC4">
    <w:name w:val="PuntosC4"/>
    <w:basedOn w:val="Normal"/>
    <w:link w:val="PuntosC4Car"/>
    <w:qFormat/>
    <w:rsid w:val="00FE25DD"/>
    <w:pPr>
      <w:spacing w:after="200" w:line="276" w:lineRule="auto"/>
      <w:ind w:left="716" w:hanging="432"/>
      <w:jc w:val="both"/>
    </w:pPr>
    <w:rPr>
      <w:rFonts w:ascii="ITC Avant Garde" w:eastAsia="Times New Roman" w:hAnsi="ITC Avant Garde" w:cs="Arial"/>
      <w:b/>
      <w:iCs/>
    </w:rPr>
  </w:style>
  <w:style w:type="paragraph" w:customStyle="1" w:styleId="Niv2Bullets">
    <w:name w:val="Niv2Bullets"/>
    <w:basedOn w:val="IFTnormal"/>
    <w:next w:val="IFTnormal"/>
    <w:autoRedefine/>
    <w:qFormat/>
    <w:rsid w:val="00FE25DD"/>
    <w:pPr>
      <w:numPr>
        <w:ilvl w:val="1"/>
        <w:numId w:val="2"/>
      </w:numPr>
      <w:ind w:left="1434" w:hanging="357"/>
      <w:contextualSpacing/>
      <w:outlineLvl w:val="1"/>
    </w:pPr>
  </w:style>
  <w:style w:type="paragraph" w:customStyle="1" w:styleId="ApartadoSub">
    <w:name w:val="ApartadoSub"/>
    <w:basedOn w:val="Normal"/>
    <w:qFormat/>
    <w:rsid w:val="00FE25DD"/>
    <w:pPr>
      <w:spacing w:after="200" w:line="276" w:lineRule="auto"/>
      <w:jc w:val="both"/>
    </w:pPr>
    <w:rPr>
      <w:rFonts w:ascii="ITC Avant Garde" w:eastAsia="Calibri" w:hAnsi="ITC Avant Garde" w:cs="Times New Roman"/>
      <w:u w:val="single"/>
    </w:rPr>
  </w:style>
  <w:style w:type="paragraph" w:customStyle="1" w:styleId="ListaCitaOtras">
    <w:name w:val="ListaCitaOtras"/>
    <w:basedOn w:val="Citaift"/>
    <w:link w:val="ListaCitaOtrasCar"/>
    <w:qFormat/>
    <w:rsid w:val="00FE25DD"/>
    <w:pPr>
      <w:numPr>
        <w:numId w:val="4"/>
      </w:numPr>
      <w:ind w:left="1570" w:hanging="357"/>
    </w:pPr>
  </w:style>
  <w:style w:type="character" w:customStyle="1" w:styleId="ListaCitaOtrasCar">
    <w:name w:val="ListaCitaOtras Car"/>
    <w:basedOn w:val="CitaiftCar"/>
    <w:link w:val="ListaCitaOtras"/>
    <w:rsid w:val="00FE25DD"/>
    <w:rPr>
      <w:rFonts w:ascii="ITC Avant Garde" w:eastAsia="Times New Roman" w:hAnsi="ITC Avant Garde" w:cs="Arial"/>
      <w:i/>
      <w:color w:val="000000"/>
      <w:sz w:val="18"/>
      <w:szCs w:val="18"/>
      <w:lang w:eastAsia="es-ES"/>
    </w:rPr>
  </w:style>
  <w:style w:type="paragraph" w:customStyle="1" w:styleId="Titulo1">
    <w:name w:val="Titulo 1"/>
    <w:basedOn w:val="Prrafodelista"/>
    <w:next w:val="Normal"/>
    <w:qFormat/>
    <w:rsid w:val="00FE25DD"/>
    <w:pPr>
      <w:adjustRightInd w:val="0"/>
      <w:spacing w:after="0" w:line="240" w:lineRule="auto"/>
      <w:ind w:left="0"/>
      <w:jc w:val="both"/>
    </w:pPr>
    <w:rPr>
      <w:rFonts w:ascii="ITC Avant Garde" w:eastAsia="Times New Roman" w:hAnsi="ITC Avant Garde" w:cs="Arial"/>
      <w:b/>
      <w:bCs/>
      <w:color w:val="000000"/>
      <w:lang w:val="es-ES" w:eastAsia="es-ES"/>
    </w:rPr>
  </w:style>
  <w:style w:type="table" w:styleId="Sombreadomedio2-nfasis1">
    <w:name w:val="Medium Shading 2 Accent 1"/>
    <w:basedOn w:val="Tablanormal"/>
    <w:uiPriority w:val="64"/>
    <w:rsid w:val="00FE25DD"/>
    <w:pPr>
      <w:spacing w:after="0" w:line="240" w:lineRule="auto"/>
    </w:pPr>
    <w:rPr>
      <w:rFonts w:ascii="Calibri" w:eastAsia="Calibri" w:hAnsi="Calibri" w:cs="Times New Roman"/>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Listavistosa-nfasis1Car">
    <w:name w:val="Lista vistosa - Énfasis 1 Car"/>
    <w:link w:val="Listavistosa-nfasis1"/>
    <w:uiPriority w:val="34"/>
    <w:semiHidden/>
    <w:rsid w:val="00FE25DD"/>
    <w:rPr>
      <w:sz w:val="22"/>
      <w:szCs w:val="22"/>
      <w:lang w:eastAsia="en-US"/>
    </w:rPr>
  </w:style>
  <w:style w:type="table" w:styleId="Listavistosa-nfasis1">
    <w:name w:val="Colorful List Accent 1"/>
    <w:basedOn w:val="Tablanormal"/>
    <w:link w:val="Listavistosa-nfasis1Car"/>
    <w:uiPriority w:val="34"/>
    <w:semiHidden/>
    <w:unhideWhenUsed/>
    <w:rsid w:val="00FE25DD"/>
    <w:pPr>
      <w:spacing w:after="0" w:line="240" w:lineRule="auto"/>
    </w:p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PuntosC5">
    <w:name w:val="PuntosC5"/>
    <w:basedOn w:val="PuntosC4"/>
    <w:link w:val="PuntosC5Car"/>
    <w:qFormat/>
    <w:rsid w:val="00FE25DD"/>
    <w:pPr>
      <w:ind w:left="792"/>
    </w:pPr>
  </w:style>
  <w:style w:type="paragraph" w:customStyle="1" w:styleId="Niv2C4">
    <w:name w:val="Niv2C4"/>
    <w:basedOn w:val="Subttulo"/>
    <w:link w:val="Niv2C4Car"/>
    <w:qFormat/>
    <w:rsid w:val="00FE25DD"/>
    <w:pPr>
      <w:ind w:left="1224" w:hanging="504"/>
    </w:pPr>
  </w:style>
  <w:style w:type="character" w:customStyle="1" w:styleId="PuntosC4Car">
    <w:name w:val="PuntosC4 Car"/>
    <w:basedOn w:val="Fuentedeprrafopredeter"/>
    <w:link w:val="PuntosC4"/>
    <w:rsid w:val="00FE25DD"/>
    <w:rPr>
      <w:rFonts w:ascii="ITC Avant Garde" w:eastAsia="Times New Roman" w:hAnsi="ITC Avant Garde" w:cs="Arial"/>
      <w:b/>
      <w:iCs/>
    </w:rPr>
  </w:style>
  <w:style w:type="character" w:customStyle="1" w:styleId="PuntosC5Car">
    <w:name w:val="PuntosC5 Car"/>
    <w:basedOn w:val="PuntosC4Car"/>
    <w:link w:val="PuntosC5"/>
    <w:rsid w:val="00FE25DD"/>
    <w:rPr>
      <w:rFonts w:ascii="ITC Avant Garde" w:eastAsia="Times New Roman" w:hAnsi="ITC Avant Garde" w:cs="Arial"/>
      <w:b/>
      <w:iCs/>
    </w:rPr>
  </w:style>
  <w:style w:type="paragraph" w:customStyle="1" w:styleId="Niv3C4">
    <w:name w:val="Niv3C4"/>
    <w:basedOn w:val="Subttulo"/>
    <w:link w:val="Niv3C4Car"/>
    <w:qFormat/>
    <w:rsid w:val="00FE25DD"/>
    <w:pPr>
      <w:ind w:left="1925" w:hanging="648"/>
    </w:pPr>
  </w:style>
  <w:style w:type="paragraph" w:customStyle="1" w:styleId="TxtListado">
    <w:name w:val="TxtListado"/>
    <w:basedOn w:val="Normal"/>
    <w:qFormat/>
    <w:rsid w:val="00FE25DD"/>
    <w:pPr>
      <w:spacing w:after="200" w:line="276" w:lineRule="auto"/>
    </w:pPr>
    <w:rPr>
      <w:rFonts w:ascii="ITC Avant Garde" w:eastAsia="Calibri" w:hAnsi="ITC Avant Garde" w:cs="Times New Roman"/>
      <w:sz w:val="20"/>
      <w:szCs w:val="20"/>
      <w:lang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unhideWhenUsed/>
    <w:qFormat/>
    <w:rsid w:val="00FE25DD"/>
    <w:pPr>
      <w:spacing w:after="0" w:line="240" w:lineRule="auto"/>
    </w:pPr>
    <w:rPr>
      <w:rFonts w:ascii="Calibri" w:eastAsia="Calibri" w:hAnsi="Calibri" w:cs="Times New Roman"/>
      <w:sz w:val="20"/>
      <w:szCs w:val="20"/>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E25DD"/>
    <w:rPr>
      <w:rFonts w:ascii="Calibri" w:eastAsia="Calibri" w:hAnsi="Calibri" w:cs="Times New Roman"/>
      <w:sz w:val="20"/>
      <w:szCs w:val="20"/>
    </w:rPr>
  </w:style>
  <w:style w:type="paragraph" w:styleId="Mapadeldocumento">
    <w:name w:val="Document Map"/>
    <w:basedOn w:val="Normal"/>
    <w:link w:val="MapadeldocumentoCar"/>
    <w:semiHidden/>
    <w:unhideWhenUsed/>
    <w:rsid w:val="00FE25DD"/>
    <w:pPr>
      <w:spacing w:after="0" w:line="240" w:lineRule="auto"/>
    </w:pPr>
    <w:rPr>
      <w:rFonts w:ascii="Lucida Grande" w:eastAsia="Calibri" w:hAnsi="Lucida Grande" w:cs="Lucida Grande"/>
      <w:sz w:val="24"/>
      <w:szCs w:val="24"/>
    </w:rPr>
  </w:style>
  <w:style w:type="character" w:customStyle="1" w:styleId="MapadeldocumentoCar">
    <w:name w:val="Mapa del documento Car"/>
    <w:basedOn w:val="Fuentedeprrafopredeter"/>
    <w:link w:val="Mapadeldocumento"/>
    <w:semiHidden/>
    <w:rsid w:val="00FE25DD"/>
    <w:rPr>
      <w:rFonts w:ascii="Lucida Grande" w:eastAsia="Calibri" w:hAnsi="Lucida Grande" w:cs="Lucida Grande"/>
      <w:sz w:val="24"/>
      <w:szCs w:val="24"/>
    </w:rPr>
  </w:style>
  <w:style w:type="paragraph" w:customStyle="1" w:styleId="Texto">
    <w:name w:val="Texto"/>
    <w:basedOn w:val="Normal"/>
    <w:link w:val="TextoCar"/>
    <w:rsid w:val="00FE25DD"/>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FE25DD"/>
    <w:rPr>
      <w:rFonts w:ascii="Arial" w:eastAsia="Times New Roman" w:hAnsi="Arial" w:cs="Arial"/>
      <w:sz w:val="18"/>
      <w:szCs w:val="20"/>
      <w:lang w:val="es-ES" w:eastAsia="es-ES"/>
    </w:rPr>
  </w:style>
  <w:style w:type="paragraph" w:customStyle="1" w:styleId="z">
    <w:name w:val="z"/>
    <w:basedOn w:val="Normal"/>
    <w:link w:val="zCar"/>
    <w:qFormat/>
    <w:rsid w:val="00FE25DD"/>
    <w:pPr>
      <w:spacing w:after="200" w:line="276" w:lineRule="auto"/>
      <w:jc w:val="both"/>
    </w:pPr>
    <w:rPr>
      <w:rFonts w:ascii="ITC Avant Garde" w:eastAsia="Times New Roman" w:hAnsi="ITC Avant Garde" w:cs="Times New Roman"/>
      <w:iCs/>
    </w:rPr>
  </w:style>
  <w:style w:type="character" w:customStyle="1" w:styleId="zCar">
    <w:name w:val="z Car"/>
    <w:link w:val="z"/>
    <w:rsid w:val="00FE25DD"/>
    <w:rPr>
      <w:rFonts w:ascii="ITC Avant Garde" w:eastAsia="Times New Roman" w:hAnsi="ITC Avant Garde" w:cs="Times New Roman"/>
      <w:iCs/>
    </w:rPr>
  </w:style>
  <w:style w:type="paragraph" w:customStyle="1" w:styleId="Default">
    <w:name w:val="Default"/>
    <w:rsid w:val="00FE25DD"/>
    <w:pPr>
      <w:autoSpaceDE w:val="0"/>
      <w:autoSpaceDN w:val="0"/>
      <w:adjustRightInd w:val="0"/>
      <w:spacing w:after="0" w:line="240" w:lineRule="auto"/>
    </w:pPr>
    <w:rPr>
      <w:rFonts w:ascii="ITC Avant Garde" w:hAnsi="ITC Avant Garde" w:cs="ITC Avant Garde"/>
      <w:color w:val="000000"/>
      <w:sz w:val="24"/>
      <w:szCs w:val="24"/>
    </w:rPr>
  </w:style>
  <w:style w:type="paragraph" w:styleId="Textoindependiente3">
    <w:name w:val="Body Text 3"/>
    <w:basedOn w:val="Normal"/>
    <w:link w:val="Textoindependiente3Car"/>
    <w:unhideWhenUsed/>
    <w:rsid w:val="00FE25DD"/>
    <w:pPr>
      <w:spacing w:after="120" w:line="276" w:lineRule="auto"/>
    </w:pPr>
    <w:rPr>
      <w:rFonts w:ascii="Calibri" w:eastAsia="Calibri" w:hAnsi="Calibri" w:cs="Times New Roman"/>
      <w:sz w:val="16"/>
      <w:szCs w:val="16"/>
    </w:rPr>
  </w:style>
  <w:style w:type="character" w:customStyle="1" w:styleId="Textoindependiente3Car">
    <w:name w:val="Texto independiente 3 Car"/>
    <w:basedOn w:val="Fuentedeprrafopredeter"/>
    <w:link w:val="Textoindependiente3"/>
    <w:rsid w:val="00FE25DD"/>
    <w:rPr>
      <w:rFonts w:ascii="Calibri" w:eastAsia="Calibri" w:hAnsi="Calibri" w:cs="Times New Roman"/>
      <w:sz w:val="16"/>
      <w:szCs w:val="16"/>
    </w:rPr>
  </w:style>
  <w:style w:type="paragraph" w:customStyle="1" w:styleId="CondicionesFinales">
    <w:name w:val="CondicionesFinales"/>
    <w:basedOn w:val="Citaift"/>
    <w:qFormat/>
    <w:rsid w:val="00FE25DD"/>
    <w:rPr>
      <w:bCs/>
      <w:i w:val="0"/>
      <w:sz w:val="22"/>
      <w:szCs w:val="22"/>
      <w:lang w:val="es-ES_tradnl"/>
    </w:rPr>
  </w:style>
  <w:style w:type="character" w:styleId="nfasis">
    <w:name w:val="Emphasis"/>
    <w:aliases w:val="Título 4 (1.1.1)"/>
    <w:uiPriority w:val="20"/>
    <w:qFormat/>
    <w:rsid w:val="00FE25DD"/>
    <w:rPr>
      <w:rFonts w:ascii="Arial" w:eastAsia="Times New Roman" w:hAnsi="Arial" w:cs="Times New Roman"/>
      <w:b w:val="0"/>
      <w:bCs/>
      <w:caps w:val="0"/>
      <w:smallCaps w:val="0"/>
      <w:strike w:val="0"/>
      <w:dstrike w:val="0"/>
      <w:vanish w:val="0"/>
      <w:color w:val="auto"/>
      <w:sz w:val="22"/>
      <w:szCs w:val="28"/>
      <w:u w:val="single"/>
      <w:vertAlign w:val="baseline"/>
      <w:lang w:val="es-MX"/>
    </w:rPr>
  </w:style>
  <w:style w:type="paragraph" w:customStyle="1" w:styleId="ecxmsonormal">
    <w:name w:val="ecxmsonormal"/>
    <w:basedOn w:val="Normal"/>
    <w:uiPriority w:val="99"/>
    <w:rsid w:val="00544C14"/>
    <w:pPr>
      <w:spacing w:after="324" w:line="276" w:lineRule="auto"/>
      <w:jc w:val="both"/>
    </w:pPr>
    <w:rPr>
      <w:rFonts w:ascii="Arial" w:eastAsia="Calibri" w:hAnsi="Arial" w:cs="Arial"/>
    </w:rPr>
  </w:style>
  <w:style w:type="character" w:customStyle="1" w:styleId="IFTnormalCar">
    <w:name w:val="IFT normal Car"/>
    <w:basedOn w:val="Fuentedeprrafopredeter"/>
    <w:link w:val="IFTnormal"/>
    <w:rsid w:val="00C94809"/>
    <w:rPr>
      <w:rFonts w:ascii="ITC Avant Garde" w:eastAsia="Calibri" w:hAnsi="ITC Avant Garde" w:cs="Arial"/>
      <w:color w:val="000000"/>
      <w:lang w:val="es-ES_tradnl" w:eastAsia="es-ES"/>
    </w:rPr>
  </w:style>
  <w:style w:type="paragraph" w:customStyle="1" w:styleId="03TitPrin">
    <w:name w:val="03TitPrin"/>
    <w:basedOn w:val="Niv3C4"/>
    <w:next w:val="Niv3C4"/>
    <w:link w:val="03TitPrinCar"/>
    <w:autoRedefine/>
    <w:qFormat/>
    <w:rsid w:val="00F24F9B"/>
    <w:pPr>
      <w:tabs>
        <w:tab w:val="left" w:pos="992"/>
        <w:tab w:val="left" w:pos="1276"/>
      </w:tabs>
      <w:spacing w:before="120"/>
      <w:ind w:left="648"/>
      <w:jc w:val="left"/>
    </w:pPr>
  </w:style>
  <w:style w:type="paragraph" w:customStyle="1" w:styleId="LosOdioAtodos">
    <w:name w:val="LosOdioAtodos"/>
    <w:basedOn w:val="Niv3C4"/>
    <w:link w:val="LosOdioAtodosCar"/>
    <w:qFormat/>
    <w:rsid w:val="00F21DFB"/>
    <w:pPr>
      <w:tabs>
        <w:tab w:val="left" w:pos="851"/>
        <w:tab w:val="left" w:pos="1276"/>
      </w:tabs>
      <w:outlineLvl w:val="2"/>
    </w:pPr>
  </w:style>
  <w:style w:type="character" w:customStyle="1" w:styleId="Niv3C4Car">
    <w:name w:val="Niv3C4 Car"/>
    <w:basedOn w:val="SubttuloCar"/>
    <w:link w:val="Niv3C4"/>
    <w:rsid w:val="00132489"/>
    <w:rPr>
      <w:rFonts w:ascii="ITC Avant Garde" w:eastAsia="Calibri" w:hAnsi="ITC Avant Garde" w:cs="Times New Roman"/>
      <w:b/>
    </w:rPr>
  </w:style>
  <w:style w:type="character" w:customStyle="1" w:styleId="03TitPrinCar">
    <w:name w:val="03TitPrin Car"/>
    <w:basedOn w:val="Niv3C4Car"/>
    <w:link w:val="03TitPrin"/>
    <w:rsid w:val="00F24F9B"/>
    <w:rPr>
      <w:rFonts w:ascii="ITC Avant Garde" w:eastAsia="Calibri" w:hAnsi="ITC Avant Garde" w:cs="Times New Roman"/>
      <w:b/>
    </w:rPr>
  </w:style>
  <w:style w:type="paragraph" w:styleId="TDC1">
    <w:name w:val="toc 1"/>
    <w:basedOn w:val="Normal"/>
    <w:next w:val="Normal"/>
    <w:autoRedefine/>
    <w:uiPriority w:val="39"/>
    <w:unhideWhenUsed/>
    <w:rsid w:val="007E241F"/>
    <w:pPr>
      <w:spacing w:after="100"/>
    </w:pPr>
  </w:style>
  <w:style w:type="paragraph" w:styleId="TDC2">
    <w:name w:val="toc 2"/>
    <w:basedOn w:val="Normal"/>
    <w:next w:val="Normal"/>
    <w:autoRedefine/>
    <w:uiPriority w:val="39"/>
    <w:unhideWhenUsed/>
    <w:rsid w:val="007E241F"/>
    <w:pPr>
      <w:spacing w:after="100"/>
      <w:ind w:left="220"/>
    </w:pPr>
  </w:style>
  <w:style w:type="paragraph" w:styleId="TDC3">
    <w:name w:val="toc 3"/>
    <w:basedOn w:val="Normal"/>
    <w:next w:val="Normal"/>
    <w:autoRedefine/>
    <w:uiPriority w:val="39"/>
    <w:unhideWhenUsed/>
    <w:rsid w:val="00562A5E"/>
    <w:pPr>
      <w:tabs>
        <w:tab w:val="left" w:pos="1540"/>
        <w:tab w:val="right" w:leader="dot" w:pos="8828"/>
      </w:tabs>
      <w:spacing w:after="100"/>
      <w:ind w:left="440"/>
    </w:pPr>
  </w:style>
  <w:style w:type="paragraph" w:customStyle="1" w:styleId="5TitCin">
    <w:name w:val="5TitCin"/>
    <w:basedOn w:val="LosOdioAtodos"/>
    <w:link w:val="5TitCinCar"/>
    <w:autoRedefine/>
    <w:qFormat/>
    <w:rsid w:val="000B2230"/>
    <w:pPr>
      <w:numPr>
        <w:numId w:val="6"/>
      </w:numPr>
      <w:tabs>
        <w:tab w:val="left" w:pos="709"/>
        <w:tab w:val="left" w:pos="1134"/>
      </w:tabs>
      <w:outlineLvl w:val="3"/>
    </w:pPr>
    <w:rPr>
      <w:b w:val="0"/>
    </w:rPr>
  </w:style>
  <w:style w:type="paragraph" w:customStyle="1" w:styleId="RIFT">
    <w:name w:val="R_IFT"/>
    <w:basedOn w:val="Ttulo2"/>
    <w:link w:val="RIFTCar"/>
    <w:qFormat/>
    <w:rsid w:val="002051DF"/>
  </w:style>
  <w:style w:type="character" w:customStyle="1" w:styleId="LosOdioAtodosCar">
    <w:name w:val="LosOdioAtodos Car"/>
    <w:basedOn w:val="Niv3C4Car"/>
    <w:link w:val="LosOdioAtodos"/>
    <w:rsid w:val="007E241F"/>
    <w:rPr>
      <w:rFonts w:ascii="ITC Avant Garde" w:eastAsia="Calibri" w:hAnsi="ITC Avant Garde" w:cs="Times New Roman"/>
      <w:b/>
    </w:rPr>
  </w:style>
  <w:style w:type="character" w:customStyle="1" w:styleId="5TitCinCar">
    <w:name w:val="5TitCin Car"/>
    <w:basedOn w:val="LosOdioAtodosCar"/>
    <w:link w:val="5TitCin"/>
    <w:rsid w:val="000B2230"/>
    <w:rPr>
      <w:rFonts w:ascii="ITC Avant Garde" w:eastAsia="Calibri" w:hAnsi="ITC Avant Garde" w:cs="Times New Roman"/>
      <w:b w:val="0"/>
    </w:rPr>
  </w:style>
  <w:style w:type="paragraph" w:customStyle="1" w:styleId="4TitCuar">
    <w:name w:val="4TitCuar"/>
    <w:basedOn w:val="Niv3C4"/>
    <w:link w:val="4TitCuarCar"/>
    <w:autoRedefine/>
    <w:qFormat/>
    <w:rsid w:val="006139C4"/>
    <w:pPr>
      <w:tabs>
        <w:tab w:val="left" w:pos="709"/>
        <w:tab w:val="left" w:leader="underscore" w:pos="1134"/>
      </w:tabs>
      <w:spacing w:after="0"/>
      <w:ind w:left="0" w:firstLine="0"/>
      <w:outlineLvl w:val="2"/>
    </w:pPr>
    <w:rPr>
      <w:b w:val="0"/>
    </w:rPr>
  </w:style>
  <w:style w:type="character" w:customStyle="1" w:styleId="RIFTCar">
    <w:name w:val="R_IFT Car"/>
    <w:basedOn w:val="Ttulo2Car"/>
    <w:link w:val="RIFT"/>
    <w:rsid w:val="002051DF"/>
    <w:rPr>
      <w:rFonts w:ascii="ITC Avant Garde" w:eastAsia="Times New Roman" w:hAnsi="ITC Avant Garde" w:cs="Arial"/>
      <w:b/>
      <w:bCs/>
    </w:rPr>
  </w:style>
  <w:style w:type="paragraph" w:customStyle="1" w:styleId="R2N4C4">
    <w:name w:val="R2N4C4"/>
    <w:basedOn w:val="4TitCuar"/>
    <w:link w:val="R2N4C4Car"/>
    <w:rsid w:val="008116C9"/>
    <w:pPr>
      <w:outlineLvl w:val="3"/>
    </w:pPr>
  </w:style>
  <w:style w:type="character" w:customStyle="1" w:styleId="4TitCuarCar">
    <w:name w:val="4TitCuar Car"/>
    <w:basedOn w:val="Niv3C4Car"/>
    <w:link w:val="4TitCuar"/>
    <w:rsid w:val="006139C4"/>
    <w:rPr>
      <w:rFonts w:ascii="ITC Avant Garde" w:eastAsia="Calibri" w:hAnsi="ITC Avant Garde" w:cs="Times New Roman"/>
      <w:b w:val="0"/>
    </w:rPr>
  </w:style>
  <w:style w:type="paragraph" w:customStyle="1" w:styleId="3TitTer">
    <w:name w:val="3TitTer"/>
    <w:basedOn w:val="Niv2C4"/>
    <w:link w:val="3TitTerCar"/>
    <w:autoRedefine/>
    <w:qFormat/>
    <w:rsid w:val="00A467F9"/>
    <w:pPr>
      <w:ind w:left="0" w:firstLine="0"/>
      <w:outlineLvl w:val="1"/>
    </w:pPr>
  </w:style>
  <w:style w:type="character" w:customStyle="1" w:styleId="R2N4C4Car">
    <w:name w:val="R2N4C4 Car"/>
    <w:basedOn w:val="4TitCuarCar"/>
    <w:link w:val="R2N4C4"/>
    <w:rsid w:val="008116C9"/>
    <w:rPr>
      <w:rFonts w:ascii="ITC Avant Garde" w:eastAsia="Calibri" w:hAnsi="ITC Avant Garde" w:cs="Times New Roman"/>
      <w:b w:val="0"/>
    </w:rPr>
  </w:style>
  <w:style w:type="paragraph" w:customStyle="1" w:styleId="01TitPrin">
    <w:name w:val="01TitPrin"/>
    <w:basedOn w:val="Ttulo1"/>
    <w:link w:val="01TitPrinCar"/>
    <w:autoRedefine/>
    <w:qFormat/>
    <w:rsid w:val="001446EA"/>
  </w:style>
  <w:style w:type="character" w:customStyle="1" w:styleId="Niv2C4Car">
    <w:name w:val="Niv2C4 Car"/>
    <w:basedOn w:val="SubttuloCar"/>
    <w:link w:val="Niv2C4"/>
    <w:rsid w:val="009A3DB1"/>
    <w:rPr>
      <w:rFonts w:ascii="ITC Avant Garde" w:eastAsia="Calibri" w:hAnsi="ITC Avant Garde" w:cs="Times New Roman"/>
      <w:b/>
    </w:rPr>
  </w:style>
  <w:style w:type="character" w:customStyle="1" w:styleId="3TitTerCar">
    <w:name w:val="3TitTer Car"/>
    <w:basedOn w:val="Niv2C4Car"/>
    <w:link w:val="3TitTer"/>
    <w:rsid w:val="00A467F9"/>
    <w:rPr>
      <w:rFonts w:ascii="ITC Avant Garde" w:eastAsia="Calibri" w:hAnsi="ITC Avant Garde" w:cs="Times New Roman"/>
      <w:b/>
    </w:rPr>
  </w:style>
  <w:style w:type="character" w:customStyle="1" w:styleId="01TitPrinCar">
    <w:name w:val="01TitPrin Car"/>
    <w:link w:val="01TitPrin"/>
    <w:rsid w:val="001446EA"/>
    <w:rPr>
      <w:rFonts w:ascii="ITC Avant Garde" w:eastAsia="Calibri" w:hAnsi="ITC Avant Garde" w:cs="Arial"/>
      <w:b/>
      <w:color w:val="000000"/>
      <w:lang w:val="es-ES" w:eastAsia="es-ES"/>
    </w:rPr>
  </w:style>
  <w:style w:type="paragraph" w:customStyle="1" w:styleId="N1IFT">
    <w:name w:val="N1 IFT"/>
    <w:basedOn w:val="Ttulo1"/>
    <w:autoRedefine/>
    <w:qFormat/>
    <w:rsid w:val="00DC04A1"/>
    <w:pPr>
      <w:ind w:left="792" w:hanging="432"/>
    </w:pPr>
  </w:style>
  <w:style w:type="paragraph" w:customStyle="1" w:styleId="T2IFT">
    <w:name w:val="T2 IFT"/>
    <w:basedOn w:val="Niv2C4"/>
    <w:autoRedefine/>
    <w:qFormat/>
    <w:rsid w:val="00DC04A1"/>
    <w:pPr>
      <w:jc w:val="left"/>
      <w:outlineLvl w:val="1"/>
    </w:pPr>
  </w:style>
  <w:style w:type="paragraph" w:styleId="TDC4">
    <w:name w:val="toc 4"/>
    <w:basedOn w:val="Normal"/>
    <w:next w:val="Normal"/>
    <w:autoRedefine/>
    <w:uiPriority w:val="39"/>
    <w:unhideWhenUsed/>
    <w:rsid w:val="00562A5E"/>
    <w:pPr>
      <w:spacing w:after="100"/>
      <w:ind w:left="660"/>
    </w:pPr>
  </w:style>
  <w:style w:type="paragraph" w:styleId="TDC5">
    <w:name w:val="toc 5"/>
    <w:basedOn w:val="Normal"/>
    <w:next w:val="Normal"/>
    <w:autoRedefine/>
    <w:uiPriority w:val="39"/>
    <w:unhideWhenUsed/>
    <w:rsid w:val="00562A5E"/>
    <w:pPr>
      <w:spacing w:after="100"/>
      <w:ind w:left="880"/>
    </w:pPr>
    <w:rPr>
      <w:rFonts w:eastAsiaTheme="minorEastAsia"/>
      <w:lang w:val="en-US"/>
    </w:rPr>
  </w:style>
  <w:style w:type="paragraph" w:styleId="TDC6">
    <w:name w:val="toc 6"/>
    <w:basedOn w:val="Normal"/>
    <w:next w:val="Normal"/>
    <w:autoRedefine/>
    <w:uiPriority w:val="39"/>
    <w:unhideWhenUsed/>
    <w:rsid w:val="00562A5E"/>
    <w:pPr>
      <w:spacing w:after="100"/>
      <w:ind w:left="1100"/>
    </w:pPr>
    <w:rPr>
      <w:rFonts w:eastAsiaTheme="minorEastAsia"/>
      <w:lang w:val="en-US"/>
    </w:rPr>
  </w:style>
  <w:style w:type="paragraph" w:styleId="TDC7">
    <w:name w:val="toc 7"/>
    <w:basedOn w:val="Normal"/>
    <w:next w:val="Normal"/>
    <w:autoRedefine/>
    <w:uiPriority w:val="39"/>
    <w:unhideWhenUsed/>
    <w:rsid w:val="00562A5E"/>
    <w:pPr>
      <w:spacing w:after="100"/>
      <w:ind w:left="1320"/>
    </w:pPr>
    <w:rPr>
      <w:rFonts w:eastAsiaTheme="minorEastAsia"/>
      <w:lang w:val="en-US"/>
    </w:rPr>
  </w:style>
  <w:style w:type="paragraph" w:styleId="TDC8">
    <w:name w:val="toc 8"/>
    <w:basedOn w:val="Normal"/>
    <w:next w:val="Normal"/>
    <w:autoRedefine/>
    <w:uiPriority w:val="39"/>
    <w:unhideWhenUsed/>
    <w:rsid w:val="00562A5E"/>
    <w:pPr>
      <w:spacing w:after="100"/>
      <w:ind w:left="1540"/>
    </w:pPr>
    <w:rPr>
      <w:rFonts w:eastAsiaTheme="minorEastAsia"/>
      <w:lang w:val="en-US"/>
    </w:rPr>
  </w:style>
  <w:style w:type="paragraph" w:styleId="TDC9">
    <w:name w:val="toc 9"/>
    <w:basedOn w:val="Normal"/>
    <w:next w:val="Normal"/>
    <w:autoRedefine/>
    <w:uiPriority w:val="39"/>
    <w:unhideWhenUsed/>
    <w:rsid w:val="00562A5E"/>
    <w:pPr>
      <w:spacing w:after="100"/>
      <w:ind w:left="1760"/>
    </w:pPr>
    <w:rPr>
      <w:rFonts w:eastAsiaTheme="minorEastAsia"/>
      <w:lang w:val="en-US"/>
    </w:rPr>
  </w:style>
  <w:style w:type="paragraph" w:styleId="Ttulo">
    <w:name w:val="Title"/>
    <w:basedOn w:val="Normal"/>
    <w:next w:val="Normal"/>
    <w:link w:val="TtuloCar"/>
    <w:uiPriority w:val="10"/>
    <w:qFormat/>
    <w:rsid w:val="007F5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045"/>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7F5045"/>
    <w:rPr>
      <w:i/>
      <w:iCs/>
      <w:color w:val="404040" w:themeColor="text1" w:themeTint="BF"/>
    </w:rPr>
  </w:style>
  <w:style w:type="paragraph" w:styleId="Textoindependiente">
    <w:name w:val="Body Text"/>
    <w:basedOn w:val="Normal"/>
    <w:link w:val="TextoindependienteCar"/>
    <w:uiPriority w:val="99"/>
    <w:unhideWhenUsed/>
    <w:rsid w:val="004720EE"/>
    <w:pPr>
      <w:spacing w:after="120"/>
    </w:pPr>
  </w:style>
  <w:style w:type="character" w:customStyle="1" w:styleId="TextoindependienteCar">
    <w:name w:val="Texto independiente Car"/>
    <w:basedOn w:val="Fuentedeprrafopredeter"/>
    <w:link w:val="Textoindependiente"/>
    <w:uiPriority w:val="99"/>
    <w:rsid w:val="004720EE"/>
  </w:style>
  <w:style w:type="paragraph" w:styleId="Textoindependiente2">
    <w:name w:val="Body Text 2"/>
    <w:basedOn w:val="Normal"/>
    <w:link w:val="Textoindependiente2Car"/>
    <w:uiPriority w:val="99"/>
    <w:semiHidden/>
    <w:unhideWhenUsed/>
    <w:rsid w:val="0006257C"/>
    <w:pPr>
      <w:spacing w:after="120" w:line="480" w:lineRule="auto"/>
    </w:pPr>
  </w:style>
  <w:style w:type="character" w:customStyle="1" w:styleId="Textoindependiente2Car">
    <w:name w:val="Texto independiente 2 Car"/>
    <w:basedOn w:val="Fuentedeprrafopredeter"/>
    <w:link w:val="Textoindependiente2"/>
    <w:uiPriority w:val="99"/>
    <w:semiHidden/>
    <w:rsid w:val="0006257C"/>
  </w:style>
  <w:style w:type="character" w:customStyle="1" w:styleId="IFT1Car">
    <w:name w:val="IFT 1 Car"/>
    <w:basedOn w:val="Fuentedeprrafopredeter"/>
    <w:link w:val="IFT1"/>
    <w:locked/>
    <w:rsid w:val="00D44547"/>
    <w:rPr>
      <w:rFonts w:ascii="ITC Avant Garde" w:hAnsi="ITC Avant Garde"/>
    </w:rPr>
  </w:style>
  <w:style w:type="paragraph" w:customStyle="1" w:styleId="IFT1">
    <w:name w:val="IFT 1"/>
    <w:basedOn w:val="Normal"/>
    <w:link w:val="IFT1Car"/>
    <w:rsid w:val="00D44547"/>
    <w:pPr>
      <w:spacing w:after="200" w:line="276" w:lineRule="auto"/>
      <w:jc w:val="both"/>
    </w:pPr>
    <w:rPr>
      <w:rFonts w:ascii="ITC Avant Garde" w:hAnsi="ITC Avant Garde"/>
    </w:rPr>
  </w:style>
  <w:style w:type="paragraph" w:styleId="Textodebloque">
    <w:name w:val="Block Text"/>
    <w:basedOn w:val="Normal"/>
    <w:uiPriority w:val="99"/>
    <w:unhideWhenUsed/>
    <w:rsid w:val="000A1E8D"/>
    <w:pPr>
      <w:spacing w:after="0" w:line="276" w:lineRule="auto"/>
      <w:ind w:left="851" w:right="615"/>
      <w:jc w:val="both"/>
    </w:pPr>
    <w:rPr>
      <w:rFonts w:ascii="ITC Avant Garde" w:eastAsia="Times New Roman" w:hAnsi="ITC Avant Garde" w:cs="Arial"/>
      <w:bCs/>
      <w:i/>
      <w:iCs/>
      <w:sz w:val="18"/>
      <w:szCs w:val="18"/>
      <w:lang w:val="es-ES_tradnl"/>
    </w:rPr>
  </w:style>
  <w:style w:type="character" w:customStyle="1" w:styleId="IFTTextoCar">
    <w:name w:val="IFT Texto Car"/>
    <w:basedOn w:val="Fuentedeprrafopredeter"/>
    <w:link w:val="IFTTexto"/>
    <w:locked/>
    <w:rsid w:val="00E859AB"/>
    <w:rPr>
      <w:rFonts w:ascii="ITC Avant Garde" w:hAnsi="ITC Avant Garde"/>
      <w:color w:val="000000"/>
      <w:lang w:eastAsia="es-ES"/>
    </w:rPr>
  </w:style>
  <w:style w:type="paragraph" w:customStyle="1" w:styleId="IFTTexto">
    <w:name w:val="IFT Texto"/>
    <w:basedOn w:val="Normal"/>
    <w:link w:val="IFTTextoCar"/>
    <w:rsid w:val="00E859AB"/>
    <w:pPr>
      <w:spacing w:after="200" w:line="276" w:lineRule="auto"/>
      <w:jc w:val="both"/>
    </w:pPr>
    <w:rPr>
      <w:rFonts w:ascii="ITC Avant Garde" w:hAnsi="ITC Avant Garde"/>
      <w:color w:val="000000"/>
      <w:lang w:eastAsia="es-ES"/>
    </w:rPr>
  </w:style>
  <w:style w:type="paragraph" w:customStyle="1" w:styleId="estilo30">
    <w:name w:val="estilo30"/>
    <w:basedOn w:val="Normal"/>
    <w:rsid w:val="00BF23C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Body">
    <w:name w:val="Body"/>
    <w:rsid w:val="00AF2BCB"/>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CO"/>
    </w:rPr>
  </w:style>
  <w:style w:type="character" w:customStyle="1" w:styleId="apple-converted-space">
    <w:name w:val="apple-converted-space"/>
    <w:basedOn w:val="Fuentedeprrafopredeter"/>
    <w:rsid w:val="007D6C0C"/>
  </w:style>
  <w:style w:type="character" w:styleId="Textoennegrita">
    <w:name w:val="Strong"/>
    <w:basedOn w:val="Fuentedeprrafopredeter"/>
    <w:uiPriority w:val="22"/>
    <w:qFormat/>
    <w:rsid w:val="003043E5"/>
    <w:rPr>
      <w:b/>
      <w:bCs/>
    </w:rPr>
  </w:style>
  <w:style w:type="table" w:styleId="Cuadrculadetablaclara">
    <w:name w:val="Grid Table Light"/>
    <w:basedOn w:val="Tablanormal"/>
    <w:uiPriority w:val="40"/>
    <w:rsid w:val="00BC7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1711">
      <w:bodyDiv w:val="1"/>
      <w:marLeft w:val="0"/>
      <w:marRight w:val="0"/>
      <w:marTop w:val="0"/>
      <w:marBottom w:val="0"/>
      <w:divBdr>
        <w:top w:val="none" w:sz="0" w:space="0" w:color="auto"/>
        <w:left w:val="none" w:sz="0" w:space="0" w:color="auto"/>
        <w:bottom w:val="none" w:sz="0" w:space="0" w:color="auto"/>
        <w:right w:val="none" w:sz="0" w:space="0" w:color="auto"/>
      </w:divBdr>
    </w:div>
    <w:div w:id="48652094">
      <w:bodyDiv w:val="1"/>
      <w:marLeft w:val="0"/>
      <w:marRight w:val="0"/>
      <w:marTop w:val="0"/>
      <w:marBottom w:val="0"/>
      <w:divBdr>
        <w:top w:val="none" w:sz="0" w:space="0" w:color="auto"/>
        <w:left w:val="none" w:sz="0" w:space="0" w:color="auto"/>
        <w:bottom w:val="none" w:sz="0" w:space="0" w:color="auto"/>
        <w:right w:val="none" w:sz="0" w:space="0" w:color="auto"/>
      </w:divBdr>
    </w:div>
    <w:div w:id="102847242">
      <w:bodyDiv w:val="1"/>
      <w:marLeft w:val="0"/>
      <w:marRight w:val="0"/>
      <w:marTop w:val="0"/>
      <w:marBottom w:val="0"/>
      <w:divBdr>
        <w:top w:val="none" w:sz="0" w:space="0" w:color="auto"/>
        <w:left w:val="none" w:sz="0" w:space="0" w:color="auto"/>
        <w:bottom w:val="none" w:sz="0" w:space="0" w:color="auto"/>
        <w:right w:val="none" w:sz="0" w:space="0" w:color="auto"/>
      </w:divBdr>
    </w:div>
    <w:div w:id="110559409">
      <w:bodyDiv w:val="1"/>
      <w:marLeft w:val="0"/>
      <w:marRight w:val="0"/>
      <w:marTop w:val="0"/>
      <w:marBottom w:val="0"/>
      <w:divBdr>
        <w:top w:val="none" w:sz="0" w:space="0" w:color="auto"/>
        <w:left w:val="none" w:sz="0" w:space="0" w:color="auto"/>
        <w:bottom w:val="none" w:sz="0" w:space="0" w:color="auto"/>
        <w:right w:val="none" w:sz="0" w:space="0" w:color="auto"/>
      </w:divBdr>
    </w:div>
    <w:div w:id="115568522">
      <w:bodyDiv w:val="1"/>
      <w:marLeft w:val="0"/>
      <w:marRight w:val="0"/>
      <w:marTop w:val="0"/>
      <w:marBottom w:val="0"/>
      <w:divBdr>
        <w:top w:val="none" w:sz="0" w:space="0" w:color="auto"/>
        <w:left w:val="none" w:sz="0" w:space="0" w:color="auto"/>
        <w:bottom w:val="none" w:sz="0" w:space="0" w:color="auto"/>
        <w:right w:val="none" w:sz="0" w:space="0" w:color="auto"/>
      </w:divBdr>
    </w:div>
    <w:div w:id="347491422">
      <w:bodyDiv w:val="1"/>
      <w:marLeft w:val="0"/>
      <w:marRight w:val="0"/>
      <w:marTop w:val="0"/>
      <w:marBottom w:val="0"/>
      <w:divBdr>
        <w:top w:val="none" w:sz="0" w:space="0" w:color="auto"/>
        <w:left w:val="none" w:sz="0" w:space="0" w:color="auto"/>
        <w:bottom w:val="none" w:sz="0" w:space="0" w:color="auto"/>
        <w:right w:val="none" w:sz="0" w:space="0" w:color="auto"/>
      </w:divBdr>
    </w:div>
    <w:div w:id="469247001">
      <w:bodyDiv w:val="1"/>
      <w:marLeft w:val="0"/>
      <w:marRight w:val="0"/>
      <w:marTop w:val="0"/>
      <w:marBottom w:val="0"/>
      <w:divBdr>
        <w:top w:val="none" w:sz="0" w:space="0" w:color="auto"/>
        <w:left w:val="none" w:sz="0" w:space="0" w:color="auto"/>
        <w:bottom w:val="none" w:sz="0" w:space="0" w:color="auto"/>
        <w:right w:val="none" w:sz="0" w:space="0" w:color="auto"/>
      </w:divBdr>
    </w:div>
    <w:div w:id="673652369">
      <w:bodyDiv w:val="1"/>
      <w:marLeft w:val="0"/>
      <w:marRight w:val="0"/>
      <w:marTop w:val="0"/>
      <w:marBottom w:val="0"/>
      <w:divBdr>
        <w:top w:val="none" w:sz="0" w:space="0" w:color="auto"/>
        <w:left w:val="none" w:sz="0" w:space="0" w:color="auto"/>
        <w:bottom w:val="none" w:sz="0" w:space="0" w:color="auto"/>
        <w:right w:val="none" w:sz="0" w:space="0" w:color="auto"/>
      </w:divBdr>
    </w:div>
    <w:div w:id="963536717">
      <w:bodyDiv w:val="1"/>
      <w:marLeft w:val="0"/>
      <w:marRight w:val="0"/>
      <w:marTop w:val="0"/>
      <w:marBottom w:val="0"/>
      <w:divBdr>
        <w:top w:val="none" w:sz="0" w:space="0" w:color="auto"/>
        <w:left w:val="none" w:sz="0" w:space="0" w:color="auto"/>
        <w:bottom w:val="none" w:sz="0" w:space="0" w:color="auto"/>
        <w:right w:val="none" w:sz="0" w:space="0" w:color="auto"/>
      </w:divBdr>
    </w:div>
    <w:div w:id="1020618858">
      <w:bodyDiv w:val="1"/>
      <w:marLeft w:val="0"/>
      <w:marRight w:val="0"/>
      <w:marTop w:val="0"/>
      <w:marBottom w:val="0"/>
      <w:divBdr>
        <w:top w:val="none" w:sz="0" w:space="0" w:color="auto"/>
        <w:left w:val="none" w:sz="0" w:space="0" w:color="auto"/>
        <w:bottom w:val="none" w:sz="0" w:space="0" w:color="auto"/>
        <w:right w:val="none" w:sz="0" w:space="0" w:color="auto"/>
      </w:divBdr>
    </w:div>
    <w:div w:id="1090737627">
      <w:bodyDiv w:val="1"/>
      <w:marLeft w:val="0"/>
      <w:marRight w:val="0"/>
      <w:marTop w:val="0"/>
      <w:marBottom w:val="0"/>
      <w:divBdr>
        <w:top w:val="none" w:sz="0" w:space="0" w:color="auto"/>
        <w:left w:val="none" w:sz="0" w:space="0" w:color="auto"/>
        <w:bottom w:val="none" w:sz="0" w:space="0" w:color="auto"/>
        <w:right w:val="none" w:sz="0" w:space="0" w:color="auto"/>
      </w:divBdr>
    </w:div>
    <w:div w:id="1350370600">
      <w:bodyDiv w:val="1"/>
      <w:marLeft w:val="0"/>
      <w:marRight w:val="0"/>
      <w:marTop w:val="0"/>
      <w:marBottom w:val="0"/>
      <w:divBdr>
        <w:top w:val="none" w:sz="0" w:space="0" w:color="auto"/>
        <w:left w:val="none" w:sz="0" w:space="0" w:color="auto"/>
        <w:bottom w:val="none" w:sz="0" w:space="0" w:color="auto"/>
        <w:right w:val="none" w:sz="0" w:space="0" w:color="auto"/>
      </w:divBdr>
    </w:div>
    <w:div w:id="1488476441">
      <w:bodyDiv w:val="1"/>
      <w:marLeft w:val="0"/>
      <w:marRight w:val="0"/>
      <w:marTop w:val="0"/>
      <w:marBottom w:val="0"/>
      <w:divBdr>
        <w:top w:val="none" w:sz="0" w:space="0" w:color="auto"/>
        <w:left w:val="none" w:sz="0" w:space="0" w:color="auto"/>
        <w:bottom w:val="none" w:sz="0" w:space="0" w:color="auto"/>
        <w:right w:val="none" w:sz="0" w:space="0" w:color="auto"/>
      </w:divBdr>
    </w:div>
    <w:div w:id="1498304725">
      <w:bodyDiv w:val="1"/>
      <w:marLeft w:val="0"/>
      <w:marRight w:val="0"/>
      <w:marTop w:val="0"/>
      <w:marBottom w:val="0"/>
      <w:divBdr>
        <w:top w:val="none" w:sz="0" w:space="0" w:color="auto"/>
        <w:left w:val="none" w:sz="0" w:space="0" w:color="auto"/>
        <w:bottom w:val="none" w:sz="0" w:space="0" w:color="auto"/>
        <w:right w:val="none" w:sz="0" w:space="0" w:color="auto"/>
      </w:divBdr>
    </w:div>
    <w:div w:id="1858809061">
      <w:bodyDiv w:val="1"/>
      <w:marLeft w:val="0"/>
      <w:marRight w:val="0"/>
      <w:marTop w:val="0"/>
      <w:marBottom w:val="0"/>
      <w:divBdr>
        <w:top w:val="none" w:sz="0" w:space="0" w:color="auto"/>
        <w:left w:val="none" w:sz="0" w:space="0" w:color="auto"/>
        <w:bottom w:val="none" w:sz="0" w:space="0" w:color="auto"/>
        <w:right w:val="none" w:sz="0" w:space="0" w:color="auto"/>
      </w:divBdr>
    </w:div>
    <w:div w:id="1872257036">
      <w:bodyDiv w:val="1"/>
      <w:marLeft w:val="0"/>
      <w:marRight w:val="0"/>
      <w:marTop w:val="0"/>
      <w:marBottom w:val="0"/>
      <w:divBdr>
        <w:top w:val="none" w:sz="0" w:space="0" w:color="auto"/>
        <w:left w:val="none" w:sz="0" w:space="0" w:color="auto"/>
        <w:bottom w:val="none" w:sz="0" w:space="0" w:color="auto"/>
        <w:right w:val="none" w:sz="0" w:space="0" w:color="auto"/>
      </w:divBdr>
    </w:div>
    <w:div w:id="1917519983">
      <w:bodyDiv w:val="1"/>
      <w:marLeft w:val="0"/>
      <w:marRight w:val="0"/>
      <w:marTop w:val="0"/>
      <w:marBottom w:val="0"/>
      <w:divBdr>
        <w:top w:val="none" w:sz="0" w:space="0" w:color="auto"/>
        <w:left w:val="none" w:sz="0" w:space="0" w:color="auto"/>
        <w:bottom w:val="none" w:sz="0" w:space="0" w:color="auto"/>
        <w:right w:val="none" w:sz="0" w:space="0" w:color="auto"/>
      </w:divBdr>
    </w:div>
    <w:div w:id="1928539479">
      <w:bodyDiv w:val="1"/>
      <w:marLeft w:val="0"/>
      <w:marRight w:val="0"/>
      <w:marTop w:val="0"/>
      <w:marBottom w:val="0"/>
      <w:divBdr>
        <w:top w:val="none" w:sz="0" w:space="0" w:color="auto"/>
        <w:left w:val="none" w:sz="0" w:space="0" w:color="auto"/>
        <w:bottom w:val="none" w:sz="0" w:space="0" w:color="auto"/>
        <w:right w:val="none" w:sz="0" w:space="0" w:color="auto"/>
      </w:divBdr>
    </w:div>
    <w:div w:id="1935359888">
      <w:bodyDiv w:val="1"/>
      <w:marLeft w:val="0"/>
      <w:marRight w:val="0"/>
      <w:marTop w:val="0"/>
      <w:marBottom w:val="0"/>
      <w:divBdr>
        <w:top w:val="none" w:sz="0" w:space="0" w:color="auto"/>
        <w:left w:val="none" w:sz="0" w:space="0" w:color="auto"/>
        <w:bottom w:val="none" w:sz="0" w:space="0" w:color="auto"/>
        <w:right w:val="none" w:sz="0" w:space="0" w:color="auto"/>
      </w:divBdr>
    </w:div>
    <w:div w:id="2005009819">
      <w:bodyDiv w:val="1"/>
      <w:marLeft w:val="0"/>
      <w:marRight w:val="0"/>
      <w:marTop w:val="0"/>
      <w:marBottom w:val="0"/>
      <w:divBdr>
        <w:top w:val="none" w:sz="0" w:space="0" w:color="auto"/>
        <w:left w:val="none" w:sz="0" w:space="0" w:color="auto"/>
        <w:bottom w:val="none" w:sz="0" w:space="0" w:color="auto"/>
        <w:right w:val="none" w:sz="0" w:space="0" w:color="auto"/>
      </w:divBdr>
    </w:div>
    <w:div w:id="2096707970">
      <w:bodyDiv w:val="1"/>
      <w:marLeft w:val="0"/>
      <w:marRight w:val="0"/>
      <w:marTop w:val="0"/>
      <w:marBottom w:val="0"/>
      <w:divBdr>
        <w:top w:val="none" w:sz="0" w:space="0" w:color="auto"/>
        <w:left w:val="none" w:sz="0" w:space="0" w:color="auto"/>
        <w:bottom w:val="none" w:sz="0" w:space="0" w:color="auto"/>
        <w:right w:val="none" w:sz="0" w:space="0" w:color="auto"/>
      </w:divBdr>
    </w:div>
    <w:div w:id="211871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EEB889474DA94B9F68B747786921B0" ma:contentTypeVersion="0" ma:contentTypeDescription="Crear nuevo documento." ma:contentTypeScope="" ma:versionID="6aa9e511fcafbab5f2ef084e2d0bfd3a">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A6733-1F8F-4E0F-8017-1F3099928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B87EB86-902F-4E87-BA57-95A75C91E47A}">
  <ds:schemaRefs>
    <ds:schemaRef ds:uri="http://schemas.microsoft.com/sharepoint/v3/contenttype/forms"/>
  </ds:schemaRefs>
</ds:datastoreItem>
</file>

<file path=customXml/itemProps3.xml><?xml version="1.0" encoding="utf-8"?>
<ds:datastoreItem xmlns:ds="http://schemas.openxmlformats.org/officeDocument/2006/customXml" ds:itemID="{36463AB4-5C73-405A-B8CD-0FF68FE4FB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E7337B-7068-489A-955A-9F2A65F8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7821</Words>
  <Characters>43021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Daniela Alvarez Isidro</dc:creator>
  <cp:keywords/>
  <dc:description/>
  <cp:lastModifiedBy>Maria del Consuelo Gonzalez Moreno</cp:lastModifiedBy>
  <cp:revision>12</cp:revision>
  <cp:lastPrinted>2018-01-25T16:51:00Z</cp:lastPrinted>
  <dcterms:created xsi:type="dcterms:W3CDTF">2018-01-24T20:41:00Z</dcterms:created>
  <dcterms:modified xsi:type="dcterms:W3CDTF">2018-02-06T17:08:00Z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0x010100ECEEB889474DA94B9F68B747786921B0</vt:lpwstr>
  </property>
</Properties>
</file>