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AE113" w14:textId="77777777" w:rsidR="008F129A" w:rsidRPr="008F129A" w:rsidRDefault="004A0EA8" w:rsidP="008F129A">
      <w:pPr>
        <w:pStyle w:val="Ttulo1"/>
        <w:spacing w:after="240" w:line="240" w:lineRule="auto"/>
        <w:jc w:val="both"/>
        <w:rPr>
          <w:rFonts w:ascii="ITC Avant Garde" w:hAnsi="ITC Avant Garde"/>
          <w:b/>
          <w:color w:val="000000" w:themeColor="text1"/>
          <w:sz w:val="22"/>
          <w:szCs w:val="22"/>
          <w:lang w:eastAsia="es-MX"/>
        </w:rPr>
      </w:pPr>
      <w:r w:rsidRPr="008F129A">
        <w:rPr>
          <w:rFonts w:ascii="ITC Avant Garde" w:hAnsi="ITC Avant Garde"/>
          <w:b/>
          <w:color w:val="000000" w:themeColor="text1"/>
          <w:sz w:val="22"/>
          <w:szCs w:val="22"/>
          <w:lang w:eastAsia="es-MX"/>
        </w:rPr>
        <w:t>RESOLUCIÓN MEDIANTE LA CUAL EL PLENO DEL INSTITUT</w:t>
      </w:r>
      <w:r w:rsidR="00864611" w:rsidRPr="008F129A">
        <w:rPr>
          <w:rFonts w:ascii="ITC Avant Garde" w:hAnsi="ITC Avant Garde"/>
          <w:b/>
          <w:color w:val="000000" w:themeColor="text1"/>
          <w:sz w:val="22"/>
          <w:szCs w:val="22"/>
          <w:lang w:eastAsia="es-MX"/>
        </w:rPr>
        <w:t xml:space="preserve">O FEDERAL DE TELECOMUNICACIONES AUTORIZA </w:t>
      </w:r>
      <w:r w:rsidR="000D7D4D" w:rsidRPr="008F129A">
        <w:rPr>
          <w:rFonts w:ascii="ITC Avant Garde" w:hAnsi="ITC Avant Garde"/>
          <w:b/>
          <w:color w:val="000000" w:themeColor="text1"/>
          <w:sz w:val="22"/>
          <w:szCs w:val="22"/>
          <w:lang w:eastAsia="es-MX"/>
        </w:rPr>
        <w:t>EL CAMBIO DE</w:t>
      </w:r>
      <w:r w:rsidR="005363FF" w:rsidRPr="008F129A">
        <w:rPr>
          <w:rFonts w:ascii="ITC Avant Garde" w:hAnsi="ITC Avant Garde"/>
          <w:b/>
          <w:color w:val="000000" w:themeColor="text1"/>
          <w:sz w:val="22"/>
          <w:szCs w:val="22"/>
          <w:lang w:eastAsia="es-MX"/>
        </w:rPr>
        <w:t xml:space="preserve"> </w:t>
      </w:r>
      <w:r w:rsidR="006456C0" w:rsidRPr="008F129A">
        <w:rPr>
          <w:rFonts w:ascii="ITC Avant Garde" w:hAnsi="ITC Avant Garde"/>
          <w:b/>
          <w:color w:val="000000" w:themeColor="text1"/>
          <w:sz w:val="22"/>
          <w:szCs w:val="22"/>
          <w:lang w:eastAsia="es-MX"/>
        </w:rPr>
        <w:t xml:space="preserve">BANDA DE </w:t>
      </w:r>
      <w:r w:rsidR="000D7D4D" w:rsidRPr="008F129A">
        <w:rPr>
          <w:rFonts w:ascii="ITC Avant Garde" w:hAnsi="ITC Avant Garde"/>
          <w:b/>
          <w:color w:val="000000" w:themeColor="text1"/>
          <w:sz w:val="22"/>
          <w:szCs w:val="22"/>
          <w:lang w:eastAsia="es-MX"/>
        </w:rPr>
        <w:t>FRECUENCIA</w:t>
      </w:r>
      <w:r w:rsidR="00377CBD" w:rsidRPr="008F129A">
        <w:rPr>
          <w:rFonts w:ascii="ITC Avant Garde" w:hAnsi="ITC Avant Garde"/>
          <w:b/>
          <w:color w:val="000000" w:themeColor="text1"/>
          <w:sz w:val="22"/>
          <w:szCs w:val="22"/>
          <w:lang w:eastAsia="es-MX"/>
        </w:rPr>
        <w:t>S</w:t>
      </w:r>
      <w:r w:rsidR="00716E92" w:rsidRPr="008F129A">
        <w:rPr>
          <w:rFonts w:ascii="ITC Avant Garde" w:hAnsi="ITC Avant Garde"/>
          <w:b/>
          <w:color w:val="000000" w:themeColor="text1"/>
          <w:sz w:val="22"/>
          <w:szCs w:val="22"/>
          <w:lang w:eastAsia="es-MX"/>
        </w:rPr>
        <w:t xml:space="preserve"> </w:t>
      </w:r>
      <w:r w:rsidR="008C6BAD" w:rsidRPr="008F129A">
        <w:rPr>
          <w:rFonts w:ascii="ITC Avant Garde" w:hAnsi="ITC Avant Garde"/>
          <w:b/>
          <w:color w:val="000000" w:themeColor="text1"/>
          <w:sz w:val="22"/>
          <w:szCs w:val="22"/>
          <w:lang w:eastAsia="es-MX"/>
        </w:rPr>
        <w:t>614-620</w:t>
      </w:r>
      <w:r w:rsidR="00B43FAC" w:rsidRPr="008F129A">
        <w:rPr>
          <w:rFonts w:ascii="ITC Avant Garde" w:hAnsi="ITC Avant Garde"/>
          <w:b/>
          <w:color w:val="000000" w:themeColor="text1"/>
          <w:sz w:val="22"/>
          <w:szCs w:val="22"/>
          <w:lang w:eastAsia="es-MX"/>
        </w:rPr>
        <w:t xml:space="preserve"> </w:t>
      </w:r>
      <w:r w:rsidR="00716E92" w:rsidRPr="008F129A">
        <w:rPr>
          <w:rFonts w:ascii="ITC Avant Garde" w:hAnsi="ITC Avant Garde"/>
          <w:b/>
          <w:color w:val="000000" w:themeColor="text1"/>
          <w:sz w:val="22"/>
          <w:szCs w:val="22"/>
          <w:lang w:eastAsia="es-MX"/>
        </w:rPr>
        <w:t xml:space="preserve">MHz POR LA BANDA DE FRECUENCIAS </w:t>
      </w:r>
      <w:r w:rsidR="008C6BAD" w:rsidRPr="008F129A">
        <w:rPr>
          <w:rFonts w:ascii="ITC Avant Garde" w:hAnsi="ITC Avant Garde"/>
          <w:b/>
          <w:color w:val="000000" w:themeColor="text1"/>
          <w:sz w:val="22"/>
          <w:szCs w:val="22"/>
          <w:lang w:eastAsia="es-MX"/>
        </w:rPr>
        <w:t>542-548</w:t>
      </w:r>
      <w:r w:rsidR="00716E92" w:rsidRPr="008F129A">
        <w:rPr>
          <w:rFonts w:ascii="ITC Avant Garde" w:hAnsi="ITC Avant Garde"/>
          <w:b/>
          <w:color w:val="000000" w:themeColor="text1"/>
          <w:sz w:val="22"/>
          <w:szCs w:val="22"/>
          <w:lang w:eastAsia="es-MX"/>
        </w:rPr>
        <w:t xml:space="preserve"> MHz</w:t>
      </w:r>
      <w:r w:rsidR="000D7D4D" w:rsidRPr="008F129A">
        <w:rPr>
          <w:rFonts w:ascii="ITC Avant Garde" w:hAnsi="ITC Avant Garde"/>
          <w:b/>
          <w:color w:val="000000" w:themeColor="text1"/>
          <w:sz w:val="22"/>
          <w:szCs w:val="22"/>
          <w:lang w:eastAsia="es-MX"/>
        </w:rPr>
        <w:t xml:space="preserve"> </w:t>
      </w:r>
      <w:r w:rsidR="006456C0" w:rsidRPr="008F129A">
        <w:rPr>
          <w:rFonts w:ascii="ITC Avant Garde" w:hAnsi="ITC Avant Garde"/>
          <w:b/>
          <w:color w:val="000000" w:themeColor="text1"/>
          <w:sz w:val="22"/>
          <w:szCs w:val="22"/>
          <w:lang w:eastAsia="es-MX"/>
        </w:rPr>
        <w:t>(CANAL</w:t>
      </w:r>
      <w:r w:rsidR="00716E92" w:rsidRPr="008F129A">
        <w:rPr>
          <w:rFonts w:ascii="ITC Avant Garde" w:hAnsi="ITC Avant Garde"/>
          <w:b/>
          <w:color w:val="000000" w:themeColor="text1"/>
          <w:sz w:val="22"/>
          <w:szCs w:val="22"/>
          <w:lang w:eastAsia="es-MX"/>
        </w:rPr>
        <w:t xml:space="preserve"> </w:t>
      </w:r>
      <w:r w:rsidR="008C6BAD" w:rsidRPr="008F129A">
        <w:rPr>
          <w:rFonts w:ascii="ITC Avant Garde" w:hAnsi="ITC Avant Garde"/>
          <w:b/>
          <w:color w:val="000000" w:themeColor="text1"/>
          <w:sz w:val="22"/>
          <w:szCs w:val="22"/>
          <w:lang w:eastAsia="es-MX"/>
        </w:rPr>
        <w:t>38</w:t>
      </w:r>
      <w:r w:rsidR="00716E92" w:rsidRPr="008F129A">
        <w:rPr>
          <w:rFonts w:ascii="ITC Avant Garde" w:hAnsi="ITC Avant Garde"/>
          <w:b/>
          <w:color w:val="000000" w:themeColor="text1"/>
          <w:sz w:val="22"/>
          <w:szCs w:val="22"/>
          <w:lang w:eastAsia="es-MX"/>
        </w:rPr>
        <w:t xml:space="preserve"> POR EL CANAL </w:t>
      </w:r>
      <w:r w:rsidR="008C6BAD" w:rsidRPr="008F129A">
        <w:rPr>
          <w:rFonts w:ascii="ITC Avant Garde" w:hAnsi="ITC Avant Garde"/>
          <w:b/>
          <w:color w:val="000000" w:themeColor="text1"/>
          <w:sz w:val="22"/>
          <w:szCs w:val="22"/>
          <w:lang w:eastAsia="es-MX"/>
        </w:rPr>
        <w:t>26</w:t>
      </w:r>
      <w:r w:rsidR="006456C0" w:rsidRPr="008F129A">
        <w:rPr>
          <w:rFonts w:ascii="ITC Avant Garde" w:hAnsi="ITC Avant Garde"/>
          <w:b/>
          <w:color w:val="000000" w:themeColor="text1"/>
          <w:sz w:val="22"/>
          <w:szCs w:val="22"/>
          <w:lang w:eastAsia="es-MX"/>
        </w:rPr>
        <w:t xml:space="preserve">) </w:t>
      </w:r>
      <w:r w:rsidR="00053E8A" w:rsidRPr="008F129A">
        <w:rPr>
          <w:rFonts w:ascii="ITC Avant Garde" w:hAnsi="ITC Avant Garde"/>
          <w:b/>
          <w:color w:val="000000" w:themeColor="text1"/>
          <w:sz w:val="22"/>
          <w:szCs w:val="22"/>
          <w:lang w:eastAsia="es-MX"/>
        </w:rPr>
        <w:t xml:space="preserve">PARA USO </w:t>
      </w:r>
      <w:r w:rsidR="003C21B4" w:rsidRPr="008F129A">
        <w:rPr>
          <w:rFonts w:ascii="ITC Avant Garde" w:hAnsi="ITC Avant Garde"/>
          <w:b/>
          <w:color w:val="000000" w:themeColor="text1"/>
          <w:sz w:val="22"/>
          <w:szCs w:val="22"/>
          <w:lang w:eastAsia="es-MX"/>
        </w:rPr>
        <w:t xml:space="preserve">COMERCIAL </w:t>
      </w:r>
      <w:r w:rsidR="006456C0" w:rsidRPr="008F129A">
        <w:rPr>
          <w:rFonts w:ascii="ITC Avant Garde" w:hAnsi="ITC Avant Garde"/>
          <w:b/>
          <w:color w:val="000000" w:themeColor="text1"/>
          <w:sz w:val="22"/>
          <w:szCs w:val="22"/>
          <w:lang w:eastAsia="es-MX"/>
        </w:rPr>
        <w:t>OTO</w:t>
      </w:r>
      <w:r w:rsidR="00053E8A" w:rsidRPr="008F129A">
        <w:rPr>
          <w:rFonts w:ascii="ITC Avant Garde" w:hAnsi="ITC Avant Garde"/>
          <w:b/>
          <w:color w:val="000000" w:themeColor="text1"/>
          <w:sz w:val="22"/>
          <w:szCs w:val="22"/>
          <w:lang w:eastAsia="es-MX"/>
        </w:rPr>
        <w:t>R</w:t>
      </w:r>
      <w:r w:rsidR="006456C0" w:rsidRPr="008F129A">
        <w:rPr>
          <w:rFonts w:ascii="ITC Avant Garde" w:hAnsi="ITC Avant Garde"/>
          <w:b/>
          <w:color w:val="000000" w:themeColor="text1"/>
          <w:sz w:val="22"/>
          <w:szCs w:val="22"/>
          <w:lang w:eastAsia="es-MX"/>
        </w:rPr>
        <w:t>GAD</w:t>
      </w:r>
      <w:r w:rsidR="00053E8A" w:rsidRPr="008F129A">
        <w:rPr>
          <w:rFonts w:ascii="ITC Avant Garde" w:hAnsi="ITC Avant Garde"/>
          <w:b/>
          <w:color w:val="000000" w:themeColor="text1"/>
          <w:sz w:val="22"/>
          <w:szCs w:val="22"/>
          <w:lang w:eastAsia="es-MX"/>
        </w:rPr>
        <w:t>A</w:t>
      </w:r>
      <w:r w:rsidR="000A6EE6" w:rsidRPr="008F129A">
        <w:rPr>
          <w:rFonts w:ascii="ITC Avant Garde" w:hAnsi="ITC Avant Garde"/>
          <w:b/>
          <w:color w:val="000000" w:themeColor="text1"/>
          <w:sz w:val="22"/>
          <w:szCs w:val="22"/>
          <w:lang w:eastAsia="es-MX"/>
        </w:rPr>
        <w:t xml:space="preserve"> A FA</w:t>
      </w:r>
      <w:r w:rsidR="007B5DFD" w:rsidRPr="008F129A">
        <w:rPr>
          <w:rFonts w:ascii="ITC Avant Garde" w:hAnsi="ITC Avant Garde"/>
          <w:b/>
          <w:color w:val="000000" w:themeColor="text1"/>
          <w:sz w:val="22"/>
          <w:szCs w:val="22"/>
          <w:lang w:eastAsia="es-MX"/>
        </w:rPr>
        <w:t xml:space="preserve">VOR DE </w:t>
      </w:r>
      <w:r w:rsidR="008C6BAD" w:rsidRPr="008F129A">
        <w:rPr>
          <w:rFonts w:ascii="ITC Avant Garde" w:hAnsi="ITC Avant Garde"/>
          <w:b/>
          <w:color w:val="000000" w:themeColor="text1"/>
          <w:sz w:val="22"/>
          <w:szCs w:val="22"/>
          <w:lang w:eastAsia="es-MX"/>
        </w:rPr>
        <w:t>TELEVIMEX</w:t>
      </w:r>
      <w:r w:rsidR="003C21B4" w:rsidRPr="008F129A">
        <w:rPr>
          <w:rFonts w:ascii="ITC Avant Garde" w:hAnsi="ITC Avant Garde"/>
          <w:b/>
          <w:color w:val="000000" w:themeColor="text1"/>
          <w:sz w:val="22"/>
          <w:szCs w:val="22"/>
          <w:lang w:eastAsia="es-MX"/>
        </w:rPr>
        <w:t>, S.A. DE C.V.</w:t>
      </w:r>
      <w:r w:rsidR="004C6947" w:rsidRPr="008F129A">
        <w:rPr>
          <w:rFonts w:ascii="ITC Avant Garde" w:hAnsi="ITC Avant Garde"/>
          <w:b/>
          <w:color w:val="000000" w:themeColor="text1"/>
          <w:sz w:val="22"/>
          <w:szCs w:val="22"/>
          <w:lang w:eastAsia="es-MX"/>
        </w:rPr>
        <w:t>,</w:t>
      </w:r>
      <w:r w:rsidR="007B5DFD" w:rsidRPr="008F129A">
        <w:rPr>
          <w:rFonts w:ascii="ITC Avant Garde" w:hAnsi="ITC Avant Garde"/>
          <w:b/>
          <w:color w:val="000000" w:themeColor="text1"/>
          <w:sz w:val="22"/>
          <w:szCs w:val="22"/>
          <w:lang w:eastAsia="es-MX"/>
        </w:rPr>
        <w:t xml:space="preserve"> </w:t>
      </w:r>
      <w:r w:rsidR="00377CBD" w:rsidRPr="008F129A">
        <w:rPr>
          <w:rFonts w:ascii="ITC Avant Garde" w:hAnsi="ITC Avant Garde"/>
          <w:b/>
          <w:color w:val="000000" w:themeColor="text1"/>
          <w:sz w:val="22"/>
          <w:szCs w:val="22"/>
          <w:lang w:eastAsia="es-MX"/>
        </w:rPr>
        <w:t xml:space="preserve">PARA LA </w:t>
      </w:r>
      <w:r w:rsidR="007B5DFD" w:rsidRPr="008F129A">
        <w:rPr>
          <w:rFonts w:ascii="ITC Avant Garde" w:hAnsi="ITC Avant Garde"/>
          <w:b/>
          <w:color w:val="000000" w:themeColor="text1"/>
          <w:sz w:val="22"/>
          <w:szCs w:val="22"/>
          <w:lang w:eastAsia="es-MX"/>
        </w:rPr>
        <w:t>ESTACIÓN CON DISTINTIVO DE LLAMADA XH</w:t>
      </w:r>
      <w:r w:rsidR="008C6BAD" w:rsidRPr="008F129A">
        <w:rPr>
          <w:rFonts w:ascii="ITC Avant Garde" w:hAnsi="ITC Avant Garde"/>
          <w:b/>
          <w:color w:val="000000" w:themeColor="text1"/>
          <w:sz w:val="22"/>
          <w:szCs w:val="22"/>
          <w:lang w:eastAsia="es-MX"/>
        </w:rPr>
        <w:t>NON</w:t>
      </w:r>
      <w:r w:rsidR="007B5DFD" w:rsidRPr="008F129A">
        <w:rPr>
          <w:rFonts w:ascii="ITC Avant Garde" w:hAnsi="ITC Avant Garde"/>
          <w:b/>
          <w:color w:val="000000" w:themeColor="text1"/>
          <w:sz w:val="22"/>
          <w:szCs w:val="22"/>
          <w:lang w:eastAsia="es-MX"/>
        </w:rPr>
        <w:t>-T</w:t>
      </w:r>
      <w:r w:rsidR="003C21B4" w:rsidRPr="008F129A">
        <w:rPr>
          <w:rFonts w:ascii="ITC Avant Garde" w:hAnsi="ITC Avant Garde"/>
          <w:b/>
          <w:color w:val="000000" w:themeColor="text1"/>
          <w:sz w:val="22"/>
          <w:szCs w:val="22"/>
          <w:lang w:eastAsia="es-MX"/>
        </w:rPr>
        <w:t>DT</w:t>
      </w:r>
    </w:p>
    <w:p w14:paraId="6107D8B9" w14:textId="77777777" w:rsidR="008F129A" w:rsidRPr="008F129A" w:rsidRDefault="004A0EA8" w:rsidP="008F129A">
      <w:pPr>
        <w:pStyle w:val="Ttulo2"/>
        <w:spacing w:after="240"/>
        <w:jc w:val="center"/>
        <w:rPr>
          <w:rFonts w:ascii="ITC Avant Garde" w:hAnsi="ITC Avant Garde"/>
          <w:b/>
          <w:color w:val="000000" w:themeColor="text1"/>
          <w:sz w:val="22"/>
          <w:szCs w:val="22"/>
        </w:rPr>
      </w:pPr>
      <w:r w:rsidRPr="008F129A">
        <w:rPr>
          <w:rFonts w:ascii="ITC Avant Garde" w:hAnsi="ITC Avant Garde"/>
          <w:b/>
          <w:color w:val="000000" w:themeColor="text1"/>
          <w:sz w:val="22"/>
          <w:szCs w:val="22"/>
        </w:rPr>
        <w:t>ANTECEDENTES</w:t>
      </w:r>
    </w:p>
    <w:p w14:paraId="22C55FEF" w14:textId="77777777" w:rsidR="008F129A" w:rsidRPr="008F129A" w:rsidRDefault="002A00FD" w:rsidP="008F129A">
      <w:pPr>
        <w:numPr>
          <w:ilvl w:val="0"/>
          <w:numId w:val="1"/>
        </w:numPr>
        <w:spacing w:before="240"/>
        <w:jc w:val="both"/>
        <w:rPr>
          <w:rFonts w:ascii="ITC Avant Garde" w:eastAsia="Times New Roman" w:hAnsi="ITC Avant Garde"/>
          <w:bCs/>
          <w:color w:val="000000"/>
          <w:lang w:val="es-ES" w:eastAsia="es-MX"/>
        </w:rPr>
      </w:pPr>
      <w:r w:rsidRPr="008F129A">
        <w:rPr>
          <w:rFonts w:ascii="ITC Avant Garde" w:eastAsia="Times New Roman" w:hAnsi="ITC Avant Garde"/>
          <w:b/>
          <w:bCs/>
          <w:color w:val="000000"/>
          <w:lang w:val="es-ES" w:eastAsia="es-MX"/>
        </w:rPr>
        <w:t xml:space="preserve">Refrendo de </w:t>
      </w:r>
      <w:r w:rsidR="000E0DB9" w:rsidRPr="008F129A">
        <w:rPr>
          <w:rFonts w:ascii="ITC Avant Garde" w:eastAsia="Times New Roman" w:hAnsi="ITC Avant Garde"/>
          <w:b/>
          <w:bCs/>
          <w:color w:val="000000"/>
          <w:lang w:val="es-ES" w:eastAsia="es-MX"/>
        </w:rPr>
        <w:t>Concesión</w:t>
      </w:r>
      <w:r w:rsidRPr="008F129A">
        <w:rPr>
          <w:rFonts w:ascii="ITC Avant Garde" w:eastAsia="Times New Roman" w:hAnsi="ITC Avant Garde"/>
          <w:b/>
          <w:bCs/>
          <w:color w:val="000000"/>
          <w:lang w:val="es-ES" w:eastAsia="es-MX"/>
        </w:rPr>
        <w:t xml:space="preserve">.- </w:t>
      </w:r>
      <w:r w:rsidRPr="008F129A">
        <w:rPr>
          <w:rFonts w:ascii="ITC Avant Garde" w:eastAsia="Times New Roman" w:hAnsi="ITC Avant Garde"/>
          <w:bCs/>
          <w:color w:val="000000"/>
          <w:lang w:val="es-ES" w:eastAsia="es-MX"/>
        </w:rPr>
        <w:t xml:space="preserve">El </w:t>
      </w:r>
      <w:r w:rsidR="00F54415" w:rsidRPr="008F129A">
        <w:rPr>
          <w:rFonts w:ascii="ITC Avant Garde" w:eastAsia="Times New Roman" w:hAnsi="ITC Avant Garde"/>
          <w:bCs/>
          <w:color w:val="000000"/>
          <w:lang w:val="es-ES" w:eastAsia="es-MX"/>
        </w:rPr>
        <w:t xml:space="preserve">21 </w:t>
      </w:r>
      <w:r w:rsidRPr="008F129A">
        <w:rPr>
          <w:rFonts w:ascii="ITC Avant Garde" w:eastAsia="Times New Roman" w:hAnsi="ITC Avant Garde"/>
          <w:bCs/>
          <w:color w:val="000000"/>
          <w:lang w:val="es-ES" w:eastAsia="es-MX"/>
        </w:rPr>
        <w:t>de septiembre de 200</w:t>
      </w:r>
      <w:r w:rsidR="008C71B6" w:rsidRPr="008F129A">
        <w:rPr>
          <w:rFonts w:ascii="ITC Avant Garde" w:eastAsia="Times New Roman" w:hAnsi="ITC Avant Garde"/>
          <w:bCs/>
          <w:color w:val="000000"/>
          <w:lang w:val="es-ES" w:eastAsia="es-MX"/>
        </w:rPr>
        <w:t>4</w:t>
      </w:r>
      <w:r w:rsidRPr="008F129A">
        <w:rPr>
          <w:rFonts w:ascii="ITC Avant Garde" w:eastAsia="Times New Roman" w:hAnsi="ITC Avant Garde"/>
          <w:bCs/>
          <w:color w:val="000000"/>
          <w:lang w:val="es-ES" w:eastAsia="es-MX"/>
        </w:rPr>
        <w:t xml:space="preserve">, la </w:t>
      </w:r>
      <w:r w:rsidR="0018601C" w:rsidRPr="008F129A">
        <w:rPr>
          <w:rFonts w:ascii="ITC Avant Garde" w:eastAsia="Times New Roman" w:hAnsi="ITC Avant Garde"/>
          <w:bCs/>
          <w:color w:val="000000"/>
          <w:lang w:val="es-ES" w:eastAsia="es-MX"/>
        </w:rPr>
        <w:t>Secretaría de Comunicaciones y Transportes</w:t>
      </w:r>
      <w:r w:rsidRPr="008F129A">
        <w:rPr>
          <w:rFonts w:ascii="ITC Avant Garde" w:eastAsia="Times New Roman" w:hAnsi="ITC Avant Garde"/>
          <w:bCs/>
          <w:color w:val="000000"/>
          <w:lang w:val="es-ES" w:eastAsia="es-MX"/>
        </w:rPr>
        <w:t xml:space="preserve"> otorgó a </w:t>
      </w:r>
      <w:r w:rsidR="00E91080" w:rsidRPr="008F129A">
        <w:rPr>
          <w:rFonts w:ascii="ITC Avant Garde" w:eastAsia="Times New Roman" w:hAnsi="ITC Avant Garde"/>
          <w:b/>
          <w:bCs/>
          <w:color w:val="000000"/>
          <w:lang w:val="es-ES" w:eastAsia="es-MX"/>
        </w:rPr>
        <w:t>Televimex</w:t>
      </w:r>
      <w:r w:rsidR="00611386" w:rsidRPr="008F129A">
        <w:rPr>
          <w:rFonts w:ascii="ITC Avant Garde" w:eastAsia="Times New Roman" w:hAnsi="ITC Avant Garde"/>
          <w:b/>
          <w:bCs/>
          <w:color w:val="000000"/>
          <w:lang w:val="es-ES" w:eastAsia="es-MX"/>
        </w:rPr>
        <w:t>, S.A. de C.V.</w:t>
      </w:r>
      <w:r w:rsidR="001350AC" w:rsidRPr="008F129A">
        <w:rPr>
          <w:rFonts w:ascii="ITC Avant Garde" w:eastAsia="Times New Roman" w:hAnsi="ITC Avant Garde"/>
          <w:bCs/>
          <w:color w:val="000000"/>
          <w:lang w:val="es-ES" w:eastAsia="es-MX"/>
        </w:rPr>
        <w:t xml:space="preserve"> (el “Concesionario”)</w:t>
      </w:r>
      <w:r w:rsidRPr="008F129A">
        <w:rPr>
          <w:rFonts w:ascii="ITC Avant Garde" w:eastAsia="Times New Roman" w:hAnsi="ITC Avant Garde"/>
          <w:bCs/>
          <w:color w:val="000000"/>
          <w:lang w:val="es-ES" w:eastAsia="es-MX"/>
        </w:rPr>
        <w:t xml:space="preserve">, </w:t>
      </w:r>
      <w:r w:rsidR="00611386" w:rsidRPr="008F129A">
        <w:rPr>
          <w:rFonts w:ascii="ITC Avant Garde" w:eastAsia="Times New Roman" w:hAnsi="ITC Avant Garde"/>
          <w:bCs/>
          <w:color w:val="000000"/>
          <w:lang w:val="es-ES" w:eastAsia="es-MX"/>
        </w:rPr>
        <w:t xml:space="preserve">el </w:t>
      </w:r>
      <w:r w:rsidR="000C77EB" w:rsidRPr="008F129A">
        <w:rPr>
          <w:rFonts w:ascii="ITC Avant Garde" w:eastAsia="Times New Roman" w:hAnsi="ITC Avant Garde"/>
          <w:bCs/>
          <w:color w:val="000000"/>
          <w:lang w:val="es-ES" w:eastAsia="es-MX"/>
        </w:rPr>
        <w:t>título de</w:t>
      </w:r>
      <w:r w:rsidRPr="008F129A">
        <w:rPr>
          <w:rFonts w:ascii="ITC Avant Garde" w:eastAsia="Times New Roman" w:hAnsi="ITC Avant Garde"/>
          <w:bCs/>
          <w:color w:val="000000"/>
          <w:lang w:val="es-ES" w:eastAsia="es-MX"/>
        </w:rPr>
        <w:t xml:space="preserve"> refrendo de </w:t>
      </w:r>
      <w:r w:rsidR="00611386" w:rsidRPr="008F129A">
        <w:rPr>
          <w:rFonts w:ascii="ITC Avant Garde" w:eastAsia="Times New Roman" w:hAnsi="ITC Avant Garde"/>
          <w:bCs/>
          <w:color w:val="000000"/>
          <w:lang w:val="es-ES" w:eastAsia="es-MX"/>
        </w:rPr>
        <w:t>concesión</w:t>
      </w:r>
      <w:r w:rsidRPr="008F129A">
        <w:rPr>
          <w:rFonts w:ascii="ITC Avant Garde" w:eastAsia="Times New Roman" w:hAnsi="ITC Avant Garde"/>
          <w:bCs/>
          <w:color w:val="000000"/>
          <w:lang w:val="es-ES" w:eastAsia="es-MX"/>
        </w:rPr>
        <w:t xml:space="preserve"> para continuar usando con fines </w:t>
      </w:r>
      <w:r w:rsidR="00611386" w:rsidRPr="008F129A">
        <w:rPr>
          <w:rFonts w:ascii="ITC Avant Garde" w:eastAsia="Times New Roman" w:hAnsi="ITC Avant Garde"/>
          <w:bCs/>
          <w:color w:val="000000"/>
          <w:lang w:val="es-ES" w:eastAsia="es-MX"/>
        </w:rPr>
        <w:t xml:space="preserve">comerciales </w:t>
      </w:r>
      <w:r w:rsidRPr="008F129A">
        <w:rPr>
          <w:rFonts w:ascii="ITC Avant Garde" w:eastAsia="Times New Roman" w:hAnsi="ITC Avant Garde"/>
          <w:bCs/>
          <w:color w:val="000000"/>
          <w:lang w:val="es-ES" w:eastAsia="es-MX"/>
        </w:rPr>
        <w:t xml:space="preserve">el canal </w:t>
      </w:r>
      <w:r w:rsidR="00E91080" w:rsidRPr="008F129A">
        <w:rPr>
          <w:rFonts w:ascii="ITC Avant Garde" w:eastAsia="Times New Roman" w:hAnsi="ITC Avant Garde"/>
          <w:bCs/>
          <w:color w:val="000000"/>
          <w:lang w:val="es-ES" w:eastAsia="es-MX"/>
        </w:rPr>
        <w:t>38(+)</w:t>
      </w:r>
      <w:r w:rsidR="00251CDD" w:rsidRPr="008F129A">
        <w:rPr>
          <w:rFonts w:ascii="ITC Avant Garde" w:eastAsia="Times New Roman" w:hAnsi="ITC Avant Garde"/>
          <w:bCs/>
          <w:color w:val="000000"/>
          <w:lang w:val="es-ES" w:eastAsia="es-MX"/>
        </w:rPr>
        <w:t xml:space="preserve"> (614 – 620 MHz)</w:t>
      </w:r>
      <w:r w:rsidR="00F54415" w:rsidRPr="008F129A">
        <w:rPr>
          <w:rFonts w:ascii="ITC Avant Garde" w:eastAsia="Times New Roman" w:hAnsi="ITC Avant Garde"/>
          <w:bCs/>
          <w:color w:val="000000"/>
          <w:lang w:val="es-ES" w:eastAsia="es-MX"/>
        </w:rPr>
        <w:t xml:space="preserve"> </w:t>
      </w:r>
      <w:r w:rsidRPr="008F129A">
        <w:rPr>
          <w:rFonts w:ascii="ITC Avant Garde" w:eastAsia="Times New Roman" w:hAnsi="ITC Avant Garde"/>
          <w:bCs/>
          <w:color w:val="000000"/>
          <w:lang w:val="es-ES" w:eastAsia="es-MX"/>
        </w:rPr>
        <w:t xml:space="preserve">de televisión en </w:t>
      </w:r>
      <w:r w:rsidR="00E91080" w:rsidRPr="008F129A">
        <w:rPr>
          <w:rFonts w:ascii="ITC Avant Garde" w:eastAsia="Times New Roman" w:hAnsi="ITC Avant Garde"/>
          <w:bCs/>
          <w:color w:val="000000"/>
          <w:lang w:val="es-ES" w:eastAsia="es-MX"/>
        </w:rPr>
        <w:t>Nogales, Sonora</w:t>
      </w:r>
      <w:r w:rsidRPr="008F129A">
        <w:rPr>
          <w:rFonts w:ascii="ITC Avant Garde" w:hAnsi="ITC Avant Garde" w:cs="Arial"/>
          <w:noProof/>
          <w:lang w:eastAsia="es-MX"/>
        </w:rPr>
        <w:t>,</w:t>
      </w:r>
      <w:r w:rsidR="0074656C" w:rsidRPr="008F129A">
        <w:rPr>
          <w:rFonts w:ascii="ITC Avant Garde" w:hAnsi="ITC Avant Garde" w:cs="Arial"/>
          <w:noProof/>
          <w:lang w:eastAsia="es-MX"/>
        </w:rPr>
        <w:t xml:space="preserve"> que opera la estación con distintivo de llamada </w:t>
      </w:r>
      <w:r w:rsidR="00F54415" w:rsidRPr="008F129A">
        <w:rPr>
          <w:rFonts w:ascii="ITC Avant Garde" w:hAnsi="ITC Avant Garde" w:cs="Arial"/>
          <w:noProof/>
          <w:lang w:eastAsia="es-MX"/>
        </w:rPr>
        <w:t>XH</w:t>
      </w:r>
      <w:r w:rsidR="00E91080" w:rsidRPr="008F129A">
        <w:rPr>
          <w:rFonts w:ascii="ITC Avant Garde" w:hAnsi="ITC Avant Garde" w:cs="Arial"/>
          <w:noProof/>
          <w:lang w:eastAsia="es-MX"/>
        </w:rPr>
        <w:t>NON</w:t>
      </w:r>
      <w:r w:rsidR="0074656C" w:rsidRPr="008F129A">
        <w:rPr>
          <w:rFonts w:ascii="ITC Avant Garde" w:hAnsi="ITC Avant Garde" w:cs="Arial"/>
          <w:noProof/>
          <w:lang w:eastAsia="es-MX"/>
        </w:rPr>
        <w:t>-TV,</w:t>
      </w:r>
      <w:r w:rsidRPr="008F129A">
        <w:rPr>
          <w:rFonts w:ascii="ITC Avant Garde" w:hAnsi="ITC Avant Garde" w:cs="Arial"/>
          <w:noProof/>
          <w:lang w:eastAsia="es-MX"/>
        </w:rPr>
        <w:t xml:space="preserve"> con vigencia</w:t>
      </w:r>
      <w:r w:rsidR="00FD6855" w:rsidRPr="008F129A">
        <w:rPr>
          <w:rFonts w:ascii="ITC Avant Garde" w:hAnsi="ITC Avant Garde" w:cs="Arial"/>
          <w:noProof/>
          <w:lang w:eastAsia="es-MX"/>
        </w:rPr>
        <w:t xml:space="preserve"> a </w:t>
      </w:r>
      <w:r w:rsidR="00264C2F" w:rsidRPr="008F129A">
        <w:rPr>
          <w:rFonts w:ascii="ITC Avant Garde" w:hAnsi="ITC Avant Garde" w:cs="Arial"/>
          <w:noProof/>
          <w:lang w:eastAsia="es-MX"/>
        </w:rPr>
        <w:t>p</w:t>
      </w:r>
      <w:r w:rsidR="00FD6855" w:rsidRPr="008F129A">
        <w:rPr>
          <w:rFonts w:ascii="ITC Avant Garde" w:hAnsi="ITC Avant Garde" w:cs="Arial"/>
          <w:noProof/>
          <w:lang w:eastAsia="es-MX"/>
        </w:rPr>
        <w:t>artir de la fecha de su expedición hasta e</w:t>
      </w:r>
      <w:r w:rsidR="00360DEC" w:rsidRPr="008F129A">
        <w:rPr>
          <w:rFonts w:ascii="ITC Avant Garde" w:hAnsi="ITC Avant Garde" w:cs="Arial"/>
          <w:noProof/>
          <w:lang w:eastAsia="es-MX"/>
        </w:rPr>
        <w:t>l</w:t>
      </w:r>
      <w:r w:rsidRPr="008F129A">
        <w:rPr>
          <w:rFonts w:ascii="ITC Avant Garde" w:hAnsi="ITC Avant Garde" w:cs="Arial"/>
          <w:noProof/>
          <w:lang w:eastAsia="es-MX"/>
        </w:rPr>
        <w:t xml:space="preserve"> 31 de diciembre de 2021.</w:t>
      </w:r>
    </w:p>
    <w:p w14:paraId="191F5076" w14:textId="77777777" w:rsidR="008F129A" w:rsidRPr="008F129A" w:rsidRDefault="004A0EA8" w:rsidP="008F129A">
      <w:pPr>
        <w:numPr>
          <w:ilvl w:val="0"/>
          <w:numId w:val="1"/>
        </w:numPr>
        <w:spacing w:before="240"/>
        <w:jc w:val="both"/>
        <w:rPr>
          <w:rFonts w:ascii="ITC Avant Garde" w:hAnsi="ITC Avant Garde" w:cs="Calibri"/>
        </w:rPr>
      </w:pPr>
      <w:r w:rsidRPr="008F129A">
        <w:rPr>
          <w:rFonts w:ascii="ITC Avant Garde" w:hAnsi="ITC Avant Garde"/>
          <w:b/>
          <w:bCs/>
          <w:color w:val="000000"/>
          <w:lang w:eastAsia="es-MX"/>
        </w:rPr>
        <w:t xml:space="preserve">Decreto de Reforma Constitucional.- </w:t>
      </w:r>
      <w:r w:rsidRPr="008F129A">
        <w:rPr>
          <w:rFonts w:ascii="ITC Avant Garde" w:hAnsi="ITC Avant Garde"/>
          <w:bCs/>
          <w:color w:val="000000"/>
          <w:lang w:eastAsia="es-MX"/>
        </w:rPr>
        <w:t>Con fecha 11 de junio de 2013, se publicó en el D</w:t>
      </w:r>
      <w:r w:rsidR="009275DB" w:rsidRPr="008F129A">
        <w:rPr>
          <w:rFonts w:ascii="ITC Avant Garde" w:hAnsi="ITC Avant Garde"/>
          <w:bCs/>
          <w:color w:val="000000"/>
          <w:lang w:eastAsia="es-MX"/>
        </w:rPr>
        <w:t xml:space="preserve">iario </w:t>
      </w:r>
      <w:r w:rsidRPr="008F129A">
        <w:rPr>
          <w:rFonts w:ascii="ITC Avant Garde" w:hAnsi="ITC Avant Garde"/>
          <w:bCs/>
          <w:color w:val="000000"/>
          <w:lang w:eastAsia="es-MX"/>
        </w:rPr>
        <w:t>O</w:t>
      </w:r>
      <w:r w:rsidR="009275DB" w:rsidRPr="008F129A">
        <w:rPr>
          <w:rFonts w:ascii="ITC Avant Garde" w:hAnsi="ITC Avant Garde"/>
          <w:bCs/>
          <w:color w:val="000000"/>
          <w:lang w:eastAsia="es-MX"/>
        </w:rPr>
        <w:t xml:space="preserve">ficial de la </w:t>
      </w:r>
      <w:r w:rsidRPr="008F129A">
        <w:rPr>
          <w:rFonts w:ascii="ITC Avant Garde" w:hAnsi="ITC Avant Garde"/>
          <w:bCs/>
          <w:color w:val="000000"/>
          <w:lang w:eastAsia="es-MX"/>
        </w:rPr>
        <w:t>F</w:t>
      </w:r>
      <w:r w:rsidR="009275DB" w:rsidRPr="008F129A">
        <w:rPr>
          <w:rFonts w:ascii="ITC Avant Garde" w:hAnsi="ITC Avant Garde"/>
          <w:bCs/>
          <w:color w:val="000000"/>
          <w:lang w:eastAsia="es-MX"/>
        </w:rPr>
        <w:t>ederación (el “DOF”)</w:t>
      </w:r>
      <w:r w:rsidRPr="008F129A">
        <w:rPr>
          <w:rFonts w:ascii="ITC Avant Garde" w:hAnsi="ITC Avant Garde"/>
          <w:bCs/>
          <w:color w:val="000000"/>
          <w:lang w:eastAsia="es-MX"/>
        </w:rPr>
        <w:t xml:space="preserve"> 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7F35CD0F" w14:textId="77777777" w:rsidR="008F129A" w:rsidRPr="008F129A" w:rsidRDefault="004A0EA8" w:rsidP="008F129A">
      <w:pPr>
        <w:numPr>
          <w:ilvl w:val="0"/>
          <w:numId w:val="1"/>
        </w:numPr>
        <w:spacing w:before="240"/>
        <w:ind w:left="426" w:hanging="426"/>
        <w:jc w:val="both"/>
        <w:rPr>
          <w:rFonts w:ascii="ITC Avant Garde" w:eastAsia="Times New Roman" w:hAnsi="ITC Avant Garde" w:cs="Arial"/>
          <w:kern w:val="1"/>
          <w:lang w:val="es-ES" w:eastAsia="ar-SA"/>
        </w:rPr>
      </w:pPr>
      <w:r w:rsidRPr="008F129A">
        <w:rPr>
          <w:rFonts w:ascii="ITC Avant Garde" w:eastAsia="Times New Roman" w:hAnsi="ITC Avant Garde" w:cs="Arial"/>
          <w:b/>
          <w:kern w:val="1"/>
          <w:lang w:val="es-ES" w:eastAsia="ar-SA"/>
        </w:rPr>
        <w:t xml:space="preserve">Decreto de Ley.- </w:t>
      </w:r>
      <w:r w:rsidRPr="008F129A">
        <w:rPr>
          <w:rFonts w:ascii="ITC Avant Garde" w:eastAsia="Times New Roman" w:hAnsi="ITC Avant Garde" w:cs="Arial"/>
          <w:kern w:val="1"/>
          <w:lang w:val="es-ES" w:eastAsia="ar-SA"/>
        </w:rPr>
        <w:t>El 14 de julio de 2014, se publicó en el DOF el “Decreto por el que se 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14:paraId="409AC53D" w14:textId="77777777" w:rsidR="008F129A" w:rsidRPr="008F129A" w:rsidRDefault="004A0EA8" w:rsidP="008F129A">
      <w:pPr>
        <w:numPr>
          <w:ilvl w:val="0"/>
          <w:numId w:val="1"/>
        </w:numPr>
        <w:spacing w:before="240"/>
        <w:jc w:val="both"/>
        <w:rPr>
          <w:rFonts w:ascii="ITC Avant Garde" w:hAnsi="ITC Avant Garde" w:cs="Arial"/>
          <w:kern w:val="1"/>
          <w:lang w:eastAsia="ar-SA"/>
        </w:rPr>
      </w:pPr>
      <w:r w:rsidRPr="008F129A">
        <w:rPr>
          <w:rFonts w:ascii="ITC Avant Garde" w:eastAsia="Times New Roman" w:hAnsi="ITC Avant Garde" w:cs="Arial"/>
          <w:b/>
          <w:kern w:val="1"/>
          <w:lang w:val="es-ES" w:eastAsia="ar-SA"/>
        </w:rPr>
        <w:t>Estatuto Orgánico.-</w:t>
      </w:r>
      <w:r w:rsidRPr="008F129A">
        <w:rPr>
          <w:rFonts w:ascii="ITC Avant Garde" w:eastAsia="Times New Roman" w:hAnsi="ITC Avant Garde"/>
          <w:kern w:val="1"/>
          <w:lang w:val="es-ES" w:eastAsia="ar-SA"/>
        </w:rPr>
        <w:t xml:space="preserve"> </w:t>
      </w:r>
      <w:r w:rsidR="001350AC" w:rsidRPr="008F129A">
        <w:rPr>
          <w:rFonts w:ascii="ITC Avant Garde" w:eastAsia="Times New Roman" w:hAnsi="ITC Avant Garde" w:cs="Arial"/>
          <w:kern w:val="1"/>
          <w:lang w:val="es-ES"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p>
    <w:p w14:paraId="2DBC6449" w14:textId="77777777" w:rsidR="008F129A" w:rsidRPr="008F129A" w:rsidRDefault="00B67194" w:rsidP="008F129A">
      <w:pPr>
        <w:numPr>
          <w:ilvl w:val="0"/>
          <w:numId w:val="1"/>
        </w:numPr>
        <w:spacing w:before="240"/>
        <w:jc w:val="both"/>
        <w:rPr>
          <w:rFonts w:ascii="ITC Avant Garde" w:eastAsia="Times New Roman" w:hAnsi="ITC Avant Garde" w:cs="Arial"/>
          <w:kern w:val="1"/>
          <w:lang w:val="es-ES" w:eastAsia="ar-SA"/>
        </w:rPr>
      </w:pPr>
      <w:r w:rsidRPr="008F129A">
        <w:rPr>
          <w:rFonts w:ascii="ITC Avant Garde" w:hAnsi="ITC Avant Garde"/>
          <w:b/>
          <w:bCs/>
          <w:color w:val="000000"/>
          <w:lang w:eastAsia="es-MX"/>
        </w:rPr>
        <w:t xml:space="preserve">Programa Nacional de Espectro Radioeléctrico.- </w:t>
      </w:r>
      <w:r w:rsidRPr="008F129A">
        <w:rPr>
          <w:rFonts w:ascii="ITC Avant Garde" w:hAnsi="ITC Avant Garde"/>
          <w:bCs/>
          <w:color w:val="000000"/>
          <w:lang w:eastAsia="es-MX"/>
        </w:rPr>
        <w:t xml:space="preserve">El Pleno del Instituto en su XXXVIII Sesión Extraordinaria, mediante acuerdo IFT/EXT/161214/278, emitió el "ACUERDO POR EL QUE EL PLENO DEL INSTITUTO FEDERAL DE TELECOMUNICACIONES APRUEBA LOS ELEMENTOS A INCLUIRSE EN EL PROGRAMA NACIONAL DE ESPECTRO RADIOELÉCTRICO Y EN EL PROGRAMA DE TRABAJO PARA GARANTIZAR EL </w:t>
      </w:r>
      <w:r w:rsidR="00FB525B" w:rsidRPr="008F129A">
        <w:rPr>
          <w:rFonts w:ascii="ITC Avant Garde" w:hAnsi="ITC Avant Garde"/>
          <w:bCs/>
          <w:color w:val="000000"/>
          <w:lang w:eastAsia="es-MX"/>
        </w:rPr>
        <w:t>USO ÓPTIMO DE LAS BANDAS 700 MHz</w:t>
      </w:r>
      <w:r w:rsidRPr="008F129A">
        <w:rPr>
          <w:rFonts w:ascii="ITC Avant Garde" w:hAnsi="ITC Avant Garde"/>
          <w:bCs/>
          <w:color w:val="000000"/>
          <w:lang w:eastAsia="es-MX"/>
        </w:rPr>
        <w:t xml:space="preserve"> Y 2.5 GH</w:t>
      </w:r>
      <w:r w:rsidR="00FB525B" w:rsidRPr="008F129A">
        <w:rPr>
          <w:rFonts w:ascii="ITC Avant Garde" w:hAnsi="ITC Avant Garde"/>
          <w:bCs/>
          <w:color w:val="000000"/>
          <w:lang w:eastAsia="es-MX"/>
        </w:rPr>
        <w:t>z</w:t>
      </w:r>
      <w:r w:rsidRPr="008F129A">
        <w:rPr>
          <w:rFonts w:ascii="ITC Avant Garde" w:hAnsi="ITC Avant Garde"/>
          <w:bCs/>
          <w:color w:val="000000"/>
          <w:lang w:eastAsia="es-MX"/>
        </w:rPr>
        <w:t xml:space="preserve"> BAJO PRINCIPIOS DE ACCESO UNIVERSAL NO DISCRIMINATORIO, COMPARTIDO Y CONTINUO, ASÍ COMO PROPUESTA DE ACCIONES A OTRAS AUTORIDADES Y; PROGRAMA DE TRABAJO PARA REORGANIZAR EL ESPECTRO </w:t>
      </w:r>
      <w:r w:rsidRPr="008F129A">
        <w:rPr>
          <w:rFonts w:ascii="ITC Avant Garde" w:hAnsi="ITC Avant Garde"/>
          <w:bCs/>
          <w:color w:val="000000"/>
          <w:lang w:eastAsia="es-MX"/>
        </w:rPr>
        <w:lastRenderedPageBreak/>
        <w:t>RADIOELÉCTRICO A ESTACIONES DE RADIO Y TELEVISIÓN", y de manera particular el "PROGRAMA DE TRABAJO PARA REORGANIZAR EL ESPECTRO RADIOELÉCTRICO A ESTACIONES DE RADIO Y TELEVISIÓN" (el "Programa")</w:t>
      </w:r>
      <w:r w:rsidR="001760F6" w:rsidRPr="008F129A">
        <w:rPr>
          <w:rFonts w:ascii="ITC Avant Garde" w:hAnsi="ITC Avant Garde"/>
          <w:bCs/>
          <w:color w:val="000000"/>
          <w:lang w:eastAsia="es-MX"/>
        </w:rPr>
        <w:t>.</w:t>
      </w:r>
    </w:p>
    <w:p w14:paraId="138DF736" w14:textId="77777777" w:rsidR="008F129A" w:rsidRPr="008F129A" w:rsidRDefault="0022440D" w:rsidP="008F129A">
      <w:pPr>
        <w:numPr>
          <w:ilvl w:val="0"/>
          <w:numId w:val="1"/>
        </w:numPr>
        <w:spacing w:before="240"/>
        <w:jc w:val="both"/>
        <w:rPr>
          <w:rFonts w:ascii="ITC Avant Garde" w:hAnsi="ITC Avant Garde" w:cs="Calibri"/>
          <w:b/>
        </w:rPr>
      </w:pPr>
      <w:r w:rsidRPr="008F129A">
        <w:rPr>
          <w:rFonts w:ascii="ITC Avant Garde" w:hAnsi="ITC Avant Garde" w:cs="Calibri"/>
          <w:b/>
        </w:rPr>
        <w:t xml:space="preserve">Autorización de canal adicional.- </w:t>
      </w:r>
      <w:r w:rsidRPr="008F129A">
        <w:rPr>
          <w:rFonts w:ascii="ITC Avant Garde" w:hAnsi="ITC Avant Garde" w:cs="Calibri"/>
        </w:rPr>
        <w:t xml:space="preserve">El 19 de enero de 2015, mediante oficio IFT/223/UCS/095/2015, el Instituto Federal de Telecomunicaciones </w:t>
      </w:r>
      <w:r w:rsidRPr="008F129A">
        <w:rPr>
          <w:rFonts w:ascii="ITC Avant Garde" w:hAnsi="ITC Avant Garde"/>
          <w:bCs/>
          <w:color w:val="000000"/>
          <w:lang w:eastAsia="es-MX"/>
        </w:rPr>
        <w:t xml:space="preserve">(el “Instituto”), </w:t>
      </w:r>
      <w:r w:rsidRPr="008F129A">
        <w:rPr>
          <w:rFonts w:ascii="ITC Avant Garde" w:hAnsi="ITC Avant Garde" w:cs="Calibri"/>
        </w:rPr>
        <w:t xml:space="preserve">autorizó </w:t>
      </w:r>
      <w:r w:rsidR="001350AC" w:rsidRPr="008F129A">
        <w:rPr>
          <w:rFonts w:ascii="ITC Avant Garde" w:eastAsia="Times New Roman" w:hAnsi="ITC Avant Garde"/>
          <w:bCs/>
          <w:color w:val="000000"/>
          <w:lang w:val="es-ES" w:eastAsia="es-MX"/>
        </w:rPr>
        <w:t>al Concesionario</w:t>
      </w:r>
      <w:r w:rsidRPr="008F129A">
        <w:rPr>
          <w:rFonts w:ascii="ITC Avant Garde" w:eastAsia="Times New Roman" w:hAnsi="ITC Avant Garde"/>
          <w:bCs/>
          <w:color w:val="000000"/>
          <w:lang w:val="es-ES" w:eastAsia="es-MX"/>
        </w:rPr>
        <w:t xml:space="preserve"> </w:t>
      </w:r>
      <w:r w:rsidRPr="008F129A">
        <w:rPr>
          <w:rFonts w:ascii="ITC Avant Garde" w:hAnsi="ITC Avant Garde" w:cs="Calibri"/>
        </w:rPr>
        <w:t>la instalación, operación y uso temporal del canal 38 (614</w:t>
      </w:r>
      <w:r w:rsidR="00AD7AEB" w:rsidRPr="008F129A">
        <w:rPr>
          <w:rFonts w:ascii="ITC Avant Garde" w:hAnsi="ITC Avant Garde" w:cs="Calibri"/>
        </w:rPr>
        <w:t xml:space="preserve"> </w:t>
      </w:r>
      <w:r w:rsidRPr="008F129A">
        <w:rPr>
          <w:rFonts w:ascii="ITC Avant Garde" w:hAnsi="ITC Avant Garde" w:cs="Calibri"/>
        </w:rPr>
        <w:t>-</w:t>
      </w:r>
      <w:r w:rsidR="00AD7AEB" w:rsidRPr="008F129A">
        <w:rPr>
          <w:rFonts w:ascii="ITC Avant Garde" w:hAnsi="ITC Avant Garde" w:cs="Calibri"/>
        </w:rPr>
        <w:t xml:space="preserve"> </w:t>
      </w:r>
      <w:r w:rsidRPr="008F129A">
        <w:rPr>
          <w:rFonts w:ascii="ITC Avant Garde" w:hAnsi="ITC Avant Garde" w:cs="Calibri"/>
        </w:rPr>
        <w:t>620 MHz), para realizar transmisiones digitales simultáneas de su canal analógico.</w:t>
      </w:r>
    </w:p>
    <w:p w14:paraId="7CA020B8" w14:textId="77777777" w:rsidR="008F129A" w:rsidRPr="008F129A" w:rsidRDefault="0096191F" w:rsidP="008F129A">
      <w:pPr>
        <w:numPr>
          <w:ilvl w:val="0"/>
          <w:numId w:val="1"/>
        </w:numPr>
        <w:spacing w:before="240"/>
        <w:jc w:val="both"/>
        <w:rPr>
          <w:rFonts w:ascii="ITC Avant Garde" w:hAnsi="ITC Avant Garde"/>
          <w:bCs/>
          <w:lang w:val="es-ES"/>
        </w:rPr>
      </w:pPr>
      <w:r w:rsidRPr="008F129A">
        <w:rPr>
          <w:rFonts w:ascii="ITC Avant Garde" w:eastAsia="Times New Roman" w:hAnsi="ITC Avant Garde" w:cs="Arial"/>
          <w:b/>
          <w:kern w:val="1"/>
          <w:lang w:val="es-ES" w:eastAsia="ar-SA"/>
        </w:rPr>
        <w:t xml:space="preserve">Solicitud de cambio de frecuencia.- </w:t>
      </w:r>
      <w:r w:rsidRPr="008F129A">
        <w:rPr>
          <w:rFonts w:ascii="ITC Avant Garde" w:hAnsi="ITC Avant Garde"/>
          <w:bCs/>
          <w:lang w:val="es-ES"/>
        </w:rPr>
        <w:t>Mediante escrito presentado el</w:t>
      </w:r>
      <w:r w:rsidR="00910CE2" w:rsidRPr="008F129A">
        <w:rPr>
          <w:rFonts w:ascii="ITC Avant Garde" w:hAnsi="ITC Avant Garde"/>
          <w:bCs/>
          <w:lang w:val="es-ES"/>
        </w:rPr>
        <w:t xml:space="preserve"> </w:t>
      </w:r>
      <w:r w:rsidR="004838BC" w:rsidRPr="008F129A">
        <w:rPr>
          <w:rFonts w:ascii="ITC Avant Garde" w:hAnsi="ITC Avant Garde"/>
          <w:bCs/>
          <w:lang w:val="es-ES"/>
        </w:rPr>
        <w:t>27</w:t>
      </w:r>
      <w:r w:rsidR="00D6714F" w:rsidRPr="008F129A">
        <w:rPr>
          <w:rFonts w:ascii="ITC Avant Garde" w:hAnsi="ITC Avant Garde"/>
          <w:bCs/>
          <w:lang w:val="es-ES"/>
        </w:rPr>
        <w:t xml:space="preserve"> </w:t>
      </w:r>
      <w:r w:rsidRPr="008F129A">
        <w:rPr>
          <w:rFonts w:ascii="ITC Avant Garde" w:hAnsi="ITC Avant Garde"/>
          <w:bCs/>
          <w:lang w:val="es-ES"/>
        </w:rPr>
        <w:t xml:space="preserve">de </w:t>
      </w:r>
      <w:r w:rsidR="00D6714F" w:rsidRPr="008F129A">
        <w:rPr>
          <w:rFonts w:ascii="ITC Avant Garde" w:hAnsi="ITC Avant Garde"/>
          <w:bCs/>
          <w:lang w:val="es-ES"/>
        </w:rPr>
        <w:t xml:space="preserve">mayo </w:t>
      </w:r>
      <w:r w:rsidRPr="008F129A">
        <w:rPr>
          <w:rFonts w:ascii="ITC Avant Garde" w:hAnsi="ITC Avant Garde"/>
          <w:bCs/>
          <w:lang w:val="es-ES"/>
        </w:rPr>
        <w:t>de 201</w:t>
      </w:r>
      <w:r w:rsidR="00D6714F" w:rsidRPr="008F129A">
        <w:rPr>
          <w:rFonts w:ascii="ITC Avant Garde" w:hAnsi="ITC Avant Garde"/>
          <w:bCs/>
          <w:lang w:val="es-ES"/>
        </w:rPr>
        <w:t>6</w:t>
      </w:r>
      <w:r w:rsidRPr="008F129A">
        <w:rPr>
          <w:rFonts w:ascii="ITC Avant Garde" w:hAnsi="ITC Avant Garde"/>
          <w:bCs/>
          <w:lang w:val="es-ES"/>
        </w:rPr>
        <w:t xml:space="preserve"> ante </w:t>
      </w:r>
      <w:r w:rsidR="009275DB" w:rsidRPr="008F129A">
        <w:rPr>
          <w:rFonts w:ascii="ITC Avant Garde" w:hAnsi="ITC Avant Garde"/>
          <w:bCs/>
          <w:lang w:val="es-ES"/>
        </w:rPr>
        <w:t>el</w:t>
      </w:r>
      <w:r w:rsidRPr="008F129A">
        <w:rPr>
          <w:rFonts w:ascii="ITC Avant Garde" w:hAnsi="ITC Avant Garde"/>
          <w:bCs/>
          <w:lang w:val="es-ES"/>
        </w:rPr>
        <w:t xml:space="preserve"> Instituto, identificado con número de folio </w:t>
      </w:r>
      <w:r w:rsidRPr="008F129A">
        <w:rPr>
          <w:rFonts w:ascii="ITC Avant Garde" w:hAnsi="ITC Avant Garde"/>
          <w:b/>
          <w:bCs/>
          <w:lang w:val="es-ES"/>
        </w:rPr>
        <w:t>0</w:t>
      </w:r>
      <w:r w:rsidR="004838BC" w:rsidRPr="008F129A">
        <w:rPr>
          <w:rFonts w:ascii="ITC Avant Garde" w:hAnsi="ITC Avant Garde"/>
          <w:b/>
          <w:bCs/>
          <w:lang w:val="es-ES"/>
        </w:rPr>
        <w:t>27837</w:t>
      </w:r>
      <w:r w:rsidRPr="008F129A">
        <w:rPr>
          <w:rFonts w:ascii="ITC Avant Garde" w:hAnsi="ITC Avant Garde"/>
          <w:bCs/>
          <w:lang w:val="es-ES"/>
        </w:rPr>
        <w:t xml:space="preserve">, </w:t>
      </w:r>
      <w:r w:rsidR="0033192B" w:rsidRPr="008F129A">
        <w:rPr>
          <w:rFonts w:ascii="ITC Avant Garde" w:hAnsi="ITC Avant Garde"/>
          <w:bCs/>
          <w:lang w:val="es-ES"/>
        </w:rPr>
        <w:t>(la “Solicitud”),</w:t>
      </w:r>
      <w:r w:rsidR="001350AC" w:rsidRPr="008F129A">
        <w:rPr>
          <w:rFonts w:ascii="ITC Avant Garde" w:eastAsia="Times New Roman" w:hAnsi="ITC Avant Garde"/>
          <w:bCs/>
          <w:color w:val="000000"/>
          <w:lang w:val="es-ES" w:eastAsia="es-MX"/>
        </w:rPr>
        <w:t xml:space="preserve"> </w:t>
      </w:r>
      <w:r w:rsidR="00F00351" w:rsidRPr="008F129A">
        <w:rPr>
          <w:rFonts w:ascii="ITC Avant Garde" w:eastAsia="Times New Roman" w:hAnsi="ITC Avant Garde"/>
          <w:bCs/>
          <w:color w:val="000000"/>
          <w:lang w:val="es-ES" w:eastAsia="es-MX"/>
        </w:rPr>
        <w:t>solicit</w:t>
      </w:r>
      <w:r w:rsidR="0033192B" w:rsidRPr="008F129A">
        <w:rPr>
          <w:rFonts w:ascii="ITC Avant Garde" w:eastAsia="Times New Roman" w:hAnsi="ITC Avant Garde"/>
          <w:bCs/>
          <w:color w:val="000000"/>
          <w:lang w:val="es-ES" w:eastAsia="es-MX"/>
        </w:rPr>
        <w:t>ó</w:t>
      </w:r>
      <w:r w:rsidR="00F00351" w:rsidRPr="008F129A">
        <w:rPr>
          <w:rFonts w:ascii="ITC Avant Garde" w:eastAsia="Times New Roman" w:hAnsi="ITC Avant Garde"/>
          <w:bCs/>
          <w:color w:val="000000"/>
          <w:lang w:val="es-ES" w:eastAsia="es-MX"/>
        </w:rPr>
        <w:t xml:space="preserve"> el cambio de frecuencia</w:t>
      </w:r>
      <w:r w:rsidR="00CF32D7" w:rsidRPr="008F129A">
        <w:rPr>
          <w:rFonts w:ascii="ITC Avant Garde" w:eastAsia="Times New Roman" w:hAnsi="ITC Avant Garde"/>
          <w:bCs/>
          <w:color w:val="000000"/>
          <w:lang w:val="es-ES" w:eastAsia="es-MX"/>
        </w:rPr>
        <w:t xml:space="preserve"> del canal </w:t>
      </w:r>
      <w:r w:rsidR="004838BC" w:rsidRPr="008F129A">
        <w:rPr>
          <w:rFonts w:ascii="ITC Avant Garde" w:eastAsia="Times New Roman" w:hAnsi="ITC Avant Garde"/>
          <w:bCs/>
          <w:color w:val="000000"/>
          <w:lang w:val="es-ES" w:eastAsia="es-MX"/>
        </w:rPr>
        <w:t>38</w:t>
      </w:r>
      <w:r w:rsidR="000E0776" w:rsidRPr="008F129A">
        <w:rPr>
          <w:rFonts w:ascii="ITC Avant Garde" w:eastAsia="Times New Roman" w:hAnsi="ITC Avant Garde"/>
          <w:bCs/>
          <w:color w:val="000000"/>
          <w:lang w:val="es-ES" w:eastAsia="es-MX"/>
        </w:rPr>
        <w:t xml:space="preserve"> (614-620 MHz)</w:t>
      </w:r>
      <w:r w:rsidR="000D51B4" w:rsidRPr="008F129A">
        <w:rPr>
          <w:rFonts w:ascii="ITC Avant Garde" w:eastAsia="Times New Roman" w:hAnsi="ITC Avant Garde"/>
          <w:bCs/>
          <w:color w:val="000000"/>
          <w:lang w:val="es-ES" w:eastAsia="es-MX"/>
        </w:rPr>
        <w:t xml:space="preserve"> </w:t>
      </w:r>
      <w:r w:rsidR="00CF32D7" w:rsidRPr="008F129A">
        <w:rPr>
          <w:rFonts w:ascii="ITC Avant Garde" w:eastAsia="Times New Roman" w:hAnsi="ITC Avant Garde"/>
          <w:bCs/>
          <w:color w:val="000000"/>
          <w:lang w:val="es-ES" w:eastAsia="es-MX"/>
        </w:rPr>
        <w:t xml:space="preserve">por el canal </w:t>
      </w:r>
      <w:r w:rsidR="004838BC" w:rsidRPr="008F129A">
        <w:rPr>
          <w:rFonts w:ascii="ITC Avant Garde" w:eastAsia="Times New Roman" w:hAnsi="ITC Avant Garde"/>
          <w:bCs/>
          <w:color w:val="000000"/>
          <w:lang w:val="es-ES" w:eastAsia="es-MX"/>
        </w:rPr>
        <w:t>26</w:t>
      </w:r>
      <w:r w:rsidR="00FB525B" w:rsidRPr="008F129A">
        <w:rPr>
          <w:rFonts w:ascii="ITC Avant Garde" w:eastAsia="Times New Roman" w:hAnsi="ITC Avant Garde"/>
          <w:bCs/>
          <w:color w:val="000000"/>
          <w:lang w:val="es-ES" w:eastAsia="es-MX"/>
        </w:rPr>
        <w:t xml:space="preserve"> (542-548 MHz)</w:t>
      </w:r>
      <w:r w:rsidR="00F00351" w:rsidRPr="008F129A">
        <w:rPr>
          <w:rFonts w:ascii="ITC Avant Garde" w:eastAsia="Times New Roman" w:hAnsi="ITC Avant Garde"/>
          <w:bCs/>
          <w:color w:val="000000"/>
          <w:lang w:val="es-ES" w:eastAsia="es-MX"/>
        </w:rPr>
        <w:t xml:space="preserve"> derivado de </w:t>
      </w:r>
      <w:r w:rsidR="00F00351" w:rsidRPr="008F129A">
        <w:rPr>
          <w:rFonts w:ascii="ITC Avant Garde" w:hAnsi="ITC Avant Garde"/>
          <w:bCs/>
          <w:lang w:val="es-ES"/>
        </w:rPr>
        <w:t xml:space="preserve">la </w:t>
      </w:r>
      <w:r w:rsidR="00CF32D7" w:rsidRPr="008F129A">
        <w:rPr>
          <w:rFonts w:ascii="ITC Avant Garde" w:hAnsi="ITC Avant Garde"/>
          <w:bCs/>
          <w:lang w:val="es-ES"/>
        </w:rPr>
        <w:t>C</w:t>
      </w:r>
      <w:r w:rsidR="00F00351" w:rsidRPr="008F129A">
        <w:rPr>
          <w:rFonts w:ascii="ITC Avant Garde" w:hAnsi="ITC Avant Garde"/>
          <w:bCs/>
          <w:lang w:val="es-ES"/>
        </w:rPr>
        <w:t xml:space="preserve">oordinación con la Comisión Federal de Comunicaciones de los Estados Unidos de </w:t>
      </w:r>
      <w:r w:rsidR="0033192B" w:rsidRPr="008F129A">
        <w:rPr>
          <w:rFonts w:ascii="ITC Avant Garde" w:hAnsi="ITC Avant Garde"/>
          <w:bCs/>
          <w:lang w:val="es-ES"/>
        </w:rPr>
        <w:t>América</w:t>
      </w:r>
      <w:r w:rsidR="00ED4B5C" w:rsidRPr="008F129A">
        <w:rPr>
          <w:rFonts w:ascii="ITC Avant Garde" w:hAnsi="ITC Avant Garde"/>
          <w:bCs/>
          <w:lang w:val="es-ES"/>
        </w:rPr>
        <w:t>,</w:t>
      </w:r>
      <w:r w:rsidRPr="008F129A">
        <w:rPr>
          <w:rFonts w:ascii="ITC Avant Garde" w:hAnsi="ITC Avant Garde"/>
          <w:bCs/>
          <w:lang w:val="es-ES"/>
        </w:rPr>
        <w:t xml:space="preserve"> adjuntando a su </w:t>
      </w:r>
      <w:r w:rsidR="009275DB" w:rsidRPr="008F129A">
        <w:rPr>
          <w:rFonts w:ascii="ITC Avant Garde" w:hAnsi="ITC Avant Garde"/>
          <w:bCs/>
          <w:lang w:val="es-ES"/>
        </w:rPr>
        <w:t xml:space="preserve">escrito </w:t>
      </w:r>
      <w:r w:rsidRPr="008F129A">
        <w:rPr>
          <w:rFonts w:ascii="ITC Avant Garde" w:hAnsi="ITC Avant Garde"/>
          <w:bCs/>
        </w:rPr>
        <w:t xml:space="preserve">el correspondiente pago de derechos por el estudio de </w:t>
      </w:r>
      <w:r w:rsidR="009275DB" w:rsidRPr="008F129A">
        <w:rPr>
          <w:rFonts w:ascii="ITC Avant Garde" w:hAnsi="ITC Avant Garde"/>
          <w:bCs/>
        </w:rPr>
        <w:t>la</w:t>
      </w:r>
      <w:r w:rsidRPr="008F129A">
        <w:rPr>
          <w:rFonts w:ascii="ITC Avant Garde" w:hAnsi="ITC Avant Garde"/>
          <w:bCs/>
        </w:rPr>
        <w:t xml:space="preserve"> solicitud, así como la documentación técnica consistente en el estudio de predicción de áreas de servicio digitales (AS-TDT-I-II)</w:t>
      </w:r>
      <w:r w:rsidR="00FF4EEB" w:rsidRPr="008F129A">
        <w:rPr>
          <w:rFonts w:ascii="ITC Avant Garde" w:hAnsi="ITC Avant Garde"/>
          <w:bCs/>
        </w:rPr>
        <w:t xml:space="preserve"> y </w:t>
      </w:r>
      <w:r w:rsidR="000C77EB" w:rsidRPr="008F129A">
        <w:rPr>
          <w:rFonts w:ascii="ITC Avant Garde" w:hAnsi="ITC Avant Garde"/>
          <w:bCs/>
        </w:rPr>
        <w:t xml:space="preserve">el </w:t>
      </w:r>
      <w:r w:rsidR="00FF4EEB" w:rsidRPr="008F129A">
        <w:rPr>
          <w:rFonts w:ascii="ITC Avant Garde" w:hAnsi="ITC Avant Garde"/>
          <w:bCs/>
        </w:rPr>
        <w:t>croquis de operación múltiple (COM-TDT-I-II)</w:t>
      </w:r>
      <w:r w:rsidRPr="008F129A">
        <w:rPr>
          <w:rFonts w:ascii="ITC Avant Garde" w:hAnsi="ITC Avant Garde"/>
          <w:bCs/>
        </w:rPr>
        <w:t>.</w:t>
      </w:r>
    </w:p>
    <w:p w14:paraId="71DCEF2C" w14:textId="77777777" w:rsidR="008F129A" w:rsidRPr="008F129A" w:rsidRDefault="00980BA8" w:rsidP="008F129A">
      <w:pPr>
        <w:numPr>
          <w:ilvl w:val="0"/>
          <w:numId w:val="1"/>
        </w:numPr>
        <w:spacing w:before="240"/>
        <w:jc w:val="both"/>
        <w:rPr>
          <w:rFonts w:ascii="ITC Avant Garde" w:eastAsia="Times New Roman" w:hAnsi="ITC Avant Garde" w:cs="Arial"/>
          <w:kern w:val="1"/>
          <w:lang w:val="es-ES" w:eastAsia="ar-SA"/>
        </w:rPr>
      </w:pPr>
      <w:r w:rsidRPr="008F129A">
        <w:rPr>
          <w:rFonts w:ascii="ITC Avant Garde" w:hAnsi="ITC Avant Garde"/>
          <w:b/>
          <w:bCs/>
          <w:lang w:val="es-ES"/>
        </w:rPr>
        <w:t>Opinión de la Unidad de Competencia Económica.-</w:t>
      </w:r>
      <w:r w:rsidRPr="008F129A">
        <w:rPr>
          <w:rFonts w:ascii="ITC Avant Garde" w:eastAsia="Times New Roman" w:hAnsi="ITC Avant Garde" w:cs="Arial"/>
          <w:kern w:val="1"/>
          <w:lang w:val="es-ES" w:eastAsia="ar-SA"/>
        </w:rPr>
        <w:t xml:space="preserve"> Mediante oficio IFT/226/UCE/DG-CCON/277/2016 de fecha 21 de junio de 2016, la Dirección General de Concentraciones y Concesiones adscrita a la Unidad de Competencia Económica, en ejercicio de sus atribuciones conferidas en el artículo 50, fracción XII del Estatuto Orgánico, emitió el dictamen correspondiente a la Solicitud.</w:t>
      </w:r>
    </w:p>
    <w:p w14:paraId="2CB88D41" w14:textId="77777777" w:rsidR="008F129A" w:rsidRPr="008F129A" w:rsidRDefault="004A0EA8" w:rsidP="008F129A">
      <w:pPr>
        <w:numPr>
          <w:ilvl w:val="0"/>
          <w:numId w:val="1"/>
        </w:numPr>
        <w:spacing w:before="240"/>
        <w:jc w:val="both"/>
        <w:rPr>
          <w:rFonts w:ascii="ITC Avant Garde" w:hAnsi="ITC Avant Garde"/>
          <w:bCs/>
          <w:lang w:val="es-ES"/>
        </w:rPr>
      </w:pPr>
      <w:r w:rsidRPr="008F129A">
        <w:rPr>
          <w:rFonts w:ascii="ITC Avant Garde" w:eastAsia="Times New Roman" w:hAnsi="ITC Avant Garde" w:cs="Arial"/>
          <w:b/>
          <w:kern w:val="1"/>
          <w:lang w:val="es-ES" w:eastAsia="ar-SA"/>
        </w:rPr>
        <w:t xml:space="preserve">Opinión de la Unidad de Espectro Radioeléctrico.- </w:t>
      </w:r>
      <w:r w:rsidRPr="008F129A">
        <w:rPr>
          <w:rFonts w:ascii="ITC Avant Garde" w:eastAsia="Times New Roman" w:hAnsi="ITC Avant Garde" w:cs="Arial"/>
          <w:kern w:val="1"/>
          <w:lang w:val="es-ES" w:eastAsia="ar-SA"/>
        </w:rPr>
        <w:t>Mediante oficio IFT/222/UER/DG</w:t>
      </w:r>
      <w:r w:rsidR="00BD1C61" w:rsidRPr="008F129A">
        <w:rPr>
          <w:rFonts w:ascii="ITC Avant Garde" w:eastAsia="Times New Roman" w:hAnsi="ITC Avant Garde" w:cs="Arial"/>
          <w:kern w:val="1"/>
          <w:lang w:val="es-ES" w:eastAsia="ar-SA"/>
        </w:rPr>
        <w:t>-</w:t>
      </w:r>
      <w:r w:rsidRPr="008F129A">
        <w:rPr>
          <w:rFonts w:ascii="ITC Avant Garde" w:eastAsia="Times New Roman" w:hAnsi="ITC Avant Garde" w:cs="Arial"/>
          <w:kern w:val="1"/>
          <w:lang w:val="es-ES" w:eastAsia="ar-SA"/>
        </w:rPr>
        <w:t>IEET/</w:t>
      </w:r>
      <w:r w:rsidR="00851980" w:rsidRPr="008F129A">
        <w:rPr>
          <w:rFonts w:ascii="ITC Avant Garde" w:eastAsia="Times New Roman" w:hAnsi="ITC Avant Garde" w:cs="Arial"/>
          <w:kern w:val="1"/>
          <w:lang w:val="es-ES" w:eastAsia="ar-SA"/>
        </w:rPr>
        <w:t>0767</w:t>
      </w:r>
      <w:r w:rsidRPr="008F129A">
        <w:rPr>
          <w:rFonts w:ascii="ITC Avant Garde" w:eastAsia="Times New Roman" w:hAnsi="ITC Avant Garde" w:cs="Arial"/>
          <w:kern w:val="1"/>
          <w:lang w:val="es-ES" w:eastAsia="ar-SA"/>
        </w:rPr>
        <w:t>/</w:t>
      </w:r>
      <w:r w:rsidR="009D3B28" w:rsidRPr="008F129A">
        <w:rPr>
          <w:rFonts w:ascii="ITC Avant Garde" w:eastAsia="Times New Roman" w:hAnsi="ITC Avant Garde" w:cs="Arial"/>
          <w:kern w:val="1"/>
          <w:lang w:val="es-ES" w:eastAsia="ar-SA"/>
        </w:rPr>
        <w:t>201</w:t>
      </w:r>
      <w:r w:rsidR="004C3BE8" w:rsidRPr="008F129A">
        <w:rPr>
          <w:rFonts w:ascii="ITC Avant Garde" w:eastAsia="Times New Roman" w:hAnsi="ITC Avant Garde" w:cs="Arial"/>
          <w:kern w:val="1"/>
          <w:lang w:val="es-ES" w:eastAsia="ar-SA"/>
        </w:rPr>
        <w:t>6</w:t>
      </w:r>
      <w:r w:rsidRPr="008F129A">
        <w:rPr>
          <w:rFonts w:ascii="ITC Avant Garde" w:eastAsia="Times New Roman" w:hAnsi="ITC Avant Garde" w:cs="Arial"/>
          <w:kern w:val="1"/>
          <w:lang w:val="es-ES" w:eastAsia="ar-SA"/>
        </w:rPr>
        <w:t xml:space="preserve"> de fecha </w:t>
      </w:r>
      <w:r w:rsidR="004C3BE8" w:rsidRPr="008F129A">
        <w:rPr>
          <w:rFonts w:ascii="ITC Avant Garde" w:eastAsia="Times New Roman" w:hAnsi="ITC Avant Garde" w:cs="Arial"/>
          <w:kern w:val="1"/>
          <w:lang w:val="es-ES" w:eastAsia="ar-SA"/>
        </w:rPr>
        <w:t xml:space="preserve">5 </w:t>
      </w:r>
      <w:r w:rsidR="0096191F" w:rsidRPr="008F129A">
        <w:rPr>
          <w:rFonts w:ascii="ITC Avant Garde" w:eastAsia="Times New Roman" w:hAnsi="ITC Avant Garde" w:cs="Arial"/>
          <w:kern w:val="1"/>
          <w:lang w:val="es-ES" w:eastAsia="ar-SA"/>
        </w:rPr>
        <w:t xml:space="preserve">de </w:t>
      </w:r>
      <w:r w:rsidR="004C3BE8" w:rsidRPr="008F129A">
        <w:rPr>
          <w:rFonts w:ascii="ITC Avant Garde" w:eastAsia="Times New Roman" w:hAnsi="ITC Avant Garde" w:cs="Arial"/>
          <w:kern w:val="1"/>
          <w:lang w:val="es-ES" w:eastAsia="ar-SA"/>
        </w:rPr>
        <w:t xml:space="preserve">agosto </w:t>
      </w:r>
      <w:r w:rsidRPr="008F129A">
        <w:rPr>
          <w:rFonts w:ascii="ITC Avant Garde" w:eastAsia="Times New Roman" w:hAnsi="ITC Avant Garde" w:cs="Arial"/>
          <w:kern w:val="1"/>
          <w:lang w:val="es-ES" w:eastAsia="ar-SA"/>
        </w:rPr>
        <w:t>de 201</w:t>
      </w:r>
      <w:r w:rsidR="004C3BE8" w:rsidRPr="008F129A">
        <w:rPr>
          <w:rFonts w:ascii="ITC Avant Garde" w:eastAsia="Times New Roman" w:hAnsi="ITC Avant Garde" w:cs="Arial"/>
          <w:kern w:val="1"/>
          <w:lang w:val="es-ES" w:eastAsia="ar-SA"/>
        </w:rPr>
        <w:t>6</w:t>
      </w:r>
      <w:r w:rsidRPr="008F129A">
        <w:rPr>
          <w:rFonts w:ascii="ITC Avant Garde" w:eastAsia="Times New Roman" w:hAnsi="ITC Avant Garde" w:cs="Arial"/>
          <w:kern w:val="1"/>
          <w:lang w:val="es-ES" w:eastAsia="ar-SA"/>
        </w:rPr>
        <w:t xml:space="preserve">, </w:t>
      </w:r>
      <w:r w:rsidR="009275DB" w:rsidRPr="008F129A">
        <w:rPr>
          <w:rFonts w:ascii="ITC Avant Garde" w:eastAsia="Times New Roman" w:hAnsi="ITC Avant Garde" w:cs="Arial"/>
          <w:kern w:val="1"/>
          <w:lang w:val="es-ES" w:eastAsia="ar-SA"/>
        </w:rPr>
        <w:t xml:space="preserve">la </w:t>
      </w:r>
      <w:r w:rsidRPr="008F129A">
        <w:rPr>
          <w:rFonts w:ascii="ITC Avant Garde" w:eastAsia="Times New Roman" w:hAnsi="ITC Avant Garde" w:cs="Arial"/>
          <w:kern w:val="1"/>
          <w:lang w:val="es-ES" w:eastAsia="ar-SA"/>
        </w:rPr>
        <w:t>Direc</w:t>
      </w:r>
      <w:r w:rsidR="009275DB" w:rsidRPr="008F129A">
        <w:rPr>
          <w:rFonts w:ascii="ITC Avant Garde" w:eastAsia="Times New Roman" w:hAnsi="ITC Avant Garde" w:cs="Arial"/>
          <w:kern w:val="1"/>
          <w:lang w:val="es-ES" w:eastAsia="ar-SA"/>
        </w:rPr>
        <w:t>ción</w:t>
      </w:r>
      <w:r w:rsidRPr="008F129A">
        <w:rPr>
          <w:rFonts w:ascii="ITC Avant Garde" w:eastAsia="Times New Roman" w:hAnsi="ITC Avant Garde" w:cs="Arial"/>
          <w:kern w:val="1"/>
          <w:lang w:val="es-ES" w:eastAsia="ar-SA"/>
        </w:rPr>
        <w:t xml:space="preserve"> General de Ingeniería del Espectro y Estudios Técnicos de la Unidad de Espectro Radioeléctrico, en ejercicio </w:t>
      </w:r>
      <w:r w:rsidR="009275DB" w:rsidRPr="008F129A">
        <w:rPr>
          <w:rFonts w:ascii="ITC Avant Garde" w:eastAsia="Times New Roman" w:hAnsi="ITC Avant Garde" w:cs="Arial"/>
          <w:kern w:val="1"/>
          <w:lang w:val="es-ES" w:eastAsia="ar-SA"/>
        </w:rPr>
        <w:t>de sus atribuciones</w:t>
      </w:r>
      <w:r w:rsidRPr="008F129A">
        <w:rPr>
          <w:rFonts w:ascii="ITC Avant Garde" w:eastAsia="Times New Roman" w:hAnsi="ITC Avant Garde" w:cs="Arial"/>
          <w:kern w:val="1"/>
          <w:lang w:val="es-ES" w:eastAsia="ar-SA"/>
        </w:rPr>
        <w:t xml:space="preserve"> conferida</w:t>
      </w:r>
      <w:r w:rsidR="009275DB" w:rsidRPr="008F129A">
        <w:rPr>
          <w:rFonts w:ascii="ITC Avant Garde" w:eastAsia="Times New Roman" w:hAnsi="ITC Avant Garde" w:cs="Arial"/>
          <w:kern w:val="1"/>
          <w:lang w:val="es-ES" w:eastAsia="ar-SA"/>
        </w:rPr>
        <w:t>s</w:t>
      </w:r>
      <w:r w:rsidRPr="008F129A">
        <w:rPr>
          <w:rFonts w:ascii="ITC Avant Garde" w:eastAsia="Times New Roman" w:hAnsi="ITC Avant Garde" w:cs="Arial"/>
          <w:kern w:val="1"/>
          <w:lang w:val="es-ES" w:eastAsia="ar-SA"/>
        </w:rPr>
        <w:t xml:space="preserve"> en el artículo 31, fracción XIX del Estatuto Orgánico, emitió el dictamen</w:t>
      </w:r>
      <w:r w:rsidR="009275DB" w:rsidRPr="008F129A">
        <w:rPr>
          <w:rFonts w:ascii="ITC Avant Garde" w:eastAsia="Times New Roman" w:hAnsi="ITC Avant Garde" w:cs="Arial"/>
          <w:kern w:val="1"/>
          <w:lang w:val="es-ES" w:eastAsia="ar-SA"/>
        </w:rPr>
        <w:t xml:space="preserve"> técnico</w:t>
      </w:r>
      <w:r w:rsidRPr="008F129A">
        <w:rPr>
          <w:rFonts w:ascii="ITC Avant Garde" w:eastAsia="Times New Roman" w:hAnsi="ITC Avant Garde" w:cs="Arial"/>
          <w:kern w:val="1"/>
          <w:lang w:val="es-ES" w:eastAsia="ar-SA"/>
        </w:rPr>
        <w:t xml:space="preserve"> correspondiente</w:t>
      </w:r>
      <w:r w:rsidR="004C3BE8" w:rsidRPr="008F129A">
        <w:rPr>
          <w:rFonts w:ascii="ITC Avant Garde" w:hAnsi="ITC Avant Garde"/>
          <w:bCs/>
          <w:lang w:val="es-ES"/>
        </w:rPr>
        <w:t>.</w:t>
      </w:r>
    </w:p>
    <w:p w14:paraId="59C30615" w14:textId="77777777" w:rsidR="008F129A" w:rsidRPr="008F129A" w:rsidRDefault="004A0EA8" w:rsidP="008F129A">
      <w:pPr>
        <w:pStyle w:val="Ttulo2"/>
        <w:spacing w:after="240"/>
        <w:jc w:val="center"/>
        <w:rPr>
          <w:rFonts w:ascii="ITC Avant Garde" w:hAnsi="ITC Avant Garde"/>
          <w:b/>
          <w:color w:val="000000" w:themeColor="text1"/>
          <w:sz w:val="22"/>
          <w:szCs w:val="22"/>
        </w:rPr>
      </w:pPr>
      <w:r w:rsidRPr="008F129A">
        <w:rPr>
          <w:rFonts w:ascii="ITC Avant Garde" w:hAnsi="ITC Avant Garde"/>
          <w:b/>
          <w:color w:val="000000" w:themeColor="text1"/>
          <w:sz w:val="22"/>
          <w:szCs w:val="22"/>
        </w:rPr>
        <w:t>CONSIDERANDO</w:t>
      </w:r>
    </w:p>
    <w:p w14:paraId="41F3E822" w14:textId="77777777" w:rsidR="008F129A" w:rsidRPr="008F129A" w:rsidRDefault="004A0EA8" w:rsidP="008F129A">
      <w:pPr>
        <w:autoSpaceDE w:val="0"/>
        <w:autoSpaceDN w:val="0"/>
        <w:adjustRightInd w:val="0"/>
        <w:spacing w:before="240"/>
        <w:jc w:val="both"/>
        <w:rPr>
          <w:rFonts w:ascii="ITC Avant Garde" w:hAnsi="ITC Avant Garde"/>
          <w:bCs/>
          <w:lang w:val="es-ES"/>
        </w:rPr>
      </w:pPr>
      <w:r w:rsidRPr="008F129A">
        <w:rPr>
          <w:rFonts w:ascii="ITC Avant Garde" w:hAnsi="ITC Avant Garde"/>
          <w:b/>
          <w:bCs/>
        </w:rPr>
        <w:t>Primero.-</w:t>
      </w:r>
      <w:r w:rsidRPr="008F129A">
        <w:rPr>
          <w:rFonts w:ascii="ITC Avant Garde" w:hAnsi="ITC Avant Garde"/>
          <w:bCs/>
        </w:rPr>
        <w:t xml:space="preserve"> </w:t>
      </w:r>
      <w:r w:rsidRPr="008F129A">
        <w:rPr>
          <w:rFonts w:ascii="ITC Avant Garde" w:hAnsi="ITC Avant Garde"/>
          <w:b/>
          <w:bCs/>
        </w:rPr>
        <w:t>Competencia.</w:t>
      </w:r>
      <w:r w:rsidRPr="008F129A">
        <w:rPr>
          <w:rFonts w:ascii="ITC Avant Garde" w:hAnsi="ITC Avant Garde"/>
          <w:bCs/>
        </w:rPr>
        <w:t xml:space="preserve"> </w:t>
      </w:r>
      <w:r w:rsidR="001350AC" w:rsidRPr="008F129A">
        <w:rPr>
          <w:rFonts w:ascii="ITC Avant Garde" w:hAnsi="ITC Avant Garde"/>
          <w:bCs/>
        </w:rPr>
        <w:t>Conforme lo dispone el artículo 28 párrafo décimo quinto y décimo sexto de la Constitución, e</w:t>
      </w:r>
      <w:r w:rsidR="001350AC" w:rsidRPr="008F129A">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0D11DE31" w14:textId="77777777" w:rsidR="008F129A" w:rsidRPr="008F129A" w:rsidRDefault="001350AC" w:rsidP="008F129A">
      <w:pPr>
        <w:autoSpaceDE w:val="0"/>
        <w:autoSpaceDN w:val="0"/>
        <w:adjustRightInd w:val="0"/>
        <w:spacing w:before="240"/>
        <w:jc w:val="both"/>
        <w:rPr>
          <w:rFonts w:ascii="ITC Avant Garde" w:hAnsi="ITC Avant Garde"/>
          <w:bCs/>
        </w:rPr>
      </w:pPr>
      <w:r w:rsidRPr="008F129A">
        <w:rPr>
          <w:rFonts w:ascii="ITC Avant Garde" w:hAnsi="ITC Avant Garde"/>
          <w:bCs/>
        </w:rPr>
        <w:lastRenderedPageBreak/>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0256124E" w14:textId="77777777" w:rsidR="008F129A" w:rsidRPr="008F129A" w:rsidRDefault="001350AC" w:rsidP="008F129A">
      <w:pPr>
        <w:autoSpaceDE w:val="0"/>
        <w:autoSpaceDN w:val="0"/>
        <w:adjustRightInd w:val="0"/>
        <w:spacing w:before="240"/>
        <w:jc w:val="both"/>
        <w:rPr>
          <w:rFonts w:ascii="ITC Avant Garde" w:hAnsi="ITC Avant Garde"/>
          <w:bCs/>
        </w:rPr>
      </w:pPr>
      <w:r w:rsidRPr="008F129A">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5E115ED5" w14:textId="77777777" w:rsidR="008F129A" w:rsidRPr="008F129A" w:rsidRDefault="001350AC" w:rsidP="008F129A">
      <w:pPr>
        <w:autoSpaceDE w:val="0"/>
        <w:autoSpaceDN w:val="0"/>
        <w:adjustRightInd w:val="0"/>
        <w:spacing w:before="240"/>
        <w:jc w:val="both"/>
        <w:rPr>
          <w:rFonts w:ascii="ITC Avant Garde" w:hAnsi="ITC Avant Garde" w:cs="Tahoma"/>
          <w:bCs/>
          <w:lang w:val="es-ES_tradnl" w:eastAsia="es-MX"/>
        </w:rPr>
      </w:pPr>
      <w:r w:rsidRPr="008F129A">
        <w:rPr>
          <w:rFonts w:ascii="ITC Avant Garde" w:hAnsi="ITC Avant Garde"/>
          <w:bCs/>
        </w:rPr>
        <w:t xml:space="preserve">Ahora bien, corresponde al Pleno del Instituto conforme a lo establecido en los artículos 15 fracción XV y 17 fracción I de la Ley Federal de Telecomunicaciones y Radiodifusión (la “Ley”), resolver sobre el </w:t>
      </w:r>
      <w:r w:rsidRPr="008F129A">
        <w:rPr>
          <w:rFonts w:ascii="ITC Avant Garde" w:hAnsi="ITC Avant Garde" w:cs="Tahoma"/>
          <w:bCs/>
          <w:lang w:eastAsia="es-MX"/>
        </w:rPr>
        <w:t>cambio de frecuencias</w:t>
      </w:r>
      <w:r w:rsidRPr="008F129A">
        <w:rPr>
          <w:rFonts w:ascii="ITC Avant Garde" w:hAnsi="ITC Avant Garde" w:cs="Tahoma"/>
          <w:bCs/>
          <w:lang w:val="es-ES_tradnl" w:eastAsia="es-MX"/>
        </w:rPr>
        <w:t xml:space="preserve"> relacionadas con las concesiones.</w:t>
      </w:r>
    </w:p>
    <w:p w14:paraId="6F4958E5" w14:textId="77777777" w:rsidR="008F129A" w:rsidRPr="008F129A" w:rsidRDefault="001350AC" w:rsidP="008F129A">
      <w:pPr>
        <w:autoSpaceDE w:val="0"/>
        <w:autoSpaceDN w:val="0"/>
        <w:adjustRightInd w:val="0"/>
        <w:spacing w:before="240"/>
        <w:jc w:val="both"/>
        <w:rPr>
          <w:rFonts w:ascii="ITC Avant Garde" w:hAnsi="ITC Avant Garde" w:cs="Tahoma"/>
          <w:bCs/>
          <w:lang w:eastAsia="es-MX"/>
        </w:rPr>
      </w:pPr>
      <w:r w:rsidRPr="008F129A">
        <w:rPr>
          <w:rFonts w:ascii="ITC Avant Garde" w:hAnsi="ITC Avant Garde"/>
          <w:bCs/>
        </w:rPr>
        <w:t>En este sentido</w:t>
      </w:r>
      <w:r w:rsidRPr="008F129A">
        <w:rPr>
          <w:rFonts w:ascii="ITC Avant Garde" w:hAnsi="ITC Avant Garde" w:cs="Tahoma"/>
          <w:bCs/>
          <w:lang w:eastAsia="es-MX"/>
        </w:rPr>
        <w:t xml:space="preserve">, conforme al artículo 32 del Estatuto Orgánico, </w:t>
      </w:r>
      <w:r w:rsidRPr="008F129A">
        <w:rPr>
          <w:rFonts w:ascii="ITC Avant Garde" w:hAnsi="ITC Avant Garde"/>
          <w:bCs/>
        </w:rPr>
        <w:t xml:space="preserve">corresponden originariamente a </w:t>
      </w:r>
      <w:r w:rsidRPr="008F129A">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XIII del ordenamiento jurídico en cita, </w:t>
      </w:r>
      <w:r w:rsidRPr="008F129A">
        <w:rPr>
          <w:rFonts w:ascii="ITC Avant Garde" w:hAnsi="ITC Avant Garde" w:cs="Tahoma"/>
          <w:bCs/>
          <w:lang w:val="es-ES_tradnl" w:eastAsia="es-MX"/>
        </w:rPr>
        <w:t>tramitar las solicitudes para el cambio de bandas de frecuencias del espectro radioeléctrico de concesionarios y permisionarios en materia de radiodifusión y, previa opinión de la Unidad de Competencia Económica y de la Unidad de Espectro Radioeléctrico, someterlas a consideración del Pleno</w:t>
      </w:r>
      <w:r w:rsidRPr="008F129A">
        <w:rPr>
          <w:rFonts w:ascii="ITC Avant Garde" w:hAnsi="ITC Avant Garde" w:cs="Tahoma"/>
          <w:bCs/>
          <w:lang w:eastAsia="es-MX"/>
        </w:rPr>
        <w:t>.</w:t>
      </w:r>
    </w:p>
    <w:p w14:paraId="2B572DB0" w14:textId="77777777" w:rsidR="008F129A" w:rsidRPr="008F129A" w:rsidRDefault="001350AC" w:rsidP="008F129A">
      <w:pPr>
        <w:autoSpaceDE w:val="0"/>
        <w:autoSpaceDN w:val="0"/>
        <w:adjustRightInd w:val="0"/>
        <w:spacing w:before="240"/>
        <w:jc w:val="both"/>
        <w:rPr>
          <w:rFonts w:ascii="ITC Avant Garde" w:hAnsi="ITC Avant Garde"/>
          <w:bCs/>
        </w:rPr>
      </w:pPr>
      <w:r w:rsidRPr="008F129A">
        <w:rPr>
          <w:rFonts w:ascii="ITC Avant Garde" w:hAnsi="ITC Avant Garde"/>
          <w:bCs/>
        </w:rPr>
        <w:t xml:space="preserve">En este orden de ideas, considerando que el Instituto tiene a su cargo la regulación, promoción y supervisión de las telecomunicaciones y la radiodifusión, así como la facultad </w:t>
      </w:r>
      <w:r w:rsidRPr="008F129A">
        <w:rPr>
          <w:rFonts w:ascii="ITC Avant Garde" w:hAnsi="ITC Avant Garde" w:cs="Tahoma"/>
          <w:bCs/>
          <w:lang w:eastAsia="es-MX"/>
        </w:rPr>
        <w:t xml:space="preserve">para </w:t>
      </w:r>
      <w:r w:rsidRPr="008F129A">
        <w:rPr>
          <w:rFonts w:ascii="ITC Avant Garde" w:hAnsi="ITC Avant Garde" w:cs="Tahoma"/>
          <w:bCs/>
          <w:lang w:val="es-ES_tradnl" w:eastAsia="es-MX"/>
        </w:rPr>
        <w:t>autorizar los cambios de frecuencias</w:t>
      </w:r>
      <w:r w:rsidRPr="008F129A">
        <w:rPr>
          <w:rFonts w:ascii="ITC Avant Garde" w:hAnsi="ITC Avant Garde"/>
          <w:bCs/>
        </w:rPr>
        <w:t>, el Pleno, como órgano máximo de gobierno del Instituto, se encuentra plenamente facultado para resolver sobre el cambio de banda de frecuencia (canal) que nos ocupa.</w:t>
      </w:r>
    </w:p>
    <w:p w14:paraId="3F134A6B" w14:textId="77777777" w:rsidR="008F129A" w:rsidRPr="008F129A" w:rsidRDefault="004A0EA8" w:rsidP="008F129A">
      <w:pPr>
        <w:autoSpaceDE w:val="0"/>
        <w:autoSpaceDN w:val="0"/>
        <w:adjustRightInd w:val="0"/>
        <w:spacing w:before="240"/>
        <w:jc w:val="both"/>
        <w:rPr>
          <w:rFonts w:ascii="ITC Avant Garde" w:hAnsi="ITC Avant Garde"/>
          <w:bCs/>
        </w:rPr>
      </w:pPr>
      <w:r w:rsidRPr="008F129A">
        <w:rPr>
          <w:rFonts w:ascii="ITC Avant Garde" w:hAnsi="ITC Avant Garde"/>
          <w:b/>
          <w:bCs/>
        </w:rPr>
        <w:t>Segundo.-</w:t>
      </w:r>
      <w:r w:rsidRPr="008F129A">
        <w:rPr>
          <w:rFonts w:ascii="ITC Avant Garde" w:hAnsi="ITC Avant Garde"/>
          <w:bCs/>
        </w:rPr>
        <w:t xml:space="preserve"> </w:t>
      </w:r>
      <w:r w:rsidRPr="008F129A">
        <w:rPr>
          <w:rFonts w:ascii="ITC Avant Garde" w:hAnsi="ITC Avant Garde"/>
          <w:b/>
          <w:bCs/>
        </w:rPr>
        <w:t>Marco legal aplicable a la Solicitud de Cambio de Frecuencia.</w:t>
      </w:r>
      <w:r w:rsidRPr="008F129A">
        <w:rPr>
          <w:rFonts w:ascii="ITC Avant Garde" w:hAnsi="ITC Avant Garde"/>
          <w:bCs/>
        </w:rPr>
        <w:t xml:space="preserve"> </w:t>
      </w:r>
      <w:r w:rsidR="001350AC" w:rsidRPr="008F129A">
        <w:rPr>
          <w:rFonts w:ascii="ITC Avant Garde" w:hAnsi="ITC Avant Garde"/>
          <w:bCs/>
        </w:rPr>
        <w:t xml:space="preserve">Considerando la fecha de presentación de la Solicitud, se deberá observar lo dispuesto en los artículos 105, 106, 107 y 155 de la Ley, en los cuales se establecen los supuestos, procedimientos y condiciones para realizar cualquier cambio de frecuencias, así como la obligación de los operadores para que las </w:t>
      </w:r>
      <w:r w:rsidR="001350AC" w:rsidRPr="008F129A">
        <w:rPr>
          <w:rFonts w:ascii="ITC Avant Garde" w:hAnsi="ITC Avant Garde"/>
          <w:bCs/>
          <w:lang w:val="es-ES_tradnl"/>
        </w:rPr>
        <w:t>estaciones radiodifusoras y sus equipos complementarios se instalen y operen con sujeción a los requisitos técnicos que determine el Instituto.</w:t>
      </w:r>
    </w:p>
    <w:p w14:paraId="35CBA4E1" w14:textId="77777777" w:rsidR="008F129A" w:rsidRPr="008F129A" w:rsidRDefault="001350AC" w:rsidP="008F129A">
      <w:pPr>
        <w:autoSpaceDE w:val="0"/>
        <w:autoSpaceDN w:val="0"/>
        <w:adjustRightInd w:val="0"/>
        <w:spacing w:before="240"/>
        <w:jc w:val="both"/>
        <w:rPr>
          <w:rFonts w:ascii="ITC Avant Garde" w:hAnsi="ITC Avant Garde"/>
          <w:bCs/>
        </w:rPr>
      </w:pPr>
      <w:r w:rsidRPr="008F129A">
        <w:rPr>
          <w:rFonts w:ascii="ITC Avant Garde" w:hAnsi="ITC Avant Garde"/>
          <w:bCs/>
        </w:rPr>
        <w:lastRenderedPageBreak/>
        <w:t>Aunado a los preceptos antes señalados, cabe destacar que para este tipo de solicitudes deben acatarse los requisitos de procedencia establecidos en el artículo 174-C fracción X de la Ley Federal de Derechos</w:t>
      </w:r>
      <w:r w:rsidRPr="008F129A">
        <w:rPr>
          <w:rFonts w:ascii="ITC Avant Garde" w:hAnsi="ITC Avant Garde"/>
          <w:color w:val="000000"/>
          <w:lang w:val="es-ES" w:eastAsia="es-ES"/>
        </w:rPr>
        <w:t xml:space="preserve"> vigente a la presentación de la Solicitud</w:t>
      </w:r>
      <w:r w:rsidRPr="008F129A">
        <w:rPr>
          <w:rFonts w:ascii="ITC Avant Garde" w:hAnsi="ITC Avant Garde"/>
          <w:bCs/>
        </w:rPr>
        <w:t>, el cual dispone la obligación de pagar los derechos por el trámite relativo al estudio de solicitud y documentación inherente a la misma, de cambios de canal como en el caso que nos ocupa.</w:t>
      </w:r>
    </w:p>
    <w:p w14:paraId="548E7BD1" w14:textId="77777777" w:rsidR="008F129A" w:rsidRPr="008F129A" w:rsidRDefault="004A0EA8" w:rsidP="008F129A">
      <w:pPr>
        <w:spacing w:before="240"/>
        <w:jc w:val="both"/>
        <w:rPr>
          <w:rFonts w:ascii="ITC Avant Garde" w:hAnsi="ITC Avant Garde"/>
          <w:bCs/>
        </w:rPr>
      </w:pPr>
      <w:r w:rsidRPr="008F129A">
        <w:rPr>
          <w:rFonts w:ascii="ITC Avant Garde" w:hAnsi="ITC Avant Garde"/>
          <w:b/>
          <w:bCs/>
        </w:rPr>
        <w:t xml:space="preserve">Tercero.- Análisis de la solicitud de cambio de frecuencia.- </w:t>
      </w:r>
      <w:r w:rsidR="003378DC" w:rsidRPr="008F129A">
        <w:rPr>
          <w:rFonts w:ascii="ITC Avant Garde" w:hAnsi="ITC Avant Garde"/>
          <w:bCs/>
        </w:rPr>
        <w:t xml:space="preserve">El artículo 155 de la Ley, dispone que </w:t>
      </w:r>
      <w:r w:rsidR="003378DC" w:rsidRPr="008F129A">
        <w:rPr>
          <w:rFonts w:ascii="ITC Avant Garde" w:hAnsi="ITC Avant Garde"/>
          <w:bCs/>
          <w:lang w:val="es-ES_tradnl"/>
        </w:rPr>
        <w:t>las estaciones radiodifusoras se instalarán y operarán con sujeción a los requisitos técnicos que fije el Instituto de acuerdo con lo establecido en la Ley, las normas técnicas, y las demás disposiciones aplicables y, asimismo establece que las modificaciones a las características técnicas se someterán a la aprobación del Instituto, supuesto que se actualiza en el presente</w:t>
      </w:r>
      <w:r w:rsidR="003378DC" w:rsidRPr="008F129A">
        <w:rPr>
          <w:rFonts w:ascii="ITC Avant Garde" w:hAnsi="ITC Avant Garde"/>
          <w:bCs/>
        </w:rPr>
        <w:t xml:space="preserve"> cambio de banda de frecuencia (canal) que nos ocupa. Dicho artículo de la legislación de la materia expresamente señala:</w:t>
      </w:r>
    </w:p>
    <w:p w14:paraId="64CF05A5" w14:textId="77777777" w:rsidR="008F129A"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
          <w:bCs/>
          <w:sz w:val="19"/>
          <w:szCs w:val="19"/>
        </w:rPr>
        <w:t>“Artículo 155</w:t>
      </w:r>
      <w:r w:rsidRPr="008F129A">
        <w:rPr>
          <w:rFonts w:ascii="ITC Avant Garde" w:hAnsi="ITC Avant Garde"/>
          <w:bCs/>
          <w:sz w:val="19"/>
          <w:szCs w:val="19"/>
        </w:rPr>
        <w:t>. Las estaciones radiodifusoras y sus equipos complementarios se construirán, instalarán y operarán con sujeción a los requisitos técnicos que fije el Instituto de acuerdo con lo establecido en esta Ley, los tratados internacionales, las normas oficiales mexicanas, normas técnicas, las normas de ingeniería generalmente aceptadas y las demás disposiciones aplicables. Las modificaciones a las características técnicas se someterán a la aprobación del Instituto.”</w:t>
      </w:r>
    </w:p>
    <w:p w14:paraId="47F56F41" w14:textId="77777777" w:rsidR="008F129A" w:rsidRPr="008F129A" w:rsidRDefault="003378DC" w:rsidP="008F129A">
      <w:pPr>
        <w:spacing w:before="240"/>
        <w:jc w:val="both"/>
        <w:rPr>
          <w:rFonts w:ascii="ITC Avant Garde" w:hAnsi="ITC Avant Garde"/>
          <w:bCs/>
        </w:rPr>
      </w:pPr>
      <w:r w:rsidRPr="008F129A">
        <w:rPr>
          <w:rFonts w:ascii="ITC Avant Garde" w:hAnsi="ITC Avant Garde"/>
          <w:bCs/>
        </w:rPr>
        <w:t>Por su parte, el artículo 105 de la Ley en lo que se refiere al cambio de frecuencias, dispone:</w:t>
      </w:r>
    </w:p>
    <w:p w14:paraId="4FC33D0E" w14:textId="77777777" w:rsidR="008F129A"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
          <w:bCs/>
          <w:sz w:val="19"/>
          <w:szCs w:val="19"/>
        </w:rPr>
        <w:t>"Artículo 105.</w:t>
      </w:r>
      <w:r w:rsidRPr="008F129A">
        <w:rPr>
          <w:rFonts w:ascii="ITC Avant Garde" w:hAnsi="ITC Avant Garde"/>
          <w:bCs/>
          <w:sz w:val="19"/>
          <w:szCs w:val="19"/>
        </w:rPr>
        <w:t xml:space="preserve"> El Instituto podrá cambiar o rescatar bandas de frecuencias o recursos orbitales, en cualquiera de los siguientes casos:</w:t>
      </w:r>
    </w:p>
    <w:p w14:paraId="4F805410" w14:textId="2DB9E642" w:rsidR="003378DC" w:rsidRPr="008F129A" w:rsidRDefault="003378DC" w:rsidP="008F129A">
      <w:pPr>
        <w:pStyle w:val="Prrafodelista"/>
        <w:numPr>
          <w:ilvl w:val="0"/>
          <w:numId w:val="8"/>
        </w:numPr>
        <w:spacing w:before="240" w:after="200"/>
        <w:ind w:right="899"/>
        <w:jc w:val="both"/>
        <w:rPr>
          <w:rFonts w:ascii="ITC Avant Garde" w:hAnsi="ITC Avant Garde"/>
          <w:bCs/>
          <w:sz w:val="19"/>
          <w:szCs w:val="19"/>
        </w:rPr>
      </w:pPr>
      <w:r w:rsidRPr="008F129A">
        <w:rPr>
          <w:rFonts w:ascii="ITC Avant Garde" w:hAnsi="ITC Avant Garde"/>
          <w:bCs/>
          <w:sz w:val="19"/>
          <w:szCs w:val="19"/>
        </w:rPr>
        <w:tab/>
        <w:t>Cuando lo exija el interés público;</w:t>
      </w:r>
    </w:p>
    <w:p w14:paraId="0925BEC9" w14:textId="77777777" w:rsidR="003378DC"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II.</w:t>
      </w:r>
      <w:r w:rsidRPr="008F129A">
        <w:rPr>
          <w:rFonts w:ascii="ITC Avant Garde" w:hAnsi="ITC Avant Garde"/>
          <w:bCs/>
          <w:sz w:val="19"/>
          <w:szCs w:val="19"/>
        </w:rPr>
        <w:tab/>
        <w:t>Por razones de seguridad nacional, a solicitud del Ejecutivo Federal;</w:t>
      </w:r>
    </w:p>
    <w:p w14:paraId="0814D7C0" w14:textId="77777777" w:rsidR="003378DC"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III.</w:t>
      </w:r>
      <w:r w:rsidRPr="008F129A">
        <w:rPr>
          <w:rFonts w:ascii="ITC Avant Garde" w:hAnsi="ITC Avant Garde"/>
          <w:bCs/>
          <w:sz w:val="19"/>
          <w:szCs w:val="19"/>
        </w:rPr>
        <w:tab/>
        <w:t>Para la introducción de nuevas tecnologías;</w:t>
      </w:r>
    </w:p>
    <w:p w14:paraId="22A5931B" w14:textId="77777777" w:rsidR="003378DC"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IV.</w:t>
      </w:r>
      <w:r w:rsidRPr="008F129A">
        <w:rPr>
          <w:rFonts w:ascii="ITC Avant Garde" w:hAnsi="ITC Avant Garde"/>
          <w:bCs/>
          <w:sz w:val="19"/>
          <w:szCs w:val="19"/>
        </w:rPr>
        <w:tab/>
        <w:t>Para solucionar problemas de interferencia perjudicial;</w:t>
      </w:r>
    </w:p>
    <w:p w14:paraId="450928AF" w14:textId="5C7EEDF9" w:rsidR="003378DC"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V.</w:t>
      </w:r>
      <w:r w:rsidRPr="008F129A">
        <w:rPr>
          <w:rFonts w:ascii="ITC Avant Garde" w:hAnsi="ITC Avant Garde"/>
          <w:bCs/>
          <w:sz w:val="19"/>
          <w:szCs w:val="19"/>
        </w:rPr>
        <w:tab/>
        <w:t>Para dar cumplimiento a los tratados int</w:t>
      </w:r>
      <w:r w:rsidR="008F129A">
        <w:rPr>
          <w:rFonts w:ascii="ITC Avant Garde" w:hAnsi="ITC Avant Garde"/>
          <w:bCs/>
          <w:sz w:val="19"/>
          <w:szCs w:val="19"/>
        </w:rPr>
        <w:t xml:space="preserve">ernacionales suscritos por el </w:t>
      </w:r>
      <w:bookmarkStart w:id="0" w:name="_GoBack"/>
      <w:bookmarkEnd w:id="0"/>
      <w:r w:rsidRPr="008F129A">
        <w:rPr>
          <w:rFonts w:ascii="ITC Avant Garde" w:hAnsi="ITC Avant Garde"/>
          <w:bCs/>
          <w:sz w:val="19"/>
          <w:szCs w:val="19"/>
        </w:rPr>
        <w:t>Estado Mexicano;</w:t>
      </w:r>
    </w:p>
    <w:p w14:paraId="0B6A8C0E" w14:textId="77777777" w:rsidR="003378DC"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VI.</w:t>
      </w:r>
      <w:r w:rsidRPr="008F129A">
        <w:rPr>
          <w:rFonts w:ascii="ITC Avant Garde" w:hAnsi="ITC Avant Garde"/>
          <w:bCs/>
          <w:sz w:val="19"/>
          <w:szCs w:val="19"/>
        </w:rPr>
        <w:tab/>
      </w:r>
      <w:r w:rsidRPr="008F129A">
        <w:rPr>
          <w:rFonts w:ascii="ITC Avant Garde" w:hAnsi="ITC Avant Garde"/>
          <w:bCs/>
          <w:sz w:val="19"/>
          <w:szCs w:val="19"/>
          <w:u w:val="single"/>
        </w:rPr>
        <w:t>Para el reordenamiento de bandas de frecuencias</w:t>
      </w:r>
      <w:r w:rsidRPr="008F129A">
        <w:rPr>
          <w:rFonts w:ascii="ITC Avant Garde" w:hAnsi="ITC Avant Garde"/>
          <w:bCs/>
          <w:sz w:val="19"/>
          <w:szCs w:val="19"/>
        </w:rPr>
        <w:t>, y</w:t>
      </w:r>
    </w:p>
    <w:p w14:paraId="118BBDB2" w14:textId="77777777" w:rsidR="003378DC"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VII.</w:t>
      </w:r>
      <w:r w:rsidRPr="008F129A">
        <w:rPr>
          <w:rFonts w:ascii="ITC Avant Garde" w:hAnsi="ITC Avant Garde"/>
          <w:bCs/>
          <w:sz w:val="19"/>
          <w:szCs w:val="19"/>
        </w:rPr>
        <w:tab/>
        <w:t>Para la continuidad de un servicio público.</w:t>
      </w:r>
    </w:p>
    <w:p w14:paraId="6EE3E482" w14:textId="77777777" w:rsidR="008F129A"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lastRenderedPageBreak/>
        <w:t>Tratándose de cambio de frecuencias, el Instituto podrá otorgar directamente al concesionario nuevas bandas de frecuencias mediante las cuales se puedan ofrecer los servicios originalmente prestados.</w:t>
      </w:r>
    </w:p>
    <w:p w14:paraId="33208FB6" w14:textId="77777777" w:rsidR="008F129A"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Si como resultado del cambio de frecuencias el concesionario pretende prestar servicios adicionales, deberá solicitarlo. El Instituto evaluará dicha solicitud de conformidad con lo establecido en esta Ley”.</w:t>
      </w:r>
    </w:p>
    <w:p w14:paraId="4A62CB1E" w14:textId="77777777" w:rsidR="008F129A" w:rsidRPr="008F129A" w:rsidRDefault="003378DC" w:rsidP="008F129A">
      <w:pPr>
        <w:spacing w:before="240"/>
        <w:jc w:val="both"/>
        <w:rPr>
          <w:rFonts w:ascii="ITC Avant Garde" w:hAnsi="ITC Avant Garde"/>
          <w:bCs/>
        </w:rPr>
      </w:pPr>
      <w:r w:rsidRPr="008F129A">
        <w:rPr>
          <w:rFonts w:ascii="ITC Avant Garde" w:hAnsi="ITC Avant Garde"/>
          <w:bCs/>
        </w:rPr>
        <w:t>Asimismo, el artículo 106 de la Ley, establece:</w:t>
      </w:r>
    </w:p>
    <w:p w14:paraId="51A2E311" w14:textId="77777777" w:rsidR="008F129A"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
          <w:bCs/>
          <w:sz w:val="19"/>
          <w:szCs w:val="19"/>
        </w:rPr>
        <w:t>"Artículo 106</w:t>
      </w:r>
      <w:r w:rsidRPr="008F129A">
        <w:rPr>
          <w:rFonts w:ascii="ITC Avant Garde" w:hAnsi="ITC Avant Garde"/>
          <w:bCs/>
          <w:sz w:val="19"/>
          <w:szCs w:val="19"/>
        </w:rPr>
        <w:t xml:space="preserve">. El cambio de bandas de frecuencias o de recursos orbitales, podrá </w:t>
      </w:r>
      <w:r w:rsidRPr="008F129A">
        <w:rPr>
          <w:rFonts w:ascii="ITC Avant Garde" w:hAnsi="ITC Avant Garde"/>
          <w:bCs/>
          <w:sz w:val="19"/>
          <w:szCs w:val="19"/>
          <w:u w:val="single"/>
        </w:rPr>
        <w:t>realizarse de oficio</w:t>
      </w:r>
      <w:r w:rsidRPr="008F129A">
        <w:rPr>
          <w:rFonts w:ascii="ITC Avant Garde" w:hAnsi="ITC Avant Garde"/>
          <w:bCs/>
          <w:sz w:val="19"/>
          <w:szCs w:val="19"/>
        </w:rPr>
        <w:t xml:space="preserve"> o a </w:t>
      </w:r>
      <w:r w:rsidRPr="008F129A">
        <w:rPr>
          <w:rFonts w:ascii="ITC Avant Garde" w:hAnsi="ITC Avant Garde"/>
          <w:bCs/>
          <w:sz w:val="19"/>
          <w:szCs w:val="19"/>
          <w:u w:val="single"/>
        </w:rPr>
        <w:t>solicitud de parte interesada</w:t>
      </w:r>
      <w:r w:rsidRPr="008F129A">
        <w:rPr>
          <w:rFonts w:ascii="ITC Avant Garde" w:hAnsi="ITC Avant Garde"/>
          <w:bCs/>
          <w:sz w:val="19"/>
          <w:szCs w:val="19"/>
        </w:rPr>
        <w:t>.</w:t>
      </w:r>
    </w:p>
    <w:p w14:paraId="6ECF04EF" w14:textId="77777777" w:rsidR="008F129A"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 xml:space="preserve">Cuando el concesionario solicite el cambio a que se refiere este artículo, el Instituto deberá resolver dentro de los noventa días hábiles siguientes a la fecha de presentación de la solicitud, </w:t>
      </w:r>
      <w:r w:rsidRPr="008F129A">
        <w:rPr>
          <w:rFonts w:ascii="ITC Avant Garde" w:hAnsi="ITC Avant Garde"/>
          <w:bCs/>
          <w:sz w:val="19"/>
          <w:szCs w:val="19"/>
          <w:u w:val="single"/>
        </w:rPr>
        <w:t>tomando en consideración la planeación y administración eficiente del espectro</w:t>
      </w:r>
      <w:r w:rsidRPr="008F129A">
        <w:rPr>
          <w:rFonts w:ascii="ITC Avant Garde" w:hAnsi="ITC Avant Garde"/>
          <w:bCs/>
          <w:sz w:val="19"/>
          <w:szCs w:val="19"/>
        </w:rPr>
        <w:t>, los recursos orbitales, los avances tecnológicos y el interés público.</w:t>
      </w:r>
    </w:p>
    <w:p w14:paraId="0D08F266" w14:textId="77777777" w:rsidR="008F129A" w:rsidRPr="008F129A" w:rsidRDefault="003378DC" w:rsidP="008F129A">
      <w:pPr>
        <w:spacing w:before="240"/>
        <w:ind w:left="567" w:right="902"/>
        <w:jc w:val="both"/>
        <w:rPr>
          <w:sz w:val="19"/>
          <w:szCs w:val="19"/>
        </w:rPr>
      </w:pPr>
      <w:r w:rsidRPr="008F129A">
        <w:rPr>
          <w:rFonts w:ascii="ITC Avant Garde" w:hAnsi="ITC Avant Garde"/>
          <w:sz w:val="19"/>
          <w:szCs w:val="19"/>
          <w:lang w:val="es-ES_tradnl"/>
        </w:rPr>
        <w:t>Sin perjuicio de sus facultades de rescate, el Instituto podrá proponer de oficio el cambio, para lo cual deberá notificar al concesionario su determinación y las condiciones respectivas. El concesionario deberá responder a la propuesta dentro de los diez días hábiles siguientes. En caso de que el concesionario no responda, se entenderá rechazada la propuesta de cambio.</w:t>
      </w:r>
    </w:p>
    <w:p w14:paraId="7EF0F1C2" w14:textId="77777777" w:rsidR="008F129A" w:rsidRPr="008F129A" w:rsidRDefault="003378DC"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w:t>
      </w:r>
    </w:p>
    <w:p w14:paraId="1352921A" w14:textId="77777777" w:rsidR="008F129A" w:rsidRPr="008F129A" w:rsidRDefault="00592084" w:rsidP="008F129A">
      <w:pPr>
        <w:spacing w:before="240"/>
        <w:jc w:val="both"/>
        <w:rPr>
          <w:rFonts w:ascii="ITC Avant Garde" w:hAnsi="ITC Avant Garde"/>
          <w:bCs/>
        </w:rPr>
      </w:pPr>
      <w:r w:rsidRPr="008F129A">
        <w:rPr>
          <w:rFonts w:ascii="ITC Avant Garde" w:hAnsi="ITC Avant Garde"/>
          <w:bCs/>
        </w:rPr>
        <w:t>Asimismo, el artículo 107 de la Ley, establece:</w:t>
      </w:r>
    </w:p>
    <w:p w14:paraId="792369D9" w14:textId="77777777" w:rsidR="008F129A" w:rsidRPr="008F129A" w:rsidRDefault="00592084" w:rsidP="008F129A">
      <w:pPr>
        <w:spacing w:before="240"/>
        <w:ind w:left="567" w:right="899"/>
        <w:jc w:val="both"/>
        <w:rPr>
          <w:rFonts w:ascii="ITC Avant Garde" w:hAnsi="ITC Avant Garde"/>
          <w:bCs/>
          <w:sz w:val="19"/>
          <w:szCs w:val="19"/>
        </w:rPr>
      </w:pPr>
      <w:r w:rsidRPr="008F129A">
        <w:rPr>
          <w:rFonts w:ascii="ITC Avant Garde" w:hAnsi="ITC Avant Garde"/>
          <w:b/>
          <w:bCs/>
          <w:sz w:val="19"/>
          <w:szCs w:val="19"/>
        </w:rPr>
        <w:t>“Artículo 107.</w:t>
      </w:r>
      <w:r w:rsidRPr="008F129A">
        <w:rPr>
          <w:rFonts w:ascii="ITC Avant Garde" w:hAnsi="ITC Avant Garde"/>
          <w:bCs/>
          <w:sz w:val="19"/>
          <w:szCs w:val="19"/>
        </w:rPr>
        <w:t xml:space="preserve">  </w:t>
      </w:r>
      <w:r w:rsidRPr="008F129A">
        <w:rPr>
          <w:rFonts w:ascii="ITC Avant Garde" w:hAnsi="ITC Avant Garde"/>
          <w:bCs/>
          <w:sz w:val="19"/>
          <w:szCs w:val="19"/>
          <w:u w:val="single"/>
        </w:rPr>
        <w:t>En el caso del cambio de frecuencias por cualquiera de los supuestos previstos en el artículo 105, el concesionario deberá aceptar, previamente, las nuevas condiciones que al efecto establezca el Instituto</w:t>
      </w:r>
      <w:r w:rsidRPr="008F129A">
        <w:rPr>
          <w:rFonts w:ascii="ITC Avant Garde" w:hAnsi="ITC Avant Garde"/>
          <w:bCs/>
          <w:sz w:val="19"/>
          <w:szCs w:val="19"/>
        </w:rPr>
        <w:t>.</w:t>
      </w:r>
    </w:p>
    <w:p w14:paraId="53603BC2" w14:textId="77777777" w:rsidR="008F129A" w:rsidRPr="008F129A" w:rsidRDefault="00592084"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Una vez que el concesionario acepte las nuevas condiciones, el Instituto realizará las modificaciones pertinentes a la concesión y preverá lo necesario para su explotación eficiente. El concesionario quedará sujeto a cumplir con las disposiciones legales, reglamentarias o administrativas aplicables.</w:t>
      </w:r>
    </w:p>
    <w:p w14:paraId="3BDD488D" w14:textId="77777777" w:rsidR="008F129A" w:rsidRPr="008F129A" w:rsidRDefault="00592084"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En ningún caso se modificará el plazo de vigencia de la concesión. En el supuesto de que el concesionario no acepte el cambio o las condiciones establecidas por el Instituto, éste podrá proceder al rescate de las bandas de frecuencias.</w:t>
      </w:r>
    </w:p>
    <w:p w14:paraId="192D0760" w14:textId="77777777" w:rsidR="008F129A" w:rsidRPr="008F129A" w:rsidRDefault="00592084" w:rsidP="008F129A">
      <w:pPr>
        <w:spacing w:before="240"/>
        <w:ind w:left="567" w:right="899"/>
        <w:jc w:val="both"/>
        <w:rPr>
          <w:rFonts w:ascii="ITC Avant Garde" w:hAnsi="ITC Avant Garde"/>
          <w:bCs/>
          <w:sz w:val="19"/>
          <w:szCs w:val="19"/>
        </w:rPr>
      </w:pPr>
      <w:r w:rsidRPr="008F129A">
        <w:rPr>
          <w:rFonts w:ascii="ITC Avant Garde" w:hAnsi="ITC Avant Garde"/>
          <w:bCs/>
          <w:sz w:val="19"/>
          <w:szCs w:val="19"/>
        </w:rPr>
        <w:t>Bajo ningún supuesto de cambio de una banda de frecuencia o de recursos orbitales se indemnizará al concesionario”.</w:t>
      </w:r>
    </w:p>
    <w:p w14:paraId="3530A611" w14:textId="77777777" w:rsidR="008F129A" w:rsidRPr="008F129A" w:rsidRDefault="003378DC" w:rsidP="008F129A">
      <w:pPr>
        <w:spacing w:before="240"/>
        <w:jc w:val="both"/>
        <w:rPr>
          <w:rFonts w:ascii="ITC Avant Garde" w:hAnsi="ITC Avant Garde"/>
          <w:bCs/>
        </w:rPr>
      </w:pPr>
      <w:r w:rsidRPr="008F129A">
        <w:rPr>
          <w:rFonts w:ascii="ITC Avant Garde" w:hAnsi="ITC Avant Garde"/>
          <w:bCs/>
        </w:rPr>
        <w:lastRenderedPageBreak/>
        <w:t xml:space="preserve">De lo anterior, se desprende que la Ley, por una parte, establece que las modificaciones técnicas de las estaciones radiodifusoras </w:t>
      </w:r>
      <w:r w:rsidRPr="008F129A">
        <w:rPr>
          <w:rFonts w:ascii="ITC Avant Garde" w:hAnsi="ITC Avant Garde"/>
          <w:bCs/>
          <w:lang w:val="es-ES_tradnl"/>
        </w:rPr>
        <w:t xml:space="preserve">se someterán a la aprobación del Instituto, y por otra, </w:t>
      </w:r>
      <w:r w:rsidRPr="008F129A">
        <w:rPr>
          <w:rFonts w:ascii="ITC Avant Garde" w:hAnsi="ITC Avant Garde"/>
          <w:bCs/>
        </w:rPr>
        <w:t xml:space="preserve">se prevé la posibilidad de cambiar bandas de frecuencias sea de forma oficiosa o bien </w:t>
      </w:r>
      <w:r w:rsidRPr="008F129A">
        <w:rPr>
          <w:rFonts w:ascii="ITC Avant Garde" w:hAnsi="ITC Avant Garde"/>
          <w:b/>
          <w:bCs/>
        </w:rPr>
        <w:t>a petición del interesado</w:t>
      </w:r>
      <w:r w:rsidRPr="008F129A">
        <w:rPr>
          <w:rFonts w:ascii="ITC Avant Garde" w:hAnsi="ITC Avant Garde"/>
          <w:bCs/>
        </w:rPr>
        <w:t>,</w:t>
      </w:r>
      <w:r w:rsidR="003E289E" w:rsidRPr="008F129A">
        <w:rPr>
          <w:rFonts w:ascii="ITC Avant Garde" w:hAnsi="ITC Avant Garde"/>
          <w:bCs/>
        </w:rPr>
        <w:t xml:space="preserve"> como es el caso que no</w:t>
      </w:r>
      <w:r w:rsidR="00592084" w:rsidRPr="008F129A">
        <w:rPr>
          <w:rFonts w:ascii="ITC Avant Garde" w:hAnsi="ITC Avant Garde"/>
          <w:bCs/>
        </w:rPr>
        <w:t>s</w:t>
      </w:r>
      <w:r w:rsidR="003E289E" w:rsidRPr="008F129A">
        <w:rPr>
          <w:rFonts w:ascii="ITC Avant Garde" w:hAnsi="ITC Avant Garde"/>
          <w:bCs/>
        </w:rPr>
        <w:t xml:space="preserve"> ocupa</w:t>
      </w:r>
      <w:r w:rsidRPr="008F129A">
        <w:rPr>
          <w:rFonts w:ascii="ITC Avant Garde" w:hAnsi="ITC Avant Garde"/>
          <w:bCs/>
        </w:rPr>
        <w:t xml:space="preserve"> bajo el supuesto normativo de reordenamiento de bandas de frecuencias, considerando la planeación y administración eficiente del espectro radioeléctrico.</w:t>
      </w:r>
      <w:r w:rsidR="008809C2" w:rsidRPr="008F129A">
        <w:rPr>
          <w:rFonts w:ascii="ITC Avant Garde" w:hAnsi="ITC Avant Garde"/>
          <w:bCs/>
        </w:rPr>
        <w:t xml:space="preserve"> En ese sentido, se debe atender lo señalado en el artículo 107 respecto de la aceptación de condiciones por parte del concesionario.</w:t>
      </w:r>
    </w:p>
    <w:p w14:paraId="3E286A8B" w14:textId="77777777" w:rsidR="008F129A" w:rsidRPr="008F129A" w:rsidRDefault="008B767A" w:rsidP="008F129A">
      <w:pPr>
        <w:spacing w:before="240"/>
        <w:jc w:val="both"/>
        <w:rPr>
          <w:rFonts w:ascii="ITC Avant Garde" w:hAnsi="ITC Avant Garde"/>
          <w:bCs/>
        </w:rPr>
      </w:pPr>
      <w:r w:rsidRPr="008F129A">
        <w:rPr>
          <w:rFonts w:ascii="ITC Avant Garde" w:hAnsi="ITC Avant Garde"/>
          <w:bCs/>
        </w:rPr>
        <w:t>En ese contexto</w:t>
      </w:r>
      <w:r w:rsidR="00FC1F05" w:rsidRPr="008F129A">
        <w:rPr>
          <w:rFonts w:ascii="ITC Avant Garde" w:hAnsi="ITC Avant Garde"/>
          <w:bCs/>
        </w:rPr>
        <w:t xml:space="preserve">, </w:t>
      </w:r>
      <w:r w:rsidR="003E289E" w:rsidRPr="008F129A">
        <w:rPr>
          <w:rFonts w:ascii="ITC Avant Garde" w:hAnsi="ITC Avant Garde"/>
          <w:bCs/>
        </w:rPr>
        <w:t>en el numeral V del capítulo de Antecedentes de la presente resolución establece acciones específicas, entre las cuales se encuentra la relativa al reordenamiento y reubicación de canales de televisión por debajo del canal 37</w:t>
      </w:r>
      <w:r w:rsidR="00FB525B" w:rsidRPr="008F129A">
        <w:rPr>
          <w:rFonts w:ascii="ITC Avant Garde" w:hAnsi="ITC Avant Garde"/>
          <w:bCs/>
        </w:rPr>
        <w:t xml:space="preserve"> (608-614 MHz)</w:t>
      </w:r>
      <w:r w:rsidR="003E289E" w:rsidRPr="008F129A">
        <w:rPr>
          <w:rFonts w:ascii="ITC Avant Garde" w:hAnsi="ITC Avant Garde"/>
          <w:bCs/>
        </w:rPr>
        <w:t xml:space="preserve">, es decir, </w:t>
      </w:r>
      <w:r w:rsidR="00377CBD" w:rsidRPr="008F129A">
        <w:rPr>
          <w:rFonts w:ascii="ITC Avant Garde" w:hAnsi="ITC Avant Garde"/>
          <w:bCs/>
        </w:rPr>
        <w:t>por debajo</w:t>
      </w:r>
      <w:r w:rsidR="003E289E" w:rsidRPr="008F129A">
        <w:rPr>
          <w:rFonts w:ascii="ITC Avant Garde" w:hAnsi="ITC Avant Garde"/>
          <w:bCs/>
        </w:rPr>
        <w:t xml:space="preserve"> </w:t>
      </w:r>
      <w:r w:rsidR="00CF32D7" w:rsidRPr="008F129A">
        <w:rPr>
          <w:rFonts w:ascii="ITC Avant Garde" w:hAnsi="ITC Avant Garde"/>
          <w:bCs/>
        </w:rPr>
        <w:t xml:space="preserve">de </w:t>
      </w:r>
      <w:r w:rsidR="003E289E" w:rsidRPr="008F129A">
        <w:rPr>
          <w:rFonts w:ascii="ITC Avant Garde" w:hAnsi="ITC Avant Garde"/>
          <w:bCs/>
        </w:rPr>
        <w:t>la banda de 600 MHz.</w:t>
      </w:r>
    </w:p>
    <w:p w14:paraId="2EC874B1" w14:textId="77777777" w:rsidR="008F129A" w:rsidRPr="008F129A" w:rsidRDefault="00FC1F05" w:rsidP="008F129A">
      <w:pPr>
        <w:spacing w:before="240"/>
        <w:jc w:val="both"/>
        <w:rPr>
          <w:rFonts w:ascii="ITC Avant Garde" w:hAnsi="ITC Avant Garde"/>
          <w:bCs/>
        </w:rPr>
      </w:pPr>
      <w:r w:rsidRPr="008F129A">
        <w:rPr>
          <w:rFonts w:ascii="ITC Avant Garde" w:hAnsi="ITC Avant Garde"/>
          <w:bCs/>
        </w:rPr>
        <w:t xml:space="preserve">Al efecto, dicho Programa constituye una guía para la implementación de medidas regulatorias a cargo del Instituto a las que deberán sujetarse las acciones orientadas a la planificación, administración y, explotación del espectro radioeléctrico en nuestro país, bajo principios de uso eficiente, competencia, pluralidad, convergencia, neutralidad tecnológica, trasparencia y fomento a la innovación tecnológica. </w:t>
      </w:r>
    </w:p>
    <w:p w14:paraId="1631248C" w14:textId="77777777" w:rsidR="008F129A" w:rsidRPr="008F129A" w:rsidRDefault="00FC1F05" w:rsidP="008F129A">
      <w:pPr>
        <w:spacing w:before="240"/>
        <w:jc w:val="both"/>
        <w:rPr>
          <w:rFonts w:ascii="ITC Avant Garde" w:hAnsi="ITC Avant Garde"/>
          <w:bCs/>
        </w:rPr>
      </w:pPr>
      <w:r w:rsidRPr="008F129A">
        <w:rPr>
          <w:rFonts w:ascii="ITC Avant Garde" w:hAnsi="ITC Avant Garde"/>
          <w:bCs/>
        </w:rPr>
        <w:t>En este sentido, el Programa representa un marco de referencia que permite a esta autoridad orientar la presen</w:t>
      </w:r>
      <w:r w:rsidR="00C56477" w:rsidRPr="008F129A">
        <w:rPr>
          <w:rFonts w:ascii="ITC Avant Garde" w:hAnsi="ITC Avant Garde"/>
          <w:bCs/>
        </w:rPr>
        <w:t xml:space="preserve">te </w:t>
      </w:r>
      <w:r w:rsidR="00CF32D7" w:rsidRPr="008F129A">
        <w:rPr>
          <w:rFonts w:ascii="ITC Avant Garde" w:hAnsi="ITC Avant Garde"/>
          <w:bCs/>
        </w:rPr>
        <w:t>s</w:t>
      </w:r>
      <w:r w:rsidRPr="008F129A">
        <w:rPr>
          <w:rFonts w:ascii="ITC Avant Garde" w:hAnsi="ITC Avant Garde"/>
          <w:bCs/>
        </w:rPr>
        <w:t>olicitud de cambio de frec</w:t>
      </w:r>
      <w:r w:rsidR="008B767A" w:rsidRPr="008F129A">
        <w:rPr>
          <w:rFonts w:ascii="ITC Avant Garde" w:hAnsi="ITC Avant Garde"/>
          <w:bCs/>
        </w:rPr>
        <w:t>uencia</w:t>
      </w:r>
      <w:r w:rsidRPr="008F129A">
        <w:rPr>
          <w:rFonts w:ascii="ITC Avant Garde" w:hAnsi="ITC Avant Garde"/>
          <w:bCs/>
        </w:rPr>
        <w:t xml:space="preserve"> en función de que armoniza materialmente las acciones específicas para la reorganización de bandas de frecuencias de televisión.</w:t>
      </w:r>
    </w:p>
    <w:p w14:paraId="055BFA0A" w14:textId="77777777" w:rsidR="008F129A" w:rsidRPr="008F129A" w:rsidRDefault="00FC1F05" w:rsidP="008F129A">
      <w:pPr>
        <w:spacing w:before="240"/>
        <w:jc w:val="both"/>
        <w:rPr>
          <w:rFonts w:ascii="ITC Avant Garde" w:hAnsi="ITC Avant Garde"/>
          <w:bCs/>
        </w:rPr>
      </w:pPr>
      <w:r w:rsidRPr="008F129A">
        <w:rPr>
          <w:rFonts w:ascii="ITC Avant Garde" w:hAnsi="ITC Avant Garde"/>
          <w:bCs/>
        </w:rPr>
        <w:t xml:space="preserve">Asimismo, el Programa establece que las tendencias internacionales para el uso de espectro por aplicaciones de banda ancha, en la actualidad enfocan sus esfuerzos en el uso y explotación de la banda de 700 MHz, como producto del primer dividendo digital. </w:t>
      </w:r>
    </w:p>
    <w:p w14:paraId="2EE245D8" w14:textId="77777777" w:rsidR="008F129A" w:rsidRPr="008F129A" w:rsidRDefault="00877621" w:rsidP="008F129A">
      <w:pPr>
        <w:spacing w:before="240"/>
        <w:jc w:val="both"/>
        <w:rPr>
          <w:rFonts w:ascii="ITC Avant Garde" w:hAnsi="ITC Avant Garde"/>
          <w:bCs/>
        </w:rPr>
      </w:pPr>
      <w:r w:rsidRPr="008F129A">
        <w:rPr>
          <w:rFonts w:ascii="ITC Avant Garde" w:hAnsi="ITC Avant Garde"/>
          <w:bCs/>
        </w:rPr>
        <w:t xml:space="preserve">En tal contexto, el mismo Programa señala que se prevé la necesidad de aprovechar el espectro para satisfacer los requerimientos de banda ancha, en bandas inferiores, en particular la banda de 600 MHz, que abarca los canales 38 (614-620 MHz) al 51(692-698 MHz) de televisión; por lo que es necesario tomar acciones graduales que favorezcan el uso eficiente de esta porción del espectro. </w:t>
      </w:r>
    </w:p>
    <w:p w14:paraId="05B78CAC" w14:textId="77777777" w:rsidR="008F129A" w:rsidRPr="008F129A" w:rsidRDefault="00FC1F05" w:rsidP="008F129A">
      <w:pPr>
        <w:spacing w:before="240"/>
        <w:jc w:val="both"/>
        <w:rPr>
          <w:rFonts w:ascii="ITC Avant Garde" w:hAnsi="ITC Avant Garde"/>
          <w:bCs/>
        </w:rPr>
      </w:pPr>
      <w:r w:rsidRPr="008F129A">
        <w:rPr>
          <w:rFonts w:ascii="ITC Avant Garde" w:hAnsi="ITC Avant Garde"/>
          <w:bCs/>
        </w:rPr>
        <w:t xml:space="preserve">Como una evolución tecnológica natural, y aun cuando los estudios relacionados con potenciales usos de la banda de 600 MHz y su eventual atribución para aplicaciones de IMT (Telecomunicaciones Móviles Internacionales) son aún preliminares y se encuentran en desarrollo, se debe considerar igualmente la liberación de la banda de 600 MHz por </w:t>
      </w:r>
      <w:r w:rsidRPr="008F129A">
        <w:rPr>
          <w:rFonts w:ascii="ITC Avant Garde" w:hAnsi="ITC Avant Garde"/>
          <w:bCs/>
        </w:rPr>
        <w:lastRenderedPageBreak/>
        <w:t>parte del servicio de radiodifusión, dando con ello paso a lo que sería un segundo dividendo digital en el país.</w:t>
      </w:r>
    </w:p>
    <w:p w14:paraId="21839113" w14:textId="77777777" w:rsidR="008F129A" w:rsidRPr="008F129A" w:rsidRDefault="00877621" w:rsidP="008F129A">
      <w:pPr>
        <w:spacing w:before="240"/>
        <w:jc w:val="both"/>
        <w:rPr>
          <w:rFonts w:ascii="ITC Avant Garde" w:hAnsi="ITC Avant Garde"/>
          <w:bCs/>
        </w:rPr>
      </w:pPr>
      <w:r w:rsidRPr="008F129A">
        <w:rPr>
          <w:rFonts w:ascii="ITC Avant Garde" w:hAnsi="ITC Avant Garde"/>
          <w:bCs/>
        </w:rPr>
        <w:t xml:space="preserve">Al efecto, a juicio de esta autoridad una de las acciones a realizar para el logro de éste propósito, lo constituye el </w:t>
      </w:r>
      <w:r w:rsidRPr="008F129A">
        <w:rPr>
          <w:rFonts w:ascii="ITC Avant Garde" w:hAnsi="ITC Avant Garde"/>
          <w:b/>
          <w:bCs/>
        </w:rPr>
        <w:t>reordenamiento y optimización</w:t>
      </w:r>
      <w:r w:rsidRPr="008F129A">
        <w:rPr>
          <w:rFonts w:ascii="ITC Avant Garde" w:hAnsi="ITC Avant Garde"/>
          <w:bCs/>
        </w:rPr>
        <w:t xml:space="preserve"> de los canales de televisión por debajo del canal 37(608-614 MHz), y particularmente la implementación de las medidas necesarias para facilitar dicha reubicación.</w:t>
      </w:r>
    </w:p>
    <w:p w14:paraId="64C85786" w14:textId="77777777" w:rsidR="008F129A" w:rsidRPr="008F129A" w:rsidRDefault="00877621" w:rsidP="008F129A">
      <w:pPr>
        <w:spacing w:before="240"/>
        <w:jc w:val="both"/>
        <w:rPr>
          <w:rFonts w:ascii="ITC Avant Garde" w:hAnsi="ITC Avant Garde"/>
          <w:bCs/>
        </w:rPr>
      </w:pPr>
      <w:r w:rsidRPr="008F129A">
        <w:rPr>
          <w:rFonts w:ascii="ITC Avant Garde" w:hAnsi="ITC Avant Garde"/>
          <w:bCs/>
        </w:rPr>
        <w:t>En ese orden de ideas, la frecuencia otorgada a</w:t>
      </w:r>
      <w:r w:rsidRPr="008F129A">
        <w:rPr>
          <w:rFonts w:ascii="ITC Avant Garde" w:eastAsia="Times New Roman" w:hAnsi="ITC Avant Garde"/>
          <w:bCs/>
          <w:color w:val="000000"/>
          <w:lang w:val="es-ES" w:eastAsia="es-MX"/>
        </w:rPr>
        <w:t xml:space="preserve"> el Concesionario, </w:t>
      </w:r>
      <w:r w:rsidRPr="008F129A">
        <w:rPr>
          <w:rFonts w:ascii="ITC Avant Garde" w:hAnsi="ITC Avant Garde"/>
          <w:bCs/>
        </w:rPr>
        <w:t xml:space="preserve">con motivo de la transición digital terrestre fue el canal </w:t>
      </w:r>
      <w:r w:rsidR="0061075E" w:rsidRPr="008F129A">
        <w:rPr>
          <w:rFonts w:ascii="ITC Avant Garde" w:hAnsi="ITC Avant Garde"/>
          <w:bCs/>
        </w:rPr>
        <w:t>38</w:t>
      </w:r>
      <w:r w:rsidRPr="008F129A">
        <w:rPr>
          <w:rFonts w:ascii="ITC Avant Garde" w:hAnsi="ITC Avant Garde"/>
          <w:bCs/>
        </w:rPr>
        <w:t xml:space="preserve"> (6</w:t>
      </w:r>
      <w:r w:rsidR="0061075E" w:rsidRPr="008F129A">
        <w:rPr>
          <w:rFonts w:ascii="ITC Avant Garde" w:hAnsi="ITC Avant Garde"/>
          <w:bCs/>
        </w:rPr>
        <w:t>14</w:t>
      </w:r>
      <w:r w:rsidRPr="008F129A">
        <w:rPr>
          <w:rFonts w:ascii="ITC Avant Garde" w:hAnsi="ITC Avant Garde"/>
          <w:bCs/>
        </w:rPr>
        <w:t>-6</w:t>
      </w:r>
      <w:r w:rsidR="0061075E" w:rsidRPr="008F129A">
        <w:rPr>
          <w:rFonts w:ascii="ITC Avant Garde" w:hAnsi="ITC Avant Garde"/>
          <w:bCs/>
        </w:rPr>
        <w:t>20</w:t>
      </w:r>
      <w:r w:rsidRPr="008F129A">
        <w:rPr>
          <w:rFonts w:ascii="ITC Avant Garde" w:hAnsi="ITC Avant Garde"/>
          <w:bCs/>
        </w:rPr>
        <w:t xml:space="preserve"> MHz), como adicional al canal analógico</w:t>
      </w:r>
      <w:r w:rsidRPr="008F129A">
        <w:rPr>
          <w:rFonts w:ascii="ITC Avant Garde" w:eastAsia="Times New Roman" w:hAnsi="ITC Avant Garde"/>
          <w:bCs/>
          <w:color w:val="000000"/>
          <w:lang w:val="es-ES" w:eastAsia="es-MX"/>
        </w:rPr>
        <w:t xml:space="preserve">, </w:t>
      </w:r>
      <w:r w:rsidRPr="008F129A">
        <w:rPr>
          <w:rFonts w:ascii="ITC Avant Garde" w:hAnsi="ITC Avant Garde"/>
          <w:bCs/>
        </w:rPr>
        <w:t xml:space="preserve">por lo que su correspondiente cambio por otra que se ubique por debajo del canal 37 (608-614 MHz), representa una medida regulatoria que, precisamente facilita y permite el cumplimiento gradual de dicho propósito, en concordancia con una administración eficiente del espectro radioeléctrico, mediante el </w:t>
      </w:r>
      <w:r w:rsidRPr="008F129A">
        <w:rPr>
          <w:rFonts w:ascii="ITC Avant Garde" w:hAnsi="ITC Avant Garde"/>
          <w:b/>
          <w:bCs/>
          <w:u w:val="single"/>
        </w:rPr>
        <w:t>reordenamiento de la banda de frecuencias</w:t>
      </w:r>
      <w:r w:rsidRPr="008F129A">
        <w:rPr>
          <w:rFonts w:ascii="ITC Avant Garde" w:hAnsi="ITC Avant Garde"/>
          <w:bCs/>
        </w:rPr>
        <w:t xml:space="preserve"> referida, lo cual encuadra en los supuestos normativos a que se refieren los artículos 105 fracción VI y 106 de la Ley. </w:t>
      </w:r>
    </w:p>
    <w:p w14:paraId="4CD2BAE6" w14:textId="77777777" w:rsidR="008F129A" w:rsidRPr="008F129A" w:rsidRDefault="00877621" w:rsidP="008F129A">
      <w:pPr>
        <w:spacing w:before="240"/>
        <w:jc w:val="both"/>
        <w:rPr>
          <w:rFonts w:ascii="ITC Avant Garde" w:eastAsia="Times New Roman" w:hAnsi="ITC Avant Garde"/>
          <w:bCs/>
          <w:lang w:val="es-ES" w:eastAsia="es-MX"/>
        </w:rPr>
      </w:pPr>
      <w:r w:rsidRPr="008F129A">
        <w:rPr>
          <w:rFonts w:ascii="ITC Avant Garde" w:eastAsia="Times New Roman" w:hAnsi="ITC Avant Garde"/>
          <w:bCs/>
          <w:lang w:val="es-ES" w:eastAsia="es-MX"/>
        </w:rPr>
        <w:t xml:space="preserve">Por otro lado, la sustanciación del trámite de cambio de bandas de frecuencias conforme a lo dispuesto en el artículo 34 fracción XIII del Estatuto Orgánico de este Instituto, requiere de la opinión de la Unidad de Espectro Radioeléctrico con el fin de que se analice su procedencia y justificación por parte de la unidad administrativa encargada de </w:t>
      </w:r>
      <w:r w:rsidRPr="008F129A">
        <w:rPr>
          <w:rFonts w:ascii="ITC Avant Garde" w:eastAsia="Times New Roman" w:hAnsi="ITC Avant Garde"/>
          <w:bCs/>
          <w:lang w:val="es-ES_tradnl" w:eastAsia="es-MX"/>
        </w:rPr>
        <w:t>la definición de la atribución de bandas de frecuencias y de la ejecución de las acciones para la administración y optimización de las mismas considerando la evolución tecnológica, cuya función también comprende la facultad para llevar a cabo la coordinación de dichas bandas de frecuencias (canales) derivada de acuerdos y disposiciones internacionales</w:t>
      </w:r>
      <w:r w:rsidRPr="008F129A">
        <w:rPr>
          <w:rFonts w:ascii="ITC Avant Garde" w:eastAsia="Times New Roman" w:hAnsi="ITC Avant Garde"/>
          <w:bCs/>
          <w:lang w:val="es-ES" w:eastAsia="es-MX"/>
        </w:rPr>
        <w:t>.</w:t>
      </w:r>
    </w:p>
    <w:p w14:paraId="2F994304" w14:textId="77777777" w:rsidR="008F129A" w:rsidRPr="008F129A" w:rsidRDefault="00431B8F" w:rsidP="008F129A">
      <w:pPr>
        <w:spacing w:before="240"/>
        <w:jc w:val="both"/>
        <w:rPr>
          <w:rFonts w:ascii="ITC Avant Garde" w:hAnsi="ITC Avant Garde"/>
          <w:bCs/>
          <w:lang w:val="es-ES"/>
        </w:rPr>
      </w:pPr>
      <w:r w:rsidRPr="008F129A">
        <w:rPr>
          <w:rFonts w:ascii="ITC Avant Garde" w:hAnsi="ITC Avant Garde"/>
          <w:bCs/>
          <w:lang w:val="es-ES"/>
        </w:rPr>
        <w:t xml:space="preserve">En ese sentido, la Dirección General de Concesiones de Radiodifusión, mediante oficio número </w:t>
      </w:r>
      <w:r w:rsidR="00303B87" w:rsidRPr="008F129A">
        <w:rPr>
          <w:rFonts w:ascii="ITC Avant Garde" w:hAnsi="ITC Avant Garde"/>
          <w:b/>
          <w:bCs/>
          <w:lang w:val="es-ES"/>
        </w:rPr>
        <w:t>IFT/223/UCS/DG-CRAD/</w:t>
      </w:r>
      <w:r w:rsidR="007E4821" w:rsidRPr="008F129A">
        <w:rPr>
          <w:rFonts w:ascii="ITC Avant Garde" w:hAnsi="ITC Avant Garde"/>
          <w:b/>
          <w:bCs/>
          <w:lang w:val="es-ES"/>
        </w:rPr>
        <w:t>1686</w:t>
      </w:r>
      <w:r w:rsidR="00303B87" w:rsidRPr="008F129A">
        <w:rPr>
          <w:rFonts w:ascii="ITC Avant Garde" w:hAnsi="ITC Avant Garde"/>
          <w:b/>
          <w:bCs/>
          <w:lang w:val="es-ES"/>
        </w:rPr>
        <w:t>/201</w:t>
      </w:r>
      <w:r w:rsidR="00A420DD" w:rsidRPr="008F129A">
        <w:rPr>
          <w:rFonts w:ascii="ITC Avant Garde" w:hAnsi="ITC Avant Garde"/>
          <w:b/>
          <w:bCs/>
          <w:lang w:val="es-ES"/>
        </w:rPr>
        <w:t>6</w:t>
      </w:r>
      <w:r w:rsidRPr="008F129A">
        <w:rPr>
          <w:rFonts w:ascii="ITC Avant Garde" w:hAnsi="ITC Avant Garde"/>
          <w:bCs/>
          <w:lang w:val="es-ES"/>
        </w:rPr>
        <w:t xml:space="preserve"> de fecha </w:t>
      </w:r>
      <w:r w:rsidR="007E4821" w:rsidRPr="008F129A">
        <w:rPr>
          <w:rFonts w:ascii="ITC Avant Garde" w:hAnsi="ITC Avant Garde"/>
          <w:bCs/>
          <w:lang w:val="es-ES"/>
        </w:rPr>
        <w:t>09</w:t>
      </w:r>
      <w:r w:rsidR="00513B90" w:rsidRPr="008F129A">
        <w:rPr>
          <w:rFonts w:ascii="ITC Avant Garde" w:hAnsi="ITC Avant Garde"/>
          <w:bCs/>
          <w:lang w:val="es-ES"/>
        </w:rPr>
        <w:t xml:space="preserve"> de </w:t>
      </w:r>
      <w:r w:rsidR="007E4821" w:rsidRPr="008F129A">
        <w:rPr>
          <w:rFonts w:ascii="ITC Avant Garde" w:hAnsi="ITC Avant Garde"/>
          <w:bCs/>
          <w:lang w:val="es-ES"/>
        </w:rPr>
        <w:t>junio</w:t>
      </w:r>
      <w:r w:rsidR="00A420DD" w:rsidRPr="008F129A">
        <w:rPr>
          <w:rFonts w:ascii="ITC Avant Garde" w:hAnsi="ITC Avant Garde"/>
          <w:bCs/>
          <w:lang w:val="es-ES"/>
        </w:rPr>
        <w:t xml:space="preserve"> </w:t>
      </w:r>
      <w:r w:rsidR="00EE4516" w:rsidRPr="008F129A">
        <w:rPr>
          <w:rFonts w:ascii="ITC Avant Garde" w:hAnsi="ITC Avant Garde"/>
          <w:bCs/>
          <w:lang w:val="es-ES"/>
        </w:rPr>
        <w:t>de 201</w:t>
      </w:r>
      <w:r w:rsidR="00A420DD" w:rsidRPr="008F129A">
        <w:rPr>
          <w:rFonts w:ascii="ITC Avant Garde" w:hAnsi="ITC Avant Garde"/>
          <w:bCs/>
          <w:lang w:val="es-ES"/>
        </w:rPr>
        <w:t xml:space="preserve">6, </w:t>
      </w:r>
      <w:r w:rsidR="00EE4516" w:rsidRPr="008F129A">
        <w:rPr>
          <w:rFonts w:ascii="ITC Avant Garde" w:hAnsi="ITC Avant Garde"/>
          <w:bCs/>
          <w:lang w:val="es-ES"/>
        </w:rPr>
        <w:t>solicitó</w:t>
      </w:r>
      <w:r w:rsidRPr="008F129A">
        <w:rPr>
          <w:rFonts w:ascii="ITC Avant Garde" w:hAnsi="ITC Avant Garde"/>
          <w:bCs/>
          <w:lang w:val="es-ES"/>
        </w:rPr>
        <w:t xml:space="preserve"> </w:t>
      </w:r>
      <w:r w:rsidR="009275DB" w:rsidRPr="008F129A">
        <w:rPr>
          <w:rFonts w:ascii="ITC Avant Garde" w:hAnsi="ITC Avant Garde"/>
          <w:bCs/>
          <w:lang w:val="es-ES"/>
        </w:rPr>
        <w:t xml:space="preserve">a </w:t>
      </w:r>
      <w:r w:rsidRPr="008F129A">
        <w:rPr>
          <w:rFonts w:ascii="ITC Avant Garde" w:hAnsi="ITC Avant Garde"/>
          <w:bCs/>
          <w:lang w:val="es-ES"/>
        </w:rPr>
        <w:t>la Dirección General de Ingeniería del Espectro y Estudios Técnicos de la Unidad de Espectro Radioeléctrico, opinión</w:t>
      </w:r>
      <w:r w:rsidR="009275DB" w:rsidRPr="008F129A">
        <w:rPr>
          <w:rFonts w:ascii="ITC Avant Garde" w:hAnsi="ITC Avant Garde"/>
          <w:bCs/>
          <w:lang w:val="es-ES"/>
        </w:rPr>
        <w:t xml:space="preserve"> técnica</w:t>
      </w:r>
      <w:r w:rsidRPr="008F129A">
        <w:rPr>
          <w:rFonts w:ascii="ITC Avant Garde" w:hAnsi="ITC Avant Garde"/>
          <w:bCs/>
          <w:lang w:val="es-ES"/>
        </w:rPr>
        <w:t xml:space="preserve"> respecto de la </w:t>
      </w:r>
      <w:r w:rsidR="009275DB" w:rsidRPr="008F129A">
        <w:rPr>
          <w:rFonts w:ascii="ITC Avant Garde" w:hAnsi="ITC Avant Garde"/>
          <w:bCs/>
          <w:lang w:val="es-ES"/>
        </w:rPr>
        <w:t xml:space="preserve">Solicitud </w:t>
      </w:r>
      <w:r w:rsidRPr="008F129A">
        <w:rPr>
          <w:rFonts w:ascii="ITC Avant Garde" w:hAnsi="ITC Avant Garde"/>
          <w:bCs/>
          <w:lang w:val="es-ES"/>
        </w:rPr>
        <w:t>de cambio de banda de frecuencia</w:t>
      </w:r>
      <w:r w:rsidR="00EE4516" w:rsidRPr="008F129A">
        <w:rPr>
          <w:rFonts w:ascii="ITC Avant Garde" w:hAnsi="ITC Avant Garde"/>
          <w:bCs/>
          <w:lang w:val="es-ES"/>
        </w:rPr>
        <w:t xml:space="preserve"> (canal</w:t>
      </w:r>
      <w:r w:rsidRPr="008F129A">
        <w:rPr>
          <w:rFonts w:ascii="ITC Avant Garde" w:hAnsi="ITC Avant Garde"/>
          <w:bCs/>
          <w:lang w:val="es-ES"/>
        </w:rPr>
        <w:t>)</w:t>
      </w:r>
      <w:r w:rsidR="00541344" w:rsidRPr="008F129A">
        <w:rPr>
          <w:rFonts w:ascii="ITC Avant Garde" w:hAnsi="ITC Avant Garde"/>
          <w:bCs/>
          <w:lang w:val="es-ES"/>
        </w:rPr>
        <w:t xml:space="preserve"> presentada por</w:t>
      </w:r>
      <w:r w:rsidR="00513B90" w:rsidRPr="008F129A">
        <w:rPr>
          <w:rFonts w:ascii="ITC Avant Garde" w:hAnsi="ITC Avant Garde"/>
          <w:bCs/>
          <w:lang w:val="es-ES"/>
        </w:rPr>
        <w:t xml:space="preserve"> </w:t>
      </w:r>
      <w:r w:rsidR="00877621" w:rsidRPr="008F129A">
        <w:rPr>
          <w:rFonts w:ascii="ITC Avant Garde" w:eastAsia="Times New Roman" w:hAnsi="ITC Avant Garde"/>
          <w:bCs/>
          <w:color w:val="000000"/>
          <w:lang w:val="es-ES" w:eastAsia="es-MX"/>
        </w:rPr>
        <w:t>el Concesionario.</w:t>
      </w:r>
      <w:r w:rsidRPr="008F129A">
        <w:rPr>
          <w:rFonts w:ascii="ITC Avant Garde" w:hAnsi="ITC Avant Garde"/>
          <w:bCs/>
          <w:lang w:val="es-ES"/>
        </w:rPr>
        <w:t xml:space="preserve"> </w:t>
      </w:r>
    </w:p>
    <w:p w14:paraId="6DD153D5" w14:textId="77777777" w:rsidR="008F129A" w:rsidRPr="008F129A" w:rsidRDefault="00431B8F" w:rsidP="008F129A">
      <w:pPr>
        <w:spacing w:before="240"/>
        <w:jc w:val="both"/>
        <w:rPr>
          <w:rFonts w:ascii="ITC Avant Garde" w:eastAsia="Times New Roman" w:hAnsi="ITC Avant Garde"/>
          <w:bCs/>
          <w:lang w:val="es-ES" w:eastAsia="es-MX"/>
        </w:rPr>
      </w:pPr>
      <w:r w:rsidRPr="008F129A">
        <w:rPr>
          <w:rFonts w:ascii="ITC Avant Garde" w:hAnsi="ITC Avant Garde"/>
          <w:bCs/>
          <w:lang w:val="es-ES"/>
        </w:rPr>
        <w:t xml:space="preserve">En respuesta a lo señalado, mediante </w:t>
      </w:r>
      <w:r w:rsidRPr="008F129A">
        <w:rPr>
          <w:rFonts w:ascii="ITC Avant Garde" w:eastAsia="Times New Roman" w:hAnsi="ITC Avant Garde"/>
          <w:bCs/>
          <w:lang w:val="es-ES" w:eastAsia="es-MX"/>
        </w:rPr>
        <w:t>oficio</w:t>
      </w:r>
      <w:r w:rsidR="00E720E0" w:rsidRPr="008F129A">
        <w:rPr>
          <w:rFonts w:ascii="ITC Avant Garde" w:eastAsia="Times New Roman" w:hAnsi="ITC Avant Garde"/>
          <w:bCs/>
          <w:lang w:val="es-ES" w:eastAsia="es-MX"/>
        </w:rPr>
        <w:t xml:space="preserve"> identificado con número</w:t>
      </w:r>
      <w:r w:rsidRPr="008F129A">
        <w:rPr>
          <w:rFonts w:ascii="ITC Avant Garde" w:eastAsia="Times New Roman" w:hAnsi="ITC Avant Garde"/>
          <w:bCs/>
          <w:lang w:val="es-ES" w:eastAsia="es-MX"/>
        </w:rPr>
        <w:t xml:space="preserve"> </w:t>
      </w:r>
      <w:r w:rsidRPr="008F129A">
        <w:rPr>
          <w:rFonts w:ascii="ITC Avant Garde" w:eastAsia="Times New Roman" w:hAnsi="ITC Avant Garde"/>
          <w:b/>
          <w:bCs/>
          <w:lang w:val="es-ES" w:eastAsia="es-MX"/>
        </w:rPr>
        <w:t>IFT/222/UER/DG-IEET/</w:t>
      </w:r>
      <w:r w:rsidR="007E4821" w:rsidRPr="008F129A">
        <w:rPr>
          <w:rFonts w:ascii="ITC Avant Garde" w:eastAsia="Times New Roman" w:hAnsi="ITC Avant Garde"/>
          <w:b/>
          <w:bCs/>
          <w:lang w:val="es-ES" w:eastAsia="es-MX"/>
        </w:rPr>
        <w:t>0767</w:t>
      </w:r>
      <w:r w:rsidRPr="008F129A">
        <w:rPr>
          <w:rFonts w:ascii="ITC Avant Garde" w:eastAsia="Times New Roman" w:hAnsi="ITC Avant Garde"/>
          <w:b/>
          <w:bCs/>
          <w:lang w:val="es-ES" w:eastAsia="es-MX"/>
        </w:rPr>
        <w:t>/201</w:t>
      </w:r>
      <w:r w:rsidR="00A420DD" w:rsidRPr="008F129A">
        <w:rPr>
          <w:rFonts w:ascii="ITC Avant Garde" w:eastAsia="Times New Roman" w:hAnsi="ITC Avant Garde"/>
          <w:b/>
          <w:bCs/>
          <w:lang w:val="es-ES" w:eastAsia="es-MX"/>
        </w:rPr>
        <w:t>6</w:t>
      </w:r>
      <w:r w:rsidR="00D64406" w:rsidRPr="008F129A">
        <w:rPr>
          <w:rFonts w:ascii="ITC Avant Garde" w:eastAsia="Times New Roman" w:hAnsi="ITC Avant Garde"/>
          <w:b/>
          <w:bCs/>
          <w:lang w:val="es-ES" w:eastAsia="es-MX"/>
        </w:rPr>
        <w:t xml:space="preserve"> </w:t>
      </w:r>
      <w:r w:rsidRPr="008F129A">
        <w:rPr>
          <w:rFonts w:ascii="ITC Avant Garde" w:eastAsia="Times New Roman" w:hAnsi="ITC Avant Garde"/>
          <w:bCs/>
          <w:lang w:val="es-ES" w:eastAsia="es-MX"/>
        </w:rPr>
        <w:t>de</w:t>
      </w:r>
      <w:r w:rsidR="00E720E0" w:rsidRPr="008F129A">
        <w:rPr>
          <w:rFonts w:ascii="ITC Avant Garde" w:eastAsia="Times New Roman" w:hAnsi="ITC Avant Garde"/>
          <w:bCs/>
          <w:lang w:val="es-ES" w:eastAsia="es-MX"/>
        </w:rPr>
        <w:t xml:space="preserve"> fecha </w:t>
      </w:r>
      <w:r w:rsidR="005C4EF0" w:rsidRPr="008F129A">
        <w:rPr>
          <w:rFonts w:ascii="ITC Avant Garde" w:eastAsia="Times New Roman" w:hAnsi="ITC Avant Garde"/>
          <w:bCs/>
          <w:lang w:val="es-ES" w:eastAsia="es-MX"/>
        </w:rPr>
        <w:t>05 de agosto de 2016</w:t>
      </w:r>
      <w:r w:rsidRPr="008F129A">
        <w:rPr>
          <w:rFonts w:ascii="ITC Avant Garde" w:eastAsia="Times New Roman" w:hAnsi="ITC Avant Garde"/>
          <w:bCs/>
          <w:lang w:val="es-ES" w:eastAsia="es-MX"/>
        </w:rPr>
        <w:t xml:space="preserve">, </w:t>
      </w:r>
      <w:r w:rsidR="009275DB" w:rsidRPr="008F129A">
        <w:rPr>
          <w:rFonts w:ascii="ITC Avant Garde" w:eastAsia="Times New Roman" w:hAnsi="ITC Avant Garde"/>
          <w:bCs/>
          <w:lang w:val="es-ES" w:eastAsia="es-MX"/>
        </w:rPr>
        <w:t xml:space="preserve">la </w:t>
      </w:r>
      <w:r w:rsidRPr="008F129A">
        <w:rPr>
          <w:rFonts w:ascii="ITC Avant Garde" w:eastAsia="Times New Roman" w:hAnsi="ITC Avant Garde"/>
          <w:bCs/>
          <w:lang w:val="es-ES" w:eastAsia="es-MX"/>
        </w:rPr>
        <w:t>Direc</w:t>
      </w:r>
      <w:r w:rsidR="009275DB" w:rsidRPr="008F129A">
        <w:rPr>
          <w:rFonts w:ascii="ITC Avant Garde" w:eastAsia="Times New Roman" w:hAnsi="ITC Avant Garde"/>
          <w:bCs/>
          <w:lang w:val="es-ES" w:eastAsia="es-MX"/>
        </w:rPr>
        <w:t>ción</w:t>
      </w:r>
      <w:r w:rsidRPr="008F129A">
        <w:rPr>
          <w:rFonts w:ascii="ITC Avant Garde" w:eastAsia="Times New Roman" w:hAnsi="ITC Avant Garde"/>
          <w:bCs/>
          <w:lang w:val="es-ES" w:eastAsia="es-MX"/>
        </w:rPr>
        <w:t xml:space="preserve"> General de Ingeniería del Espectro y Estudios Técnicos de la Unidad de Espectro Radioeléctrico, emitió </w:t>
      </w:r>
      <w:r w:rsidR="005C4EF0" w:rsidRPr="008F129A">
        <w:rPr>
          <w:rFonts w:ascii="ITC Avant Garde" w:eastAsia="Times New Roman" w:hAnsi="ITC Avant Garde"/>
          <w:bCs/>
          <w:lang w:val="es-ES" w:eastAsia="es-MX"/>
        </w:rPr>
        <w:t>el</w:t>
      </w:r>
      <w:r w:rsidRPr="008F129A">
        <w:rPr>
          <w:rFonts w:ascii="ITC Avant Garde" w:eastAsia="Times New Roman" w:hAnsi="ITC Avant Garde"/>
          <w:bCs/>
          <w:lang w:val="es-ES" w:eastAsia="es-MX"/>
        </w:rPr>
        <w:t xml:space="preserve"> </w:t>
      </w:r>
      <w:r w:rsidR="005C4EF0" w:rsidRPr="008F129A">
        <w:rPr>
          <w:rFonts w:ascii="ITC Avant Garde" w:eastAsia="Times New Roman" w:hAnsi="ITC Avant Garde"/>
          <w:bCs/>
          <w:lang w:val="es-ES" w:eastAsia="es-MX"/>
        </w:rPr>
        <w:t>dictamen</w:t>
      </w:r>
      <w:r w:rsidRPr="008F129A">
        <w:rPr>
          <w:rFonts w:ascii="ITC Avant Garde" w:eastAsia="Times New Roman" w:hAnsi="ITC Avant Garde"/>
          <w:bCs/>
          <w:lang w:val="es-ES" w:eastAsia="es-MX"/>
        </w:rPr>
        <w:t xml:space="preserve"> </w:t>
      </w:r>
      <w:r w:rsidR="008F3443" w:rsidRPr="008F129A">
        <w:rPr>
          <w:rFonts w:ascii="ITC Avant Garde" w:eastAsia="Times New Roman" w:hAnsi="ITC Avant Garde"/>
          <w:bCs/>
          <w:lang w:val="es-ES" w:eastAsia="es-MX"/>
        </w:rPr>
        <w:t xml:space="preserve">técnico </w:t>
      </w:r>
      <w:r w:rsidRPr="008F129A">
        <w:rPr>
          <w:rFonts w:ascii="ITC Avant Garde" w:eastAsia="Times New Roman" w:hAnsi="ITC Avant Garde"/>
          <w:bCs/>
          <w:lang w:val="es-ES" w:eastAsia="es-MX"/>
        </w:rPr>
        <w:t>relativo a la so</w:t>
      </w:r>
      <w:r w:rsidR="00A622C4" w:rsidRPr="008F129A">
        <w:rPr>
          <w:rFonts w:ascii="ITC Avant Garde" w:eastAsia="Times New Roman" w:hAnsi="ITC Avant Garde"/>
          <w:bCs/>
          <w:lang w:val="es-ES" w:eastAsia="es-MX"/>
        </w:rPr>
        <w:t>licitud de cambio de frecuencia</w:t>
      </w:r>
      <w:r w:rsidRPr="008F129A">
        <w:rPr>
          <w:rFonts w:ascii="ITC Avant Garde" w:eastAsia="Times New Roman" w:hAnsi="ITC Avant Garde"/>
          <w:bCs/>
          <w:lang w:val="es-ES" w:eastAsia="es-MX"/>
        </w:rPr>
        <w:t xml:space="preserve"> (canal), de cuyo contenido se advierte </w:t>
      </w:r>
      <w:r w:rsidR="008F3443" w:rsidRPr="008F129A">
        <w:rPr>
          <w:rFonts w:ascii="ITC Avant Garde" w:eastAsia="Times New Roman" w:hAnsi="ITC Avant Garde"/>
          <w:bCs/>
          <w:lang w:val="es-ES" w:eastAsia="es-MX"/>
        </w:rPr>
        <w:t xml:space="preserve">el </w:t>
      </w:r>
      <w:r w:rsidR="00191CAD" w:rsidRPr="008F129A">
        <w:rPr>
          <w:rFonts w:ascii="ITC Avant Garde" w:eastAsia="Times New Roman" w:hAnsi="ITC Avant Garde"/>
          <w:bCs/>
          <w:lang w:val="es-ES" w:eastAsia="es-MX"/>
        </w:rPr>
        <w:t>análisis y consideraciones sobre la solicitud de mérito, en los términos</w:t>
      </w:r>
      <w:r w:rsidRPr="008F129A">
        <w:rPr>
          <w:rFonts w:ascii="ITC Avant Garde" w:eastAsia="Times New Roman" w:hAnsi="ITC Avant Garde"/>
          <w:bCs/>
          <w:lang w:val="es-ES" w:eastAsia="es-MX"/>
        </w:rPr>
        <w:t xml:space="preserve"> siguiente</w:t>
      </w:r>
      <w:r w:rsidR="00191CAD" w:rsidRPr="008F129A">
        <w:rPr>
          <w:rFonts w:ascii="ITC Avant Garde" w:eastAsia="Times New Roman" w:hAnsi="ITC Avant Garde"/>
          <w:bCs/>
          <w:lang w:val="es-ES" w:eastAsia="es-MX"/>
        </w:rPr>
        <w:t>s</w:t>
      </w:r>
      <w:r w:rsidRPr="008F129A">
        <w:rPr>
          <w:rFonts w:ascii="ITC Avant Garde" w:eastAsia="Times New Roman" w:hAnsi="ITC Avant Garde"/>
          <w:bCs/>
          <w:lang w:val="es-ES" w:eastAsia="es-MX"/>
        </w:rPr>
        <w:t>:</w:t>
      </w:r>
    </w:p>
    <w:p w14:paraId="7EDEEE20" w14:textId="25ACB610" w:rsidR="005C4EF0" w:rsidRPr="008F129A" w:rsidRDefault="005C4EF0" w:rsidP="008F129A">
      <w:pPr>
        <w:spacing w:before="240"/>
        <w:ind w:left="567" w:right="615"/>
        <w:jc w:val="center"/>
        <w:rPr>
          <w:rFonts w:ascii="ITC Avant Garde" w:eastAsia="Times New Roman" w:hAnsi="ITC Avant Garde"/>
          <w:b/>
          <w:bCs/>
          <w:sz w:val="19"/>
          <w:szCs w:val="19"/>
          <w:lang w:eastAsia="es-MX"/>
        </w:rPr>
      </w:pPr>
      <w:r w:rsidRPr="008F129A">
        <w:rPr>
          <w:rFonts w:ascii="ITC Avant Garde" w:eastAsia="Times New Roman" w:hAnsi="ITC Avant Garde"/>
          <w:b/>
          <w:bCs/>
          <w:sz w:val="19"/>
          <w:szCs w:val="19"/>
          <w:lang w:eastAsia="es-MX"/>
        </w:rPr>
        <w:t>“DICTAMEN</w:t>
      </w:r>
    </w:p>
    <w:p w14:paraId="55EC3064" w14:textId="77777777" w:rsidR="008F129A" w:rsidRPr="008F129A" w:rsidRDefault="005C4EF0" w:rsidP="008F129A">
      <w:pPr>
        <w:spacing w:before="240"/>
        <w:ind w:left="567" w:right="615"/>
        <w:jc w:val="center"/>
        <w:rPr>
          <w:rFonts w:ascii="ITC Avant Garde" w:eastAsia="Times New Roman" w:hAnsi="ITC Avant Garde"/>
          <w:b/>
          <w:bCs/>
          <w:sz w:val="19"/>
          <w:szCs w:val="19"/>
          <w:lang w:eastAsia="es-MX"/>
        </w:rPr>
      </w:pPr>
      <w:r w:rsidRPr="008F129A">
        <w:rPr>
          <w:rFonts w:ascii="ITC Avant Garde" w:eastAsia="Times New Roman" w:hAnsi="ITC Avant Garde"/>
          <w:b/>
          <w:bCs/>
          <w:sz w:val="19"/>
          <w:szCs w:val="19"/>
          <w:lang w:eastAsia="es-MX"/>
        </w:rPr>
        <w:lastRenderedPageBreak/>
        <w:t>Técnicamente Factible</w:t>
      </w:r>
    </w:p>
    <w:p w14:paraId="3F482997" w14:textId="77777777" w:rsidR="008F129A" w:rsidRPr="008F129A" w:rsidRDefault="005C4EF0" w:rsidP="008F129A">
      <w:pPr>
        <w:spacing w:before="240"/>
        <w:ind w:left="567" w:right="615"/>
        <w:jc w:val="both"/>
        <w:rPr>
          <w:rFonts w:ascii="ITC Avant Garde" w:eastAsia="Times New Roman" w:hAnsi="ITC Avant Garde"/>
          <w:bCs/>
          <w:sz w:val="19"/>
          <w:szCs w:val="19"/>
          <w:lang w:eastAsia="es-MX"/>
        </w:rPr>
      </w:pPr>
      <w:r w:rsidRPr="008F129A">
        <w:rPr>
          <w:rFonts w:ascii="ITC Avant Garde" w:eastAsia="Times New Roman" w:hAnsi="ITC Avant Garde"/>
          <w:bCs/>
          <w:sz w:val="19"/>
          <w:szCs w:val="19"/>
          <w:lang w:eastAsia="es-MX"/>
        </w:rPr>
        <w:t xml:space="preserve">Después de realizados los estudios y análisis técnicos correspondientes, se determinó factible la autorización de las modificaciones técnicas solicitadas, para su operación en el </w:t>
      </w:r>
      <w:r w:rsidR="007E4821" w:rsidRPr="008F129A">
        <w:rPr>
          <w:rFonts w:ascii="ITC Avant Garde" w:eastAsia="Times New Roman" w:hAnsi="ITC Avant Garde"/>
          <w:b/>
          <w:bCs/>
          <w:sz w:val="19"/>
          <w:szCs w:val="19"/>
          <w:lang w:eastAsia="es-MX"/>
        </w:rPr>
        <w:t>CANAL 26</w:t>
      </w:r>
      <w:r w:rsidR="007E4821" w:rsidRPr="008F129A">
        <w:rPr>
          <w:rFonts w:ascii="ITC Avant Garde" w:eastAsia="Times New Roman" w:hAnsi="ITC Avant Garde"/>
          <w:bCs/>
          <w:sz w:val="19"/>
          <w:szCs w:val="19"/>
          <w:lang w:eastAsia="es-MX"/>
        </w:rPr>
        <w:t xml:space="preserve"> </w:t>
      </w:r>
      <w:r w:rsidRPr="008F129A">
        <w:rPr>
          <w:rFonts w:ascii="ITC Avant Garde" w:eastAsia="Times New Roman" w:hAnsi="ITC Avant Garde"/>
          <w:bCs/>
          <w:sz w:val="19"/>
          <w:szCs w:val="19"/>
          <w:lang w:eastAsia="es-MX"/>
        </w:rPr>
        <w:t xml:space="preserve">de televisión. </w:t>
      </w:r>
    </w:p>
    <w:p w14:paraId="51A909B4" w14:textId="61095D2B" w:rsidR="00FF273E" w:rsidRPr="008F129A" w:rsidRDefault="00FF273E" w:rsidP="008F129A">
      <w:pPr>
        <w:spacing w:before="240"/>
        <w:ind w:left="567" w:right="615"/>
        <w:jc w:val="both"/>
        <w:rPr>
          <w:rFonts w:ascii="ITC Avant Garde" w:eastAsia="Times New Roman" w:hAnsi="ITC Avant Garde"/>
          <w:bCs/>
          <w:sz w:val="19"/>
          <w:szCs w:val="19"/>
          <w:lang w:val="es-ES" w:eastAsia="es-MX"/>
        </w:rPr>
      </w:pPr>
      <w:r w:rsidRPr="008F129A">
        <w:rPr>
          <w:rFonts w:ascii="ITC Avant Garde" w:eastAsia="Times New Roman" w:hAnsi="ITC Avant Garde"/>
          <w:bCs/>
          <w:sz w:val="19"/>
          <w:szCs w:val="19"/>
          <w:lang w:val="es-ES" w:eastAsia="es-MX"/>
        </w:rPr>
        <w:t>[…]</w:t>
      </w:r>
    </w:p>
    <w:p w14:paraId="482260B0" w14:textId="77777777" w:rsidR="008F129A" w:rsidRPr="008F129A" w:rsidRDefault="00FF273E" w:rsidP="008F129A">
      <w:pPr>
        <w:spacing w:before="240"/>
        <w:ind w:left="567" w:right="615"/>
        <w:jc w:val="center"/>
        <w:rPr>
          <w:rFonts w:ascii="ITC Avant Garde" w:eastAsia="Times New Roman" w:hAnsi="ITC Avant Garde"/>
          <w:b/>
          <w:bCs/>
          <w:sz w:val="19"/>
          <w:szCs w:val="19"/>
          <w:lang w:val="es-ES" w:eastAsia="es-MX"/>
        </w:rPr>
      </w:pPr>
      <w:r w:rsidRPr="008F129A">
        <w:rPr>
          <w:rFonts w:ascii="ITC Avant Garde" w:eastAsia="Times New Roman" w:hAnsi="ITC Avant Garde"/>
          <w:b/>
          <w:bCs/>
          <w:sz w:val="19"/>
          <w:szCs w:val="19"/>
          <w:lang w:val="es-ES" w:eastAsia="es-MX"/>
        </w:rPr>
        <w:t>Observaciones Específicas</w:t>
      </w:r>
    </w:p>
    <w:p w14:paraId="7155BB16" w14:textId="77777777" w:rsidR="008F129A" w:rsidRPr="008F129A" w:rsidRDefault="0061075E" w:rsidP="008F129A">
      <w:pPr>
        <w:pStyle w:val="Prrafodelista"/>
        <w:numPr>
          <w:ilvl w:val="0"/>
          <w:numId w:val="12"/>
        </w:numPr>
        <w:spacing w:before="240" w:after="200"/>
        <w:ind w:right="615"/>
        <w:jc w:val="both"/>
        <w:rPr>
          <w:rFonts w:ascii="ITC Avant Garde" w:hAnsi="ITC Avant Garde"/>
          <w:bCs/>
          <w:sz w:val="19"/>
          <w:szCs w:val="19"/>
          <w:lang w:eastAsia="es-MX"/>
        </w:rPr>
      </w:pPr>
      <w:r w:rsidRPr="008F129A">
        <w:rPr>
          <w:rFonts w:ascii="ITC Avant Garde" w:hAnsi="ITC Avant Garde"/>
          <w:bCs/>
          <w:sz w:val="19"/>
          <w:szCs w:val="19"/>
          <w:lang w:eastAsia="es-MX"/>
        </w:rPr>
        <w:t>Mediante escrito del 26 de julio de 2016, la FCC notifica la aceptación del canal 26 para televisión digital que se dictamina.</w:t>
      </w:r>
    </w:p>
    <w:p w14:paraId="28A69354" w14:textId="77777777" w:rsidR="008F129A" w:rsidRPr="008F129A" w:rsidRDefault="00FF273E" w:rsidP="008F129A">
      <w:pPr>
        <w:spacing w:before="240"/>
        <w:ind w:left="567" w:right="615"/>
        <w:jc w:val="both"/>
        <w:rPr>
          <w:rFonts w:ascii="ITC Avant Garde" w:eastAsia="Times New Roman" w:hAnsi="ITC Avant Garde"/>
          <w:bCs/>
          <w:sz w:val="19"/>
          <w:szCs w:val="19"/>
          <w:lang w:val="es-ES" w:eastAsia="es-MX"/>
        </w:rPr>
      </w:pPr>
      <w:r w:rsidRPr="008F129A">
        <w:rPr>
          <w:rFonts w:ascii="ITC Avant Garde" w:eastAsia="Times New Roman" w:hAnsi="ITC Avant Garde"/>
          <w:bCs/>
          <w:sz w:val="19"/>
          <w:szCs w:val="19"/>
          <w:lang w:val="es-ES" w:eastAsia="es-MX"/>
        </w:rPr>
        <w:t xml:space="preserve">2. El estudio de predicción de Áreas de Servicio (AS-TDT) y el Croquis de Operación Múltiple (COM-TDT) presentados, </w:t>
      </w:r>
      <w:r w:rsidRPr="008F129A">
        <w:rPr>
          <w:rFonts w:ascii="ITC Avant Garde" w:eastAsia="Times New Roman" w:hAnsi="ITC Avant Garde"/>
          <w:b/>
          <w:bCs/>
          <w:sz w:val="19"/>
          <w:szCs w:val="19"/>
          <w:lang w:val="es-ES" w:eastAsia="es-MX"/>
        </w:rPr>
        <w:t>“Cuentan con los elementos necesarios para su registro”</w:t>
      </w:r>
    </w:p>
    <w:p w14:paraId="48FE6120" w14:textId="77777777" w:rsidR="008F129A" w:rsidRPr="008F129A" w:rsidRDefault="00877621" w:rsidP="008F129A">
      <w:pPr>
        <w:spacing w:before="240"/>
        <w:jc w:val="both"/>
        <w:rPr>
          <w:rFonts w:ascii="ITC Avant Garde" w:hAnsi="ITC Avant Garde"/>
          <w:bCs/>
        </w:rPr>
      </w:pPr>
      <w:r w:rsidRPr="008F129A">
        <w:rPr>
          <w:rFonts w:ascii="ITC Avant Garde" w:eastAsia="Times New Roman" w:hAnsi="ITC Avant Garde"/>
          <w:bCs/>
          <w:lang w:val="es-ES" w:eastAsia="es-MX"/>
        </w:rPr>
        <w:t>Es importante señalar que la Dirección General de Ingeniería del Espectro y Estudios Técnicos de la Unidad de Espectro Radioeléctrico, al tratarse de una estación ubicada en la zona fronteriza en términos del “Memorándum de entendimiento entre la Secretaría de Comunicaciones y Transportes con la Comisión Federal de Comunicaciones de los Estados Unidos de América (la “FCC”), relativo al uso de las bandas de 54 a 72 MHz, 76 a 88 MHz, 174 a 216 MHz y 471 a 806 MHz, para el servicio de radiodifusión”, previamente coordinó la operación del canal solicitado, el cual</w:t>
      </w:r>
      <w:r w:rsidRPr="008F129A">
        <w:rPr>
          <w:rFonts w:ascii="ITC Avant Garde" w:hAnsi="ITC Avant Garde"/>
          <w:bCs/>
          <w:lang w:val="es-ES"/>
        </w:rPr>
        <w:t xml:space="preserve"> conforme al estudio técnico realizado resulta </w:t>
      </w:r>
      <w:r w:rsidRPr="008F129A">
        <w:rPr>
          <w:rFonts w:ascii="ITC Avant Garde" w:hAnsi="ITC Avant Garde"/>
          <w:b/>
          <w:bCs/>
        </w:rPr>
        <w:t xml:space="preserve">factible </w:t>
      </w:r>
      <w:r w:rsidRPr="008F129A">
        <w:rPr>
          <w:rFonts w:ascii="ITC Avant Garde" w:hAnsi="ITC Avant Garde"/>
          <w:bCs/>
        </w:rPr>
        <w:t>autorizar al ser acorde con el proceso de reorganización del espectro.</w:t>
      </w:r>
    </w:p>
    <w:p w14:paraId="0A783B26" w14:textId="77777777" w:rsidR="008F129A" w:rsidRPr="008F129A" w:rsidRDefault="00877621" w:rsidP="008F129A">
      <w:pPr>
        <w:spacing w:before="240"/>
        <w:jc w:val="both"/>
        <w:rPr>
          <w:rFonts w:ascii="ITC Avant Garde" w:hAnsi="ITC Avant Garde"/>
          <w:bCs/>
          <w:lang w:val="es-ES"/>
        </w:rPr>
      </w:pPr>
      <w:r w:rsidRPr="008F129A">
        <w:rPr>
          <w:rFonts w:ascii="ITC Avant Garde" w:hAnsi="ITC Avant Garde"/>
          <w:bCs/>
          <w:lang w:val="es-ES"/>
        </w:rPr>
        <w:t>Ahora bien, atendiendo lo señalado en el artículo 34 fracción XIII del Estatuto Orgánico, la Dirección General de Concentraciones y Concesiones adscrita a la Unidad de Competencia Económica, con oficio número</w:t>
      </w:r>
      <w:r w:rsidRPr="008F129A">
        <w:rPr>
          <w:rFonts w:ascii="ITC Avant Garde" w:hAnsi="ITC Avant Garde"/>
          <w:b/>
          <w:bCs/>
          <w:lang w:val="es-ES"/>
        </w:rPr>
        <w:t xml:space="preserve"> </w:t>
      </w:r>
      <w:r w:rsidRPr="008F129A">
        <w:rPr>
          <w:rFonts w:ascii="ITC Avant Garde" w:hAnsi="ITC Avant Garde"/>
          <w:b/>
          <w:bCs/>
        </w:rPr>
        <w:t xml:space="preserve">IFT/226/UCE/DG-CCON/277/2016 </w:t>
      </w:r>
      <w:r w:rsidRPr="008F129A">
        <w:rPr>
          <w:rFonts w:ascii="ITC Avant Garde" w:hAnsi="ITC Avant Garde"/>
          <w:bCs/>
          <w:lang w:val="es-ES"/>
        </w:rPr>
        <w:t>recibido el 2</w:t>
      </w:r>
      <w:r w:rsidR="00306393" w:rsidRPr="008F129A">
        <w:rPr>
          <w:rFonts w:ascii="ITC Avant Garde" w:hAnsi="ITC Avant Garde"/>
          <w:bCs/>
          <w:lang w:val="es-ES"/>
        </w:rPr>
        <w:t>0</w:t>
      </w:r>
      <w:r w:rsidRPr="008F129A">
        <w:rPr>
          <w:rFonts w:ascii="ITC Avant Garde" w:hAnsi="ITC Avant Garde"/>
          <w:bCs/>
          <w:lang w:val="es-ES"/>
        </w:rPr>
        <w:t xml:space="preserve"> de junio de 2016</w:t>
      </w:r>
      <w:r w:rsidR="0061075E" w:rsidRPr="008F129A">
        <w:rPr>
          <w:rFonts w:ascii="ITC Avant Garde" w:hAnsi="ITC Avant Garde"/>
          <w:bCs/>
          <w:lang w:val="es-ES"/>
        </w:rPr>
        <w:t>,</w:t>
      </w:r>
      <w:r w:rsidRPr="008F129A">
        <w:rPr>
          <w:rFonts w:ascii="ITC Avant Garde" w:hAnsi="ITC Avant Garde"/>
          <w:bCs/>
          <w:lang w:val="es-ES"/>
        </w:rPr>
        <w:t xml:space="preserve"> emitió dictamen señalando que con base en los elementos considerados, no se prevén efectos adversos sobre el proceso de competencia y libre concurrencia en caso de aprobar la Solicitud presentada por el Concesionario.</w:t>
      </w:r>
    </w:p>
    <w:p w14:paraId="2F3D82DC" w14:textId="77777777" w:rsidR="008F129A" w:rsidRPr="008F129A" w:rsidRDefault="00877621" w:rsidP="008F129A">
      <w:pPr>
        <w:autoSpaceDE w:val="0"/>
        <w:autoSpaceDN w:val="0"/>
        <w:adjustRightInd w:val="0"/>
        <w:spacing w:before="240"/>
        <w:jc w:val="both"/>
        <w:rPr>
          <w:rFonts w:ascii="ITC Avant Garde" w:hAnsi="ITC Avant Garde"/>
          <w:b/>
          <w:bCs/>
        </w:rPr>
      </w:pPr>
      <w:r w:rsidRPr="008F129A">
        <w:rPr>
          <w:rFonts w:ascii="ITC Avant Garde" w:hAnsi="ITC Avant Garde"/>
          <w:bCs/>
        </w:rPr>
        <w:t xml:space="preserve">En este sentido, considerando que no existe ninguna afectación a la continuidad del servicio, que el contenido de los dictámenes emitidos por la </w:t>
      </w:r>
      <w:r w:rsidRPr="008F129A">
        <w:rPr>
          <w:rFonts w:ascii="ITC Avant Garde" w:hAnsi="ITC Avant Garde"/>
          <w:bCs/>
          <w:lang w:val="es-ES"/>
        </w:rPr>
        <w:t xml:space="preserve">Dirección General de Ingeniería del Espectro y Estudios Técnicos adscrita a la Unidad de Espectro Radioeléctrico, así como por la Dirección General de Concentraciones y Concesiones adscrita la Unidad de Competencia Económica, aunado al hecho de </w:t>
      </w:r>
      <w:r w:rsidRPr="008F129A">
        <w:rPr>
          <w:rFonts w:ascii="ITC Avant Garde" w:hAnsi="ITC Avant Garde"/>
          <w:bCs/>
        </w:rPr>
        <w:t xml:space="preserve">que el Concesionario, </w:t>
      </w:r>
      <w:r w:rsidRPr="008F129A">
        <w:rPr>
          <w:rFonts w:ascii="ITC Avant Garde" w:hAnsi="ITC Avant Garde"/>
          <w:color w:val="000000"/>
          <w:lang w:val="es-ES" w:eastAsia="es-ES"/>
        </w:rPr>
        <w:t xml:space="preserve">acreditó lo acreditó lo señalado por el artículo 174-C fracción X, de la Ley Federal de Derechos vigente, con el </w:t>
      </w:r>
      <w:r w:rsidRPr="008F129A">
        <w:rPr>
          <w:rFonts w:ascii="ITC Avant Garde" w:eastAsia="Times New Roman" w:hAnsi="ITC Avant Garde"/>
          <w:color w:val="000000"/>
          <w:lang w:val="es-ES" w:eastAsia="es-ES"/>
        </w:rPr>
        <w:t xml:space="preserve">comprobante de pago de derechos con número de folio 665160004482, </w:t>
      </w:r>
      <w:r w:rsidRPr="008F129A">
        <w:rPr>
          <w:rFonts w:ascii="ITC Avant Garde" w:hAnsi="ITC Avant Garde"/>
          <w:bCs/>
        </w:rPr>
        <w:t xml:space="preserve">además de que el mismo, atiende a la planeación y administración eficiente del espectro acorde a las acciones específicas relativas al reordenamiento y reubicación de canales de televisión por debajo del canal 37, sin que se afecte el interés público, actualizando los supuestos normativos previstos en la </w:t>
      </w:r>
      <w:r w:rsidRPr="008F129A">
        <w:rPr>
          <w:rFonts w:ascii="ITC Avant Garde" w:hAnsi="ITC Avant Garde"/>
          <w:bCs/>
        </w:rPr>
        <w:lastRenderedPageBreak/>
        <w:t xml:space="preserve">fracción VI del artículo 105 y en el segundo párrafo del artículo 106, ambos de la Ley, este órgano máximo de decisión del Instituto </w:t>
      </w:r>
      <w:r w:rsidRPr="008F129A">
        <w:rPr>
          <w:rFonts w:ascii="ITC Avant Garde" w:hAnsi="ITC Avant Garde"/>
          <w:b/>
          <w:bCs/>
        </w:rPr>
        <w:t xml:space="preserve">considera procedente el cambio de banda de frecuencia (canal) </w:t>
      </w:r>
      <w:r w:rsidRPr="008F129A">
        <w:rPr>
          <w:rFonts w:ascii="ITC Avant Garde" w:hAnsi="ITC Avant Garde"/>
          <w:bCs/>
        </w:rPr>
        <w:t xml:space="preserve">sujeto previamente a la aceptación de las condiciones de conformidad con el artículo 107 de la Ley, </w:t>
      </w:r>
      <w:r w:rsidRPr="008F129A">
        <w:rPr>
          <w:rFonts w:ascii="ITC Avant Garde" w:eastAsia="Times New Roman" w:hAnsi="ITC Avant Garde"/>
          <w:color w:val="000000"/>
          <w:lang w:val="es-ES" w:eastAsia="es-ES"/>
        </w:rPr>
        <w:t xml:space="preserve">otorgada a través de la autorización para instalar y operar </w:t>
      </w:r>
      <w:r w:rsidRPr="008F129A">
        <w:rPr>
          <w:rFonts w:ascii="ITC Avant Garde" w:hAnsi="ITC Avant Garde"/>
          <w:bCs/>
        </w:rPr>
        <w:t>un canal para realizar transmisiones digitales</w:t>
      </w:r>
      <w:r w:rsidRPr="008F129A">
        <w:rPr>
          <w:rFonts w:ascii="ITC Avant Garde" w:eastAsia="Times New Roman" w:hAnsi="ITC Avant Garde"/>
          <w:color w:val="000000"/>
          <w:lang w:val="es-ES" w:eastAsia="es-ES"/>
        </w:rPr>
        <w:t>, ubicada en Nogales, Sonora, con distintivo de llamada XHNON-TDT.</w:t>
      </w:r>
    </w:p>
    <w:p w14:paraId="45ACCE6D" w14:textId="77777777" w:rsidR="008F129A" w:rsidRPr="008F129A" w:rsidRDefault="00877621" w:rsidP="008F129A">
      <w:pPr>
        <w:autoSpaceDE w:val="0"/>
        <w:autoSpaceDN w:val="0"/>
        <w:adjustRightInd w:val="0"/>
        <w:spacing w:before="240"/>
        <w:jc w:val="both"/>
        <w:rPr>
          <w:rFonts w:ascii="ITC Avant Garde" w:hAnsi="ITC Avant Garde"/>
          <w:bCs/>
        </w:rPr>
      </w:pPr>
      <w:r w:rsidRPr="008F129A">
        <w:rPr>
          <w:rFonts w:ascii="ITC Avant Garde" w:hAnsi="ITC Avant Garde"/>
          <w:bCs/>
        </w:rPr>
        <w:t>Por lo expuesto, con fundamento en los artículos 28 párrafos décimo quinto y décimo sexto de la Constitución Política de los Estados Unidos Mexicanos; 15 fracciones IV y XV, 17, fracción I, 105, fracción VI, 106 primero y segundo párrafo, 107, 155 y 156 de la Ley Federal de Telecomunicaciones y Radiodifusión; 3, 16 fracción X, 35, 36, 38 y 39 de la Ley Federal de Procedimiento Administrativo</w:t>
      </w:r>
      <w:r w:rsidRPr="008F129A">
        <w:rPr>
          <w:rFonts w:ascii="ITC Avant Garde" w:eastAsia="Times New Roman" w:hAnsi="ITC Avant Garde"/>
          <w:bCs/>
          <w:lang w:val="es-ES" w:eastAsia="es-MX"/>
        </w:rPr>
        <w:t xml:space="preserve">; </w:t>
      </w:r>
      <w:r w:rsidRPr="008F129A">
        <w:rPr>
          <w:rFonts w:ascii="ITC Avant Garde" w:hAnsi="ITC Avant Garde"/>
          <w:bCs/>
        </w:rPr>
        <w:t>y 1, 6 fracción XXXVII</w:t>
      </w:r>
      <w:r w:rsidR="00571C6D" w:rsidRPr="008F129A">
        <w:rPr>
          <w:rFonts w:ascii="ITC Avant Garde" w:hAnsi="ITC Avant Garde"/>
          <w:bCs/>
        </w:rPr>
        <w:t>I</w:t>
      </w:r>
      <w:r w:rsidRPr="008F129A">
        <w:rPr>
          <w:rFonts w:ascii="ITC Avant Garde" w:hAnsi="ITC Avant Garde"/>
          <w:bCs/>
        </w:rPr>
        <w:t>, 32, 34 fracción XIII y 50 fracción XII del Estatuto Orgánico del Instituto Federal de Telecomunicaciones, el Pleno del Instituto Federal de Telecomunicaciones emite los siguientes:</w:t>
      </w:r>
    </w:p>
    <w:p w14:paraId="44DCE6B4" w14:textId="77777777" w:rsidR="008F129A" w:rsidRPr="008F129A" w:rsidRDefault="004A0EA8" w:rsidP="008F129A">
      <w:pPr>
        <w:pStyle w:val="Ttulo2"/>
        <w:spacing w:after="240"/>
        <w:jc w:val="center"/>
        <w:rPr>
          <w:rFonts w:ascii="ITC Avant Garde" w:hAnsi="ITC Avant Garde"/>
          <w:b/>
          <w:color w:val="000000" w:themeColor="text1"/>
          <w:sz w:val="22"/>
          <w:szCs w:val="22"/>
        </w:rPr>
      </w:pPr>
      <w:r w:rsidRPr="008F129A">
        <w:rPr>
          <w:rFonts w:ascii="ITC Avant Garde" w:hAnsi="ITC Avant Garde"/>
          <w:b/>
          <w:color w:val="000000" w:themeColor="text1"/>
          <w:sz w:val="22"/>
          <w:szCs w:val="22"/>
        </w:rPr>
        <w:t>RESOLUTIVOS</w:t>
      </w:r>
    </w:p>
    <w:p w14:paraId="08D93BA1" w14:textId="11780823" w:rsidR="004A0EA8" w:rsidRPr="008F129A" w:rsidRDefault="004A0EA8" w:rsidP="008F129A">
      <w:pPr>
        <w:autoSpaceDE w:val="0"/>
        <w:autoSpaceDN w:val="0"/>
        <w:adjustRightInd w:val="0"/>
        <w:spacing w:before="240"/>
        <w:jc w:val="both"/>
        <w:rPr>
          <w:rFonts w:ascii="ITC Avant Garde" w:hAnsi="ITC Avant Garde"/>
          <w:bCs/>
        </w:rPr>
      </w:pPr>
      <w:r w:rsidRPr="008F129A">
        <w:rPr>
          <w:rFonts w:ascii="ITC Avant Garde" w:hAnsi="ITC Avant Garde"/>
          <w:b/>
          <w:bCs/>
        </w:rPr>
        <w:t>P</w:t>
      </w:r>
      <w:r w:rsidR="003E6A7E" w:rsidRPr="008F129A">
        <w:rPr>
          <w:rFonts w:ascii="ITC Avant Garde" w:hAnsi="ITC Avant Garde"/>
          <w:b/>
          <w:bCs/>
        </w:rPr>
        <w:t>RIMERO</w:t>
      </w:r>
      <w:r w:rsidRPr="008F129A">
        <w:rPr>
          <w:rFonts w:ascii="ITC Avant Garde" w:hAnsi="ITC Avant Garde"/>
          <w:b/>
          <w:bCs/>
        </w:rPr>
        <w:t xml:space="preserve">.- </w:t>
      </w:r>
      <w:r w:rsidR="0074435C" w:rsidRPr="008F129A">
        <w:rPr>
          <w:rFonts w:ascii="ITC Avant Garde" w:hAnsi="ITC Avant Garde"/>
          <w:bCs/>
        </w:rPr>
        <w:t>Se autoriza</w:t>
      </w:r>
      <w:r w:rsidR="0074435C" w:rsidRPr="008F129A">
        <w:rPr>
          <w:rFonts w:ascii="ITC Avant Garde" w:hAnsi="ITC Avant Garde"/>
          <w:b/>
          <w:bCs/>
        </w:rPr>
        <w:t xml:space="preserve"> </w:t>
      </w:r>
      <w:r w:rsidR="0074435C" w:rsidRPr="008F129A">
        <w:rPr>
          <w:rFonts w:ascii="ITC Avant Garde" w:hAnsi="ITC Avant Garde"/>
          <w:bCs/>
        </w:rPr>
        <w:t>a</w:t>
      </w:r>
      <w:r w:rsidR="002A5C0E" w:rsidRPr="008F129A">
        <w:rPr>
          <w:rFonts w:ascii="ITC Avant Garde" w:hAnsi="ITC Avant Garde"/>
          <w:bCs/>
        </w:rPr>
        <w:t xml:space="preserve"> </w:t>
      </w:r>
      <w:r w:rsidR="00453D0C" w:rsidRPr="008F129A">
        <w:rPr>
          <w:rFonts w:ascii="ITC Avant Garde" w:eastAsia="Times New Roman" w:hAnsi="ITC Avant Garde"/>
          <w:b/>
          <w:bCs/>
          <w:color w:val="000000"/>
          <w:lang w:val="es-ES" w:eastAsia="es-MX"/>
        </w:rPr>
        <w:t>Televimex</w:t>
      </w:r>
      <w:r w:rsidR="002A5C0E" w:rsidRPr="008F129A">
        <w:rPr>
          <w:rFonts w:ascii="ITC Avant Garde" w:eastAsia="Times New Roman" w:hAnsi="ITC Avant Garde"/>
          <w:b/>
          <w:bCs/>
          <w:color w:val="000000"/>
          <w:lang w:val="es-ES" w:eastAsia="es-MX"/>
        </w:rPr>
        <w:t>, S.A. de C.V</w:t>
      </w:r>
      <w:r w:rsidR="002A5C0E" w:rsidRPr="008F129A">
        <w:rPr>
          <w:rFonts w:ascii="ITC Avant Garde" w:hAnsi="ITC Avant Garde"/>
          <w:b/>
          <w:bCs/>
          <w:lang w:val="es-ES"/>
        </w:rPr>
        <w:t>.</w:t>
      </w:r>
      <w:r w:rsidR="002A5C0E" w:rsidRPr="008F129A">
        <w:rPr>
          <w:rFonts w:ascii="ITC Avant Garde" w:eastAsia="Times New Roman" w:hAnsi="ITC Avant Garde"/>
          <w:b/>
          <w:color w:val="000000"/>
          <w:lang w:val="es-ES" w:eastAsia="es-ES"/>
        </w:rPr>
        <w:t xml:space="preserve">, </w:t>
      </w:r>
      <w:r w:rsidR="0074435C" w:rsidRPr="008F129A">
        <w:rPr>
          <w:rFonts w:ascii="ITC Avant Garde" w:hAnsi="ITC Avant Garde"/>
          <w:bCs/>
        </w:rPr>
        <w:t>e</w:t>
      </w:r>
      <w:r w:rsidR="00B27FBF" w:rsidRPr="008F129A">
        <w:rPr>
          <w:rFonts w:ascii="ITC Avant Garde" w:hAnsi="ITC Avant Garde"/>
          <w:bCs/>
        </w:rPr>
        <w:t xml:space="preserve">l </w:t>
      </w:r>
      <w:r w:rsidRPr="008F129A">
        <w:rPr>
          <w:rFonts w:ascii="ITC Avant Garde" w:hAnsi="ITC Avant Garde"/>
          <w:bCs/>
        </w:rPr>
        <w:t xml:space="preserve">cambio de </w:t>
      </w:r>
      <w:r w:rsidR="00103FF9" w:rsidRPr="008F129A">
        <w:rPr>
          <w:rFonts w:ascii="ITC Avant Garde" w:hAnsi="ITC Avant Garde"/>
          <w:bCs/>
        </w:rPr>
        <w:t xml:space="preserve">banda de </w:t>
      </w:r>
      <w:r w:rsidR="009D48D4" w:rsidRPr="008F129A">
        <w:rPr>
          <w:rFonts w:ascii="ITC Avant Garde" w:hAnsi="ITC Avant Garde"/>
          <w:bCs/>
        </w:rPr>
        <w:t>frecuencia</w:t>
      </w:r>
      <w:r w:rsidR="00103FF9" w:rsidRPr="008F129A">
        <w:rPr>
          <w:rFonts w:ascii="ITC Avant Garde" w:hAnsi="ITC Avant Garde"/>
          <w:bCs/>
        </w:rPr>
        <w:t xml:space="preserve"> (</w:t>
      </w:r>
      <w:r w:rsidR="00A57FD9" w:rsidRPr="008F129A">
        <w:rPr>
          <w:rFonts w:ascii="ITC Avant Garde" w:hAnsi="ITC Avant Garde"/>
          <w:bCs/>
        </w:rPr>
        <w:t>c</w:t>
      </w:r>
      <w:r w:rsidR="00103FF9" w:rsidRPr="008F129A">
        <w:rPr>
          <w:rFonts w:ascii="ITC Avant Garde" w:hAnsi="ITC Avant Garde"/>
          <w:bCs/>
        </w:rPr>
        <w:t>anal)</w:t>
      </w:r>
      <w:r w:rsidR="0074435C" w:rsidRPr="008F129A">
        <w:rPr>
          <w:rFonts w:ascii="ITC Avant Garde" w:hAnsi="ITC Avant Garde"/>
        </w:rPr>
        <w:t xml:space="preserve">, </w:t>
      </w:r>
      <w:r w:rsidR="00103FF9" w:rsidRPr="008F129A">
        <w:rPr>
          <w:rFonts w:ascii="ITC Avant Garde" w:hAnsi="ITC Avant Garde"/>
        </w:rPr>
        <w:t xml:space="preserve">otorgada </w:t>
      </w:r>
      <w:r w:rsidR="009D48D4" w:rsidRPr="008F129A">
        <w:rPr>
          <w:rFonts w:ascii="ITC Avant Garde" w:hAnsi="ITC Avant Garde"/>
          <w:bCs/>
        </w:rPr>
        <w:t>para la instalaci</w:t>
      </w:r>
      <w:r w:rsidR="002069D0" w:rsidRPr="008F129A">
        <w:rPr>
          <w:rFonts w:ascii="ITC Avant Garde" w:hAnsi="ITC Avant Garde"/>
          <w:bCs/>
        </w:rPr>
        <w:t>ón y</w:t>
      </w:r>
      <w:r w:rsidR="009D48D4" w:rsidRPr="008F129A">
        <w:rPr>
          <w:rFonts w:ascii="ITC Avant Garde" w:hAnsi="ITC Avant Garde"/>
          <w:bCs/>
        </w:rPr>
        <w:t xml:space="preserve"> operación de un canal para realizar transmisiones </w:t>
      </w:r>
      <w:r w:rsidR="002069D0" w:rsidRPr="008F129A">
        <w:rPr>
          <w:rFonts w:ascii="ITC Avant Garde" w:hAnsi="ITC Avant Garde"/>
          <w:bCs/>
        </w:rPr>
        <w:t>digitales</w:t>
      </w:r>
      <w:r w:rsidR="009D48D4" w:rsidRPr="008F129A">
        <w:rPr>
          <w:rFonts w:ascii="ITC Avant Garde" w:hAnsi="ITC Avant Garde"/>
          <w:bCs/>
        </w:rPr>
        <w:t>,</w:t>
      </w:r>
      <w:r w:rsidR="009D48D4" w:rsidRPr="008F129A">
        <w:rPr>
          <w:rFonts w:ascii="ITC Avant Garde" w:hAnsi="ITC Avant Garde"/>
          <w:b/>
          <w:bCs/>
        </w:rPr>
        <w:t xml:space="preserve"> </w:t>
      </w:r>
      <w:r w:rsidR="0074435C" w:rsidRPr="008F129A">
        <w:rPr>
          <w:rFonts w:ascii="ITC Avant Garde" w:hAnsi="ITC Avant Garde"/>
        </w:rPr>
        <w:t>en consecuenc</w:t>
      </w:r>
      <w:r w:rsidR="00D17A12" w:rsidRPr="008F129A">
        <w:rPr>
          <w:rFonts w:ascii="ITC Avant Garde" w:hAnsi="ITC Avant Garde"/>
        </w:rPr>
        <w:t xml:space="preserve">ia </w:t>
      </w:r>
      <w:r w:rsidR="00030122" w:rsidRPr="008F129A">
        <w:rPr>
          <w:rFonts w:ascii="ITC Avant Garde" w:hAnsi="ITC Avant Garde"/>
        </w:rPr>
        <w:t>se cambia</w:t>
      </w:r>
      <w:r w:rsidR="007D1C64" w:rsidRPr="008F129A">
        <w:rPr>
          <w:rFonts w:ascii="ITC Avant Garde" w:hAnsi="ITC Avant Garde"/>
        </w:rPr>
        <w:t xml:space="preserve"> </w:t>
      </w:r>
      <w:r w:rsidR="002069D0" w:rsidRPr="008F129A">
        <w:rPr>
          <w:rFonts w:ascii="ITC Avant Garde" w:hAnsi="ITC Avant Garde"/>
        </w:rPr>
        <w:t xml:space="preserve">el canal </w:t>
      </w:r>
      <w:r w:rsidR="008225D2" w:rsidRPr="008F129A">
        <w:rPr>
          <w:rFonts w:ascii="ITC Avant Garde" w:hAnsi="ITC Avant Garde"/>
        </w:rPr>
        <w:t>38</w:t>
      </w:r>
      <w:r w:rsidR="0014600E" w:rsidRPr="008F129A">
        <w:rPr>
          <w:rFonts w:ascii="ITC Avant Garde" w:hAnsi="ITC Avant Garde" w:cs="Calibri"/>
        </w:rPr>
        <w:t xml:space="preserve"> </w:t>
      </w:r>
      <w:r w:rsidR="00DF7306" w:rsidRPr="008F129A">
        <w:rPr>
          <w:rFonts w:ascii="ITC Avant Garde" w:hAnsi="ITC Avant Garde" w:cs="Calibri"/>
        </w:rPr>
        <w:t>(</w:t>
      </w:r>
      <w:r w:rsidR="008225D2" w:rsidRPr="008F129A">
        <w:rPr>
          <w:rFonts w:ascii="ITC Avant Garde" w:hAnsi="ITC Avant Garde"/>
          <w:bCs/>
          <w:color w:val="000000"/>
          <w:lang w:eastAsia="es-MX"/>
        </w:rPr>
        <w:t>614-620</w:t>
      </w:r>
      <w:r w:rsidR="0014600E" w:rsidRPr="008F129A">
        <w:rPr>
          <w:rFonts w:ascii="ITC Avant Garde" w:hAnsi="ITC Avant Garde"/>
          <w:b/>
          <w:bCs/>
          <w:color w:val="000000"/>
          <w:lang w:eastAsia="es-MX"/>
        </w:rPr>
        <w:t xml:space="preserve"> </w:t>
      </w:r>
      <w:r w:rsidR="00DF7306" w:rsidRPr="008F129A">
        <w:rPr>
          <w:rFonts w:ascii="ITC Avant Garde" w:hAnsi="ITC Avant Garde" w:cs="Calibri"/>
        </w:rPr>
        <w:t xml:space="preserve">MHz) </w:t>
      </w:r>
      <w:r w:rsidR="002069D0" w:rsidRPr="008F129A">
        <w:rPr>
          <w:rFonts w:ascii="ITC Avant Garde" w:hAnsi="ITC Avant Garde"/>
        </w:rPr>
        <w:t xml:space="preserve">por el canal </w:t>
      </w:r>
      <w:r w:rsidR="00453D0C" w:rsidRPr="008F129A">
        <w:rPr>
          <w:rFonts w:ascii="ITC Avant Garde" w:hAnsi="ITC Avant Garde"/>
        </w:rPr>
        <w:t>26</w:t>
      </w:r>
      <w:r w:rsidR="0014600E" w:rsidRPr="008F129A">
        <w:rPr>
          <w:rFonts w:ascii="ITC Avant Garde" w:hAnsi="ITC Avant Garde"/>
        </w:rPr>
        <w:t xml:space="preserve"> </w:t>
      </w:r>
      <w:r w:rsidR="00CB751A" w:rsidRPr="008F129A">
        <w:rPr>
          <w:rFonts w:ascii="ITC Avant Garde" w:hAnsi="ITC Avant Garde"/>
        </w:rPr>
        <w:t>(</w:t>
      </w:r>
      <w:r w:rsidR="008225D2" w:rsidRPr="008F129A">
        <w:rPr>
          <w:rFonts w:ascii="ITC Avant Garde" w:hAnsi="ITC Avant Garde"/>
        </w:rPr>
        <w:t>542-548</w:t>
      </w:r>
      <w:r w:rsidR="00CB751A" w:rsidRPr="008F129A">
        <w:rPr>
          <w:rFonts w:ascii="ITC Avant Garde" w:hAnsi="ITC Avant Garde"/>
          <w:bCs/>
          <w:color w:val="000000"/>
          <w:lang w:eastAsia="es-MX"/>
        </w:rPr>
        <w:t xml:space="preserve"> MHz)</w:t>
      </w:r>
      <w:r w:rsidR="001833B3" w:rsidRPr="008F129A">
        <w:rPr>
          <w:rFonts w:ascii="ITC Avant Garde" w:hAnsi="ITC Avant Garde"/>
          <w:bCs/>
        </w:rPr>
        <w:t>,</w:t>
      </w:r>
      <w:r w:rsidR="00AA4BCA" w:rsidRPr="008F129A">
        <w:rPr>
          <w:rFonts w:ascii="ITC Avant Garde" w:hAnsi="ITC Avant Garde"/>
          <w:bCs/>
        </w:rPr>
        <w:t xml:space="preserve"> </w:t>
      </w:r>
      <w:r w:rsidR="00F00A38" w:rsidRPr="008F129A">
        <w:rPr>
          <w:rFonts w:ascii="ITC Avant Garde" w:hAnsi="ITC Avant Garde"/>
          <w:bCs/>
        </w:rPr>
        <w:t xml:space="preserve">mismo que deberá operar </w:t>
      </w:r>
      <w:r w:rsidR="002069D0" w:rsidRPr="008F129A">
        <w:rPr>
          <w:rFonts w:ascii="ITC Avant Garde" w:hAnsi="ITC Avant Garde"/>
          <w:bCs/>
          <w:color w:val="000000"/>
        </w:rPr>
        <w:t>de acuerdo con las siguientes características y especificaciones técnicas</w:t>
      </w:r>
      <w:r w:rsidRPr="008F129A">
        <w:rPr>
          <w:rFonts w:ascii="ITC Avant Garde" w:hAnsi="ITC Avant Garde"/>
          <w:bCs/>
        </w:rPr>
        <w:t>:</w:t>
      </w:r>
    </w:p>
    <w:p w14:paraId="39BBE94B" w14:textId="3540280B"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t xml:space="preserve">1. Canal digital: </w:t>
      </w:r>
      <w:r w:rsidRPr="008F129A">
        <w:rPr>
          <w:rFonts w:ascii="ITC Avant Garde" w:hAnsi="ITC Avant Garde"/>
          <w:bCs/>
          <w:color w:val="000000"/>
          <w:sz w:val="21"/>
          <w:szCs w:val="21"/>
        </w:rPr>
        <w:t>26 (542-548 MHz)</w:t>
      </w:r>
    </w:p>
    <w:p w14:paraId="07ED7966" w14:textId="6EB8D260"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t xml:space="preserve">2. Distintivo de llamada: </w:t>
      </w:r>
      <w:r w:rsidRPr="008F129A">
        <w:rPr>
          <w:rFonts w:ascii="ITC Avant Garde" w:hAnsi="ITC Avant Garde"/>
          <w:bCs/>
          <w:color w:val="000000"/>
          <w:sz w:val="21"/>
          <w:szCs w:val="21"/>
        </w:rPr>
        <w:t>XHNON-TDT</w:t>
      </w:r>
    </w:p>
    <w:p w14:paraId="3C41A990" w14:textId="12FB9F8A" w:rsidR="008F129A" w:rsidRPr="008F129A" w:rsidRDefault="008F129A" w:rsidP="008F129A">
      <w:pPr>
        <w:spacing w:before="240"/>
        <w:ind w:left="993"/>
        <w:rPr>
          <w:rFonts w:ascii="ITC Avant Garde" w:hAnsi="ITC Avant Garde"/>
          <w:bCs/>
          <w:color w:val="000000"/>
          <w:sz w:val="21"/>
          <w:szCs w:val="21"/>
        </w:rPr>
      </w:pPr>
      <w:r w:rsidRPr="008F129A">
        <w:rPr>
          <w:rFonts w:ascii="ITC Avant Garde" w:hAnsi="ITC Avant Garde"/>
          <w:b/>
          <w:bCs/>
          <w:color w:val="000000"/>
          <w:sz w:val="21"/>
          <w:szCs w:val="21"/>
        </w:rPr>
        <w:t xml:space="preserve">3. Ubicación del equipo transmisor y planta transmisora: </w:t>
      </w:r>
      <w:r w:rsidRPr="008F129A">
        <w:rPr>
          <w:rFonts w:ascii="ITC Avant Garde" w:hAnsi="ITC Avant Garde"/>
          <w:bCs/>
          <w:color w:val="000000"/>
          <w:sz w:val="21"/>
          <w:szCs w:val="21"/>
        </w:rPr>
        <w:t>Paseo de los Pastores s/n, Col. Lomas de Fátima, Nogales, Son.</w:t>
      </w:r>
    </w:p>
    <w:p w14:paraId="71A60312" w14:textId="3732EB21"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t xml:space="preserve">4. Población principal a servir: </w:t>
      </w:r>
      <w:r w:rsidRPr="008F129A">
        <w:rPr>
          <w:rFonts w:ascii="ITC Avant Garde" w:hAnsi="ITC Avant Garde"/>
          <w:bCs/>
          <w:color w:val="000000"/>
          <w:sz w:val="21"/>
          <w:szCs w:val="21"/>
        </w:rPr>
        <w:t>Nogales, Sonora.</w:t>
      </w:r>
    </w:p>
    <w:p w14:paraId="5A70C382" w14:textId="58083B25"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t xml:space="preserve">5. Potencia radiada aparente (PRA): </w:t>
      </w:r>
      <w:r w:rsidRPr="008F129A">
        <w:rPr>
          <w:rFonts w:ascii="ITC Avant Garde" w:hAnsi="ITC Avant Garde"/>
          <w:bCs/>
          <w:color w:val="000000"/>
          <w:sz w:val="21"/>
          <w:szCs w:val="21"/>
        </w:rPr>
        <w:t>35.000 kW</w:t>
      </w:r>
    </w:p>
    <w:p w14:paraId="3B824A73" w14:textId="6567246D"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t xml:space="preserve">6. Sistema radiador: </w:t>
      </w:r>
      <w:r w:rsidRPr="008F129A">
        <w:rPr>
          <w:rFonts w:ascii="ITC Avant Garde" w:hAnsi="ITC Avant Garde"/>
          <w:bCs/>
          <w:color w:val="000000"/>
          <w:sz w:val="21"/>
          <w:szCs w:val="21"/>
        </w:rPr>
        <w:t>Direccional (AD 45°,135° y 225°)</w:t>
      </w:r>
    </w:p>
    <w:p w14:paraId="59A9E4F7" w14:textId="28FA6029"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t xml:space="preserve">7. Horario de funcionamiento: </w:t>
      </w:r>
      <w:r w:rsidRPr="008F129A">
        <w:rPr>
          <w:rFonts w:ascii="ITC Avant Garde" w:hAnsi="ITC Avant Garde"/>
          <w:bCs/>
          <w:color w:val="000000"/>
          <w:sz w:val="21"/>
          <w:szCs w:val="21"/>
        </w:rPr>
        <w:t>Las 24 horas</w:t>
      </w:r>
    </w:p>
    <w:p w14:paraId="39D960B4" w14:textId="3ABD1D2A" w:rsidR="008F129A" w:rsidRPr="008F129A" w:rsidRDefault="008F129A" w:rsidP="008F129A">
      <w:pPr>
        <w:spacing w:before="240"/>
        <w:ind w:left="993" w:right="167"/>
        <w:rPr>
          <w:rFonts w:ascii="ITC Avant Garde" w:hAnsi="ITC Avant Garde"/>
          <w:bCs/>
          <w:color w:val="000000"/>
          <w:sz w:val="21"/>
          <w:szCs w:val="21"/>
        </w:rPr>
      </w:pPr>
      <w:r w:rsidRPr="008F129A">
        <w:rPr>
          <w:rFonts w:ascii="ITC Avant Garde" w:hAnsi="ITC Avant Garde"/>
          <w:b/>
          <w:bCs/>
          <w:color w:val="000000"/>
          <w:sz w:val="21"/>
          <w:szCs w:val="21"/>
        </w:rPr>
        <w:t xml:space="preserve">8. Centro de la zona de cobertura (Coordenadas geográficas): </w:t>
      </w:r>
      <w:r w:rsidRPr="008F129A">
        <w:rPr>
          <w:rFonts w:ascii="ITC Avant Garde" w:hAnsi="ITC Avant Garde"/>
          <w:bCs/>
          <w:color w:val="000000"/>
          <w:sz w:val="21"/>
          <w:szCs w:val="21"/>
        </w:rPr>
        <w:t>L.N. 31° 19’ 39.00” y L.W. 110° 57’ 08.00”</w:t>
      </w:r>
    </w:p>
    <w:p w14:paraId="0BFF23F5" w14:textId="79ED9646" w:rsidR="008F129A" w:rsidRPr="008F129A" w:rsidRDefault="008F129A" w:rsidP="008F129A">
      <w:pPr>
        <w:spacing w:before="240"/>
        <w:ind w:left="993" w:right="167"/>
        <w:jc w:val="both"/>
        <w:rPr>
          <w:rFonts w:ascii="ITC Avant Garde" w:hAnsi="ITC Avant Garde"/>
          <w:bCs/>
          <w:color w:val="000000"/>
          <w:sz w:val="21"/>
          <w:szCs w:val="21"/>
        </w:rPr>
      </w:pPr>
      <w:r w:rsidRPr="008F129A">
        <w:rPr>
          <w:rFonts w:ascii="ITC Avant Garde" w:hAnsi="ITC Avant Garde"/>
          <w:b/>
          <w:bCs/>
          <w:color w:val="000000"/>
          <w:sz w:val="21"/>
          <w:szCs w:val="21"/>
        </w:rPr>
        <w:t xml:space="preserve">9. Altura del centro eléctrico sobre el lugar de instalación (m): </w:t>
      </w:r>
      <w:r w:rsidRPr="008F129A">
        <w:rPr>
          <w:rFonts w:ascii="ITC Avant Garde" w:hAnsi="ITC Avant Garde"/>
          <w:bCs/>
          <w:color w:val="000000"/>
          <w:sz w:val="21"/>
          <w:szCs w:val="21"/>
          <w:lang w:val="fr-FR"/>
        </w:rPr>
        <w:t xml:space="preserve">67.00 </w:t>
      </w:r>
      <w:r w:rsidRPr="008F129A">
        <w:rPr>
          <w:rFonts w:ascii="ITC Avant Garde" w:hAnsi="ITC Avant Garde"/>
          <w:bCs/>
          <w:color w:val="000000"/>
          <w:sz w:val="21"/>
          <w:szCs w:val="21"/>
        </w:rPr>
        <w:t>metros</w:t>
      </w:r>
    </w:p>
    <w:p w14:paraId="3E87392A" w14:textId="72CD4541"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lastRenderedPageBreak/>
        <w:t xml:space="preserve">10. Potencia de operación del equipo: </w:t>
      </w:r>
      <w:r w:rsidRPr="008F129A">
        <w:rPr>
          <w:rFonts w:ascii="ITC Avant Garde" w:hAnsi="ITC Avant Garde"/>
          <w:bCs/>
          <w:color w:val="000000"/>
          <w:sz w:val="21"/>
          <w:szCs w:val="21"/>
        </w:rPr>
        <w:t>2.000 kW</w:t>
      </w:r>
    </w:p>
    <w:p w14:paraId="12797623" w14:textId="77777777" w:rsidR="008F129A" w:rsidRPr="008F129A" w:rsidRDefault="008F129A" w:rsidP="008F129A">
      <w:pPr>
        <w:spacing w:before="240"/>
        <w:ind w:left="993"/>
        <w:jc w:val="both"/>
        <w:rPr>
          <w:rFonts w:ascii="ITC Avant Garde" w:hAnsi="ITC Avant Garde"/>
          <w:bCs/>
          <w:color w:val="000000"/>
          <w:sz w:val="21"/>
          <w:szCs w:val="21"/>
        </w:rPr>
      </w:pPr>
      <w:r w:rsidRPr="008F129A">
        <w:rPr>
          <w:rFonts w:ascii="ITC Avant Garde" w:hAnsi="ITC Avant Garde"/>
          <w:b/>
          <w:bCs/>
          <w:color w:val="000000"/>
          <w:sz w:val="21"/>
          <w:szCs w:val="21"/>
        </w:rPr>
        <w:t>11. Inclinación del haz eléctrico:</w:t>
      </w:r>
      <w:r w:rsidRPr="008F129A">
        <w:rPr>
          <w:rFonts w:ascii="ITC Avant Garde" w:hAnsi="ITC Avant Garde"/>
          <w:bCs/>
          <w:color w:val="000000"/>
          <w:sz w:val="21"/>
          <w:szCs w:val="21"/>
        </w:rPr>
        <w:t>- 1°</w:t>
      </w:r>
    </w:p>
    <w:p w14:paraId="23D01E17" w14:textId="58B5DA88" w:rsidR="008F129A" w:rsidRPr="008F129A" w:rsidRDefault="00066949" w:rsidP="008F129A">
      <w:pPr>
        <w:spacing w:before="240"/>
        <w:jc w:val="both"/>
        <w:rPr>
          <w:rFonts w:ascii="ITC Avant Garde" w:hAnsi="ITC Avant Garde"/>
          <w:bCs/>
        </w:rPr>
      </w:pPr>
      <w:r w:rsidRPr="008F129A">
        <w:rPr>
          <w:rFonts w:ascii="ITC Avant Garde" w:hAnsi="ITC Avant Garde"/>
          <w:b/>
          <w:bCs/>
        </w:rPr>
        <w:t xml:space="preserve">SEGUNDO.- </w:t>
      </w:r>
      <w:r w:rsidRPr="008F129A">
        <w:rPr>
          <w:rFonts w:ascii="ITC Avant Garde" w:hAnsi="ITC Avant Garde"/>
          <w:bCs/>
        </w:rPr>
        <w:t>La autorización señalada en el Resolutivo PRIMERO está sujeta a la aceptación</w:t>
      </w:r>
      <w:r w:rsidRPr="008F129A">
        <w:rPr>
          <w:rFonts w:ascii="ITC Avant Garde" w:hAnsi="ITC Avant Garde"/>
          <w:b/>
          <w:bCs/>
        </w:rPr>
        <w:t xml:space="preserve"> </w:t>
      </w:r>
      <w:r w:rsidRPr="008F129A">
        <w:rPr>
          <w:rFonts w:ascii="ITC Avant Garde" w:hAnsi="ITC Avant Garde"/>
          <w:bCs/>
        </w:rPr>
        <w:t xml:space="preserve">de las nuevas condiciones por parte de </w:t>
      </w:r>
      <w:r w:rsidRPr="008F129A">
        <w:rPr>
          <w:rFonts w:ascii="ITC Avant Garde" w:eastAsia="Times New Roman" w:hAnsi="ITC Avant Garde"/>
          <w:b/>
          <w:bCs/>
          <w:color w:val="000000"/>
          <w:lang w:val="es-ES" w:eastAsia="es-MX"/>
        </w:rPr>
        <w:t>Televimex, S. A. de C. V.</w:t>
      </w:r>
      <w:r w:rsidRPr="008F129A">
        <w:rPr>
          <w:rFonts w:ascii="ITC Avant Garde" w:hAnsi="ITC Avant Garde"/>
          <w:bCs/>
        </w:rPr>
        <w:t>, quien en un plazo de 30 (treinta) días hábiles contados a partir del día siguiente a aquel en que haya surtido efectos la notificación respectiva, deberá presentar ante la Unidad de Concesiones y Servicios su aceptación expresa e indubitable de las nuevas condiciones.</w:t>
      </w:r>
    </w:p>
    <w:p w14:paraId="7DF8A652" w14:textId="77777777" w:rsidR="008F129A" w:rsidRPr="008F129A" w:rsidRDefault="00066949" w:rsidP="008F129A">
      <w:pPr>
        <w:autoSpaceDE w:val="0"/>
        <w:autoSpaceDN w:val="0"/>
        <w:adjustRightInd w:val="0"/>
        <w:spacing w:before="240"/>
        <w:jc w:val="both"/>
        <w:rPr>
          <w:rFonts w:ascii="ITC Avant Garde" w:hAnsi="ITC Avant Garde"/>
          <w:bCs/>
        </w:rPr>
      </w:pPr>
      <w:r w:rsidRPr="008F129A">
        <w:rPr>
          <w:rFonts w:ascii="ITC Avant Garde" w:hAnsi="ITC Avant Garde"/>
          <w:bCs/>
        </w:rPr>
        <w:t xml:space="preserve">En caso de que </w:t>
      </w:r>
      <w:r w:rsidRPr="008F129A">
        <w:rPr>
          <w:rFonts w:ascii="ITC Avant Garde" w:eastAsia="Times New Roman" w:hAnsi="ITC Avant Garde"/>
          <w:b/>
          <w:bCs/>
          <w:color w:val="000000"/>
          <w:lang w:val="es-ES" w:eastAsia="es-MX"/>
        </w:rPr>
        <w:t>Televimex, S.A. de C.V.</w:t>
      </w:r>
      <w:r w:rsidRPr="008F129A">
        <w:rPr>
          <w:rFonts w:ascii="ITC Avant Garde" w:hAnsi="ITC Avant Garde"/>
          <w:b/>
          <w:bCs/>
        </w:rPr>
        <w:t>,</w:t>
      </w:r>
      <w:r w:rsidRPr="008F129A">
        <w:rPr>
          <w:rFonts w:ascii="ITC Avant Garde" w:hAnsi="ITC Avant Garde"/>
          <w:bCs/>
        </w:rPr>
        <w:t xml:space="preserve"> no dé cumplimiento a lo antes señalado, la presente Resolución quedará sin efectos.</w:t>
      </w:r>
    </w:p>
    <w:p w14:paraId="08AA97D5" w14:textId="77777777" w:rsidR="008F129A" w:rsidRPr="008F129A" w:rsidRDefault="00D66258" w:rsidP="008F129A">
      <w:pPr>
        <w:autoSpaceDE w:val="0"/>
        <w:autoSpaceDN w:val="0"/>
        <w:adjustRightInd w:val="0"/>
        <w:spacing w:before="240"/>
        <w:jc w:val="both"/>
        <w:rPr>
          <w:rFonts w:ascii="ITC Avant Garde" w:hAnsi="ITC Avant Garde"/>
          <w:bCs/>
        </w:rPr>
      </w:pPr>
      <w:r w:rsidRPr="008F129A">
        <w:rPr>
          <w:rFonts w:ascii="ITC Avant Garde" w:hAnsi="ITC Avant Garde"/>
          <w:b/>
          <w:bCs/>
        </w:rPr>
        <w:t>TERCERO</w:t>
      </w:r>
      <w:r w:rsidR="00F81CC8" w:rsidRPr="008F129A">
        <w:rPr>
          <w:rFonts w:ascii="ITC Avant Garde" w:hAnsi="ITC Avant Garde"/>
          <w:b/>
          <w:bCs/>
        </w:rPr>
        <w:t>.-</w:t>
      </w:r>
      <w:r w:rsidR="007414A2" w:rsidRPr="008F129A">
        <w:rPr>
          <w:rFonts w:ascii="ITC Avant Garde" w:hAnsi="ITC Avant Garde"/>
          <w:b/>
          <w:bCs/>
        </w:rPr>
        <w:t xml:space="preserve"> </w:t>
      </w:r>
      <w:r w:rsidR="00066949" w:rsidRPr="008F129A">
        <w:rPr>
          <w:rFonts w:ascii="ITC Avant Garde" w:hAnsi="ITC Avant Garde"/>
          <w:bCs/>
        </w:rPr>
        <w:t>Los trabajos de instalación y de las operaciones de prueba materia de la presente Resolución, atento a lo dispuesto en el artículo 156 de la Ley Federal de Telecomunicaciones y Radiodifusión, deberán realizarse dentro de un plazo de 90 (noventa) días naturales a la presentación de la aceptación de condiciones de acuerdo con las características técnicas registradas a la estación.</w:t>
      </w:r>
    </w:p>
    <w:p w14:paraId="021D39EA" w14:textId="77777777" w:rsidR="008F129A" w:rsidRPr="008F129A" w:rsidRDefault="00D66258" w:rsidP="008F129A">
      <w:pPr>
        <w:autoSpaceDE w:val="0"/>
        <w:autoSpaceDN w:val="0"/>
        <w:adjustRightInd w:val="0"/>
        <w:spacing w:before="240"/>
        <w:jc w:val="both"/>
        <w:rPr>
          <w:rFonts w:ascii="ITC Avant Garde" w:hAnsi="ITC Avant Garde"/>
          <w:bCs/>
        </w:rPr>
      </w:pPr>
      <w:r w:rsidRPr="008F129A">
        <w:rPr>
          <w:rFonts w:ascii="ITC Avant Garde" w:hAnsi="ITC Avant Garde"/>
          <w:b/>
          <w:bCs/>
        </w:rPr>
        <w:t>CUARTO</w:t>
      </w:r>
      <w:r w:rsidR="005D66D6" w:rsidRPr="008F129A">
        <w:rPr>
          <w:rFonts w:ascii="ITC Avant Garde" w:hAnsi="ITC Avant Garde"/>
          <w:b/>
          <w:bCs/>
        </w:rPr>
        <w:t>.-</w:t>
      </w:r>
      <w:r w:rsidR="005D66D6" w:rsidRPr="008F129A">
        <w:rPr>
          <w:rFonts w:ascii="ITC Avant Garde" w:hAnsi="ITC Avant Garde"/>
          <w:bCs/>
        </w:rPr>
        <w:t xml:space="preserve"> </w:t>
      </w:r>
      <w:r w:rsidR="00066949" w:rsidRPr="008F129A">
        <w:rPr>
          <w:rFonts w:ascii="ITC Avant Garde" w:hAnsi="ITC Avant Garde"/>
          <w:bCs/>
        </w:rPr>
        <w:t xml:space="preserve">Una vez concluidos los trabajos de instalación y de las operaciones de prueba o, en su caso, del vencimiento del plazo otorgado para el mismo fin, </w:t>
      </w:r>
      <w:r w:rsidR="00066949" w:rsidRPr="008F129A">
        <w:rPr>
          <w:rFonts w:ascii="ITC Avant Garde" w:eastAsia="Times New Roman" w:hAnsi="ITC Avant Garde"/>
          <w:b/>
          <w:bCs/>
          <w:color w:val="000000"/>
          <w:lang w:val="es-ES" w:eastAsia="es-MX"/>
        </w:rPr>
        <w:t>Televimex, S. A. de C. V.</w:t>
      </w:r>
      <w:r w:rsidR="00066949" w:rsidRPr="008F129A">
        <w:rPr>
          <w:rFonts w:ascii="ITC Avant Garde" w:hAnsi="ITC Avant Garde"/>
          <w:bCs/>
        </w:rPr>
        <w:t>, en términos de lo dispuesto en el artículo 15 fracción XXVIII de la Ley Federal de Telecomunicaciones y Radiodifusión, en relación con el artículo 20 fracción XI del Estatuto Orgánico del Instituto Federal de Telecomunicaciones, deberá comunicar por escrito al Instituto, la conclusión de los trabajos de instalación en el plazo concedido en el Reso</w:t>
      </w:r>
      <w:r w:rsidR="00655164" w:rsidRPr="008F129A">
        <w:rPr>
          <w:rFonts w:ascii="ITC Avant Garde" w:hAnsi="ITC Avant Garde"/>
          <w:bCs/>
        </w:rPr>
        <w:t>lutivo anterior de la presente R</w:t>
      </w:r>
      <w:r w:rsidR="00066949" w:rsidRPr="008F129A">
        <w:rPr>
          <w:rFonts w:ascii="ITC Avant Garde" w:hAnsi="ITC Avant Garde"/>
          <w:bCs/>
        </w:rPr>
        <w:t>esolución.</w:t>
      </w:r>
    </w:p>
    <w:p w14:paraId="57CEA23E" w14:textId="77777777" w:rsidR="008F129A" w:rsidRPr="008F129A" w:rsidRDefault="00463200" w:rsidP="008F129A">
      <w:pPr>
        <w:autoSpaceDE w:val="0"/>
        <w:autoSpaceDN w:val="0"/>
        <w:adjustRightInd w:val="0"/>
        <w:spacing w:before="240"/>
        <w:jc w:val="both"/>
        <w:rPr>
          <w:rFonts w:ascii="ITC Avant Garde" w:hAnsi="ITC Avant Garde"/>
          <w:bCs/>
        </w:rPr>
      </w:pPr>
      <w:r w:rsidRPr="008F129A">
        <w:rPr>
          <w:rFonts w:ascii="ITC Avant Garde" w:hAnsi="ITC Avant Garde"/>
          <w:b/>
          <w:bCs/>
        </w:rPr>
        <w:t xml:space="preserve">QUINTO.- </w:t>
      </w:r>
      <w:r w:rsidR="00066949" w:rsidRPr="008F129A">
        <w:rPr>
          <w:rFonts w:ascii="ITC Avant Garde" w:hAnsi="ITC Avant Garde"/>
          <w:bCs/>
        </w:rPr>
        <w:t>Se autoriza</w:t>
      </w:r>
      <w:r w:rsidR="008E4FCA" w:rsidRPr="008F129A">
        <w:rPr>
          <w:rFonts w:ascii="ITC Avant Garde" w:hAnsi="ITC Avant Garde"/>
          <w:bCs/>
        </w:rPr>
        <w:t xml:space="preserve"> a </w:t>
      </w:r>
      <w:r w:rsidR="00505466" w:rsidRPr="008F129A">
        <w:rPr>
          <w:rFonts w:ascii="ITC Avant Garde" w:eastAsia="Times New Roman" w:hAnsi="ITC Avant Garde"/>
          <w:b/>
          <w:bCs/>
          <w:color w:val="000000"/>
          <w:lang w:val="es-ES" w:eastAsia="es-MX"/>
        </w:rPr>
        <w:t>Televimex</w:t>
      </w:r>
      <w:r w:rsidR="008E4FCA" w:rsidRPr="008F129A">
        <w:rPr>
          <w:rFonts w:ascii="ITC Avant Garde" w:hAnsi="ITC Avant Garde"/>
          <w:b/>
          <w:bCs/>
        </w:rPr>
        <w:t>, S.A. de C.V.,</w:t>
      </w:r>
      <w:r w:rsidR="00303B87" w:rsidRPr="008F129A">
        <w:rPr>
          <w:rFonts w:ascii="ITC Avant Garde" w:hAnsi="ITC Avant Garde"/>
          <w:bCs/>
        </w:rPr>
        <w:t xml:space="preserve"> </w:t>
      </w:r>
      <w:r w:rsidRPr="008F129A">
        <w:rPr>
          <w:rFonts w:ascii="ITC Avant Garde" w:hAnsi="ITC Avant Garde"/>
          <w:bCs/>
        </w:rPr>
        <w:t xml:space="preserve">el estudio de predicción de áreas de servicio (AS-TDT) y </w:t>
      </w:r>
      <w:r w:rsidR="00066949" w:rsidRPr="008F129A">
        <w:rPr>
          <w:rFonts w:ascii="ITC Avant Garde" w:hAnsi="ITC Avant Garde"/>
          <w:bCs/>
        </w:rPr>
        <w:t>el croquis de operación múltiple (COM-TDT), avalados</w:t>
      </w:r>
      <w:r w:rsidR="008E4FCA" w:rsidRPr="008F129A">
        <w:rPr>
          <w:rFonts w:ascii="ITC Avant Garde" w:hAnsi="ITC Avant Garde"/>
          <w:bCs/>
          <w:color w:val="000000"/>
          <w:lang w:eastAsia="es-MX"/>
        </w:rPr>
        <w:t xml:space="preserve"> por el Ing. Arturo Mignon González, Perito en Telecomunicaciones con registro No. 172; </w:t>
      </w:r>
      <w:r w:rsidR="00066949" w:rsidRPr="008F129A">
        <w:rPr>
          <w:rFonts w:ascii="ITC Avant Garde" w:hAnsi="ITC Avant Garde"/>
          <w:bCs/>
        </w:rPr>
        <w:t>una vez satisfecho lo señalado en el Resolutivo S</w:t>
      </w:r>
      <w:r w:rsidR="00DE41F8" w:rsidRPr="008F129A">
        <w:rPr>
          <w:rFonts w:ascii="ITC Avant Garde" w:hAnsi="ITC Avant Garde"/>
          <w:bCs/>
        </w:rPr>
        <w:t>EGUNDO</w:t>
      </w:r>
      <w:r w:rsidR="00066949" w:rsidRPr="008F129A">
        <w:rPr>
          <w:rFonts w:ascii="ITC Avant Garde" w:hAnsi="ITC Avant Garde"/>
          <w:bCs/>
        </w:rPr>
        <w:t xml:space="preserve">. </w:t>
      </w:r>
    </w:p>
    <w:p w14:paraId="1AC7AB44" w14:textId="77777777" w:rsidR="008F129A" w:rsidRPr="008F129A" w:rsidRDefault="00D66258" w:rsidP="008F129A">
      <w:pPr>
        <w:autoSpaceDE w:val="0"/>
        <w:autoSpaceDN w:val="0"/>
        <w:adjustRightInd w:val="0"/>
        <w:spacing w:before="240"/>
        <w:jc w:val="both"/>
        <w:rPr>
          <w:rFonts w:ascii="ITC Avant Garde" w:hAnsi="ITC Avant Garde"/>
          <w:bCs/>
        </w:rPr>
      </w:pPr>
      <w:r w:rsidRPr="008F129A">
        <w:rPr>
          <w:rFonts w:ascii="ITC Avant Garde" w:hAnsi="ITC Avant Garde"/>
          <w:b/>
          <w:bCs/>
          <w:color w:val="000000"/>
          <w:lang w:eastAsia="es-MX"/>
        </w:rPr>
        <w:t>SEXTO</w:t>
      </w:r>
      <w:r w:rsidR="005D66D6" w:rsidRPr="008F129A">
        <w:rPr>
          <w:rFonts w:ascii="ITC Avant Garde" w:hAnsi="ITC Avant Garde"/>
          <w:b/>
          <w:bCs/>
          <w:color w:val="000000"/>
          <w:lang w:eastAsia="es-MX"/>
        </w:rPr>
        <w:t>.-</w:t>
      </w:r>
      <w:r w:rsidR="005D66D6" w:rsidRPr="008F129A">
        <w:rPr>
          <w:rFonts w:ascii="ITC Avant Garde" w:hAnsi="ITC Avant Garde"/>
          <w:bCs/>
          <w:color w:val="000000"/>
          <w:lang w:eastAsia="es-MX"/>
        </w:rPr>
        <w:t xml:space="preserve"> </w:t>
      </w:r>
      <w:r w:rsidR="00066949" w:rsidRPr="008F129A">
        <w:rPr>
          <w:rFonts w:ascii="ITC Avant Garde" w:hAnsi="ITC Avant Garde"/>
          <w:bCs/>
          <w:color w:val="000000"/>
          <w:lang w:eastAsia="es-MX"/>
        </w:rPr>
        <w:t xml:space="preserve">El contenido </w:t>
      </w:r>
      <w:r w:rsidR="00066949" w:rsidRPr="008F129A">
        <w:rPr>
          <w:rFonts w:ascii="ITC Avant Garde" w:hAnsi="ITC Avant Garde"/>
          <w:bCs/>
        </w:rPr>
        <w:t xml:space="preserve">de la modificación a que se refiere el Resolutivo PRIMERO forma parte integrante de título de concesión para usar con fines comerciales un canal de televisión, otorgado a favor de </w:t>
      </w:r>
      <w:r w:rsidR="00066949" w:rsidRPr="008F129A">
        <w:rPr>
          <w:rFonts w:ascii="ITC Avant Garde" w:eastAsia="Times New Roman" w:hAnsi="ITC Avant Garde"/>
          <w:b/>
          <w:bCs/>
          <w:color w:val="000000"/>
          <w:lang w:val="es-ES" w:eastAsia="es-MX"/>
        </w:rPr>
        <w:t>Televimex, S. A. de C. V.</w:t>
      </w:r>
      <w:r w:rsidR="00066949" w:rsidRPr="008F129A">
        <w:rPr>
          <w:rFonts w:ascii="ITC Avant Garde" w:hAnsi="ITC Avant Garde"/>
          <w:b/>
          <w:bCs/>
        </w:rPr>
        <w:t xml:space="preserve">, </w:t>
      </w:r>
      <w:r w:rsidR="00066949" w:rsidRPr="008F129A">
        <w:rPr>
          <w:rFonts w:ascii="ITC Avant Garde" w:hAnsi="ITC Avant Garde"/>
          <w:bCs/>
        </w:rPr>
        <w:t>una vez</w:t>
      </w:r>
      <w:r w:rsidR="00066949" w:rsidRPr="008F129A">
        <w:rPr>
          <w:rFonts w:ascii="ITC Avant Garde" w:hAnsi="ITC Avant Garde"/>
          <w:b/>
          <w:bCs/>
        </w:rPr>
        <w:t xml:space="preserve"> </w:t>
      </w:r>
      <w:r w:rsidR="00066949" w:rsidRPr="008F129A">
        <w:rPr>
          <w:rFonts w:ascii="ITC Avant Garde" w:hAnsi="ITC Avant Garde"/>
          <w:bCs/>
        </w:rPr>
        <w:t>satisfecho lo señalado en el Resolutivo SEGUNDO.</w:t>
      </w:r>
    </w:p>
    <w:p w14:paraId="6088279E" w14:textId="77777777" w:rsidR="008F129A" w:rsidRPr="008F129A" w:rsidRDefault="00D66258" w:rsidP="008F129A">
      <w:pPr>
        <w:autoSpaceDE w:val="0"/>
        <w:autoSpaceDN w:val="0"/>
        <w:adjustRightInd w:val="0"/>
        <w:spacing w:before="240"/>
        <w:jc w:val="both"/>
        <w:rPr>
          <w:rFonts w:ascii="ITC Avant Garde" w:hAnsi="ITC Avant Garde"/>
          <w:bCs/>
        </w:rPr>
      </w:pPr>
      <w:r w:rsidRPr="008F129A">
        <w:rPr>
          <w:rFonts w:ascii="ITC Avant Garde" w:hAnsi="ITC Avant Garde"/>
          <w:b/>
          <w:bCs/>
        </w:rPr>
        <w:t>SÉPTIMO</w:t>
      </w:r>
      <w:r w:rsidR="001833B3" w:rsidRPr="008F129A">
        <w:rPr>
          <w:rFonts w:ascii="ITC Avant Garde" w:hAnsi="ITC Avant Garde"/>
          <w:bCs/>
        </w:rPr>
        <w:t xml:space="preserve">.- </w:t>
      </w:r>
      <w:r w:rsidR="004A0EA8" w:rsidRPr="008F129A">
        <w:rPr>
          <w:rFonts w:ascii="ITC Avant Garde" w:hAnsi="ITC Avant Garde"/>
          <w:bCs/>
        </w:rPr>
        <w:t xml:space="preserve">Se instruye a la Unidad de Concesiones y Servicios a notificar personalmente al </w:t>
      </w:r>
      <w:r w:rsidR="00B43FAC" w:rsidRPr="008F129A">
        <w:rPr>
          <w:rFonts w:ascii="ITC Avant Garde" w:hAnsi="ITC Avant Garde"/>
          <w:bCs/>
        </w:rPr>
        <w:t xml:space="preserve">concesionario </w:t>
      </w:r>
      <w:r w:rsidR="002D27DA" w:rsidRPr="008F129A">
        <w:rPr>
          <w:rFonts w:ascii="ITC Avant Garde" w:eastAsia="Times New Roman" w:hAnsi="ITC Avant Garde"/>
          <w:b/>
          <w:bCs/>
          <w:color w:val="000000"/>
          <w:lang w:val="es-ES" w:eastAsia="es-MX"/>
        </w:rPr>
        <w:t>Televimex</w:t>
      </w:r>
      <w:r w:rsidR="00B43FAC" w:rsidRPr="008F129A">
        <w:rPr>
          <w:rFonts w:ascii="ITC Avant Garde" w:eastAsia="Times New Roman" w:hAnsi="ITC Avant Garde"/>
          <w:b/>
          <w:bCs/>
          <w:color w:val="000000"/>
          <w:lang w:val="es-ES" w:eastAsia="es-MX"/>
        </w:rPr>
        <w:t>, S.A. de C.V.</w:t>
      </w:r>
      <w:r w:rsidR="004A0EA8" w:rsidRPr="008F129A">
        <w:rPr>
          <w:rFonts w:ascii="ITC Avant Garde" w:hAnsi="ITC Avant Garde"/>
          <w:bCs/>
        </w:rPr>
        <w:t>, el contenido de la presente Resolución</w:t>
      </w:r>
      <w:r w:rsidR="00F714A4" w:rsidRPr="008F129A">
        <w:rPr>
          <w:rFonts w:ascii="ITC Avant Garde" w:hAnsi="ITC Avant Garde"/>
          <w:bCs/>
        </w:rPr>
        <w:t>.</w:t>
      </w:r>
    </w:p>
    <w:p w14:paraId="4FAE7672" w14:textId="77777777" w:rsidR="008F129A" w:rsidRPr="008F129A" w:rsidRDefault="00D66258" w:rsidP="008F129A">
      <w:pPr>
        <w:autoSpaceDE w:val="0"/>
        <w:autoSpaceDN w:val="0"/>
        <w:adjustRightInd w:val="0"/>
        <w:spacing w:before="240"/>
        <w:jc w:val="both"/>
        <w:rPr>
          <w:rFonts w:ascii="ITC Avant Garde" w:hAnsi="ITC Avant Garde"/>
          <w:bCs/>
        </w:rPr>
      </w:pPr>
      <w:r w:rsidRPr="008F129A">
        <w:rPr>
          <w:rFonts w:ascii="ITC Avant Garde" w:hAnsi="ITC Avant Garde"/>
          <w:b/>
          <w:bCs/>
        </w:rPr>
        <w:t>OCTAVO</w:t>
      </w:r>
      <w:r w:rsidR="004A0EA8" w:rsidRPr="008F129A">
        <w:rPr>
          <w:rFonts w:ascii="ITC Avant Garde" w:hAnsi="ITC Avant Garde"/>
          <w:b/>
          <w:bCs/>
        </w:rPr>
        <w:t>.-</w:t>
      </w:r>
      <w:r w:rsidR="00487C8A" w:rsidRPr="008F129A">
        <w:rPr>
          <w:rFonts w:ascii="ITC Avant Garde" w:hAnsi="ITC Avant Garde"/>
          <w:bCs/>
        </w:rPr>
        <w:t xml:space="preserve"> Las demás </w:t>
      </w:r>
      <w:r w:rsidR="004A0EA8" w:rsidRPr="008F129A">
        <w:rPr>
          <w:rFonts w:ascii="ITC Avant Garde" w:hAnsi="ITC Avant Garde"/>
          <w:bCs/>
        </w:rPr>
        <w:t xml:space="preserve">obligaciones establecidas en el título de </w:t>
      </w:r>
      <w:r w:rsidR="00B43FAC" w:rsidRPr="008F129A">
        <w:rPr>
          <w:rFonts w:ascii="ITC Avant Garde" w:hAnsi="ITC Avant Garde"/>
          <w:bCs/>
        </w:rPr>
        <w:t>concesión</w:t>
      </w:r>
      <w:r w:rsidR="004A0EA8" w:rsidRPr="008F129A">
        <w:rPr>
          <w:rFonts w:ascii="ITC Avant Garde" w:hAnsi="ITC Avant Garde"/>
          <w:bCs/>
        </w:rPr>
        <w:t>, subsisten en todos sus términos.</w:t>
      </w:r>
    </w:p>
    <w:p w14:paraId="14169419" w14:textId="77777777" w:rsidR="008F129A" w:rsidRPr="008F129A" w:rsidRDefault="00D66258" w:rsidP="008F129A">
      <w:pPr>
        <w:autoSpaceDE w:val="0"/>
        <w:autoSpaceDN w:val="0"/>
        <w:adjustRightInd w:val="0"/>
        <w:spacing w:before="240"/>
        <w:jc w:val="both"/>
        <w:rPr>
          <w:rFonts w:ascii="ITC Avant Garde" w:hAnsi="ITC Avant Garde"/>
          <w:bCs/>
        </w:rPr>
      </w:pPr>
      <w:r w:rsidRPr="008F129A">
        <w:rPr>
          <w:rFonts w:ascii="ITC Avant Garde" w:hAnsi="ITC Avant Garde"/>
          <w:b/>
          <w:bCs/>
        </w:rPr>
        <w:lastRenderedPageBreak/>
        <w:t>NOVENO</w:t>
      </w:r>
      <w:r w:rsidR="00B92F21" w:rsidRPr="008F129A">
        <w:rPr>
          <w:rFonts w:ascii="ITC Avant Garde" w:hAnsi="ITC Avant Garde"/>
          <w:b/>
          <w:bCs/>
        </w:rPr>
        <w:t>.-</w:t>
      </w:r>
      <w:r w:rsidR="00B92F21" w:rsidRPr="008F129A">
        <w:rPr>
          <w:rFonts w:ascii="ITC Avant Garde" w:eastAsia="Times New Roman" w:hAnsi="ITC Avant Garde"/>
          <w:b/>
          <w:bCs/>
          <w:lang w:val="es-ES" w:eastAsia="es-ES"/>
        </w:rPr>
        <w:t xml:space="preserve"> </w:t>
      </w:r>
      <w:r w:rsidR="00B92F21" w:rsidRPr="008F129A">
        <w:rPr>
          <w:rFonts w:ascii="ITC Avant Garde" w:eastAsia="Times New Roman" w:hAnsi="ITC Avant Garde"/>
          <w:bCs/>
          <w:lang w:val="es-ES" w:eastAsia="es-ES"/>
        </w:rPr>
        <w:t xml:space="preserve">En su oportunidad remítase la presente resolución a la Dirección General Adjunta del </w:t>
      </w:r>
      <w:r w:rsidR="00B92F21" w:rsidRPr="008F129A">
        <w:rPr>
          <w:rFonts w:ascii="ITC Avant Garde" w:hAnsi="ITC Avant Garde"/>
          <w:bCs/>
        </w:rPr>
        <w:t xml:space="preserve">Registro Público de Telecomunicaciones para efectos de su debida Inscripción en el </w:t>
      </w:r>
      <w:r w:rsidR="00066949" w:rsidRPr="008F129A">
        <w:rPr>
          <w:rFonts w:ascii="ITC Avant Garde" w:hAnsi="ITC Avant Garde"/>
          <w:bCs/>
        </w:rPr>
        <w:t>Registro Público de Concesiones, una vez satisfecho lo señalado en el Resolutivo SEGUNDO.</w:t>
      </w:r>
    </w:p>
    <w:p w14:paraId="63C1596D" w14:textId="364BC6CE" w:rsidR="00A355F3" w:rsidRPr="008F129A" w:rsidRDefault="00EC474F" w:rsidP="008F129A">
      <w:pPr>
        <w:autoSpaceDE w:val="0"/>
        <w:autoSpaceDN w:val="0"/>
        <w:adjustRightInd w:val="0"/>
        <w:spacing w:before="240"/>
        <w:jc w:val="both"/>
        <w:rPr>
          <w:rFonts w:ascii="ITC Avant Garde" w:hAnsi="ITC Avant Garde"/>
          <w:bCs/>
          <w:color w:val="000000"/>
          <w:sz w:val="14"/>
          <w:szCs w:val="14"/>
          <w:lang w:eastAsia="es-MX"/>
        </w:rPr>
      </w:pPr>
      <w:r w:rsidRPr="008F129A">
        <w:rPr>
          <w:rFonts w:ascii="ITC Avant Garde" w:hAnsi="ITC Avant Garde"/>
          <w:sz w:val="14"/>
          <w:szCs w:val="14"/>
        </w:rPr>
        <w:t>La presente Resolución fue aprobada por el Pleno del Instituto Federal de Telecomunicaciones en su III Sesión Ordinaria celebrada el 25 de enero de 2017</w:t>
      </w:r>
      <w:r w:rsidRPr="008F129A">
        <w:rPr>
          <w:rFonts w:ascii="ITC Avant Garde" w:hAnsi="ITC Avant Garde"/>
          <w:sz w:val="14"/>
          <w:szCs w:val="14"/>
          <w:lang w:val="es-ES_tradnl"/>
        </w:rPr>
        <w:t xml:space="preserve">, </w:t>
      </w:r>
      <w:r w:rsidRPr="008F129A">
        <w:rPr>
          <w:rFonts w:ascii="ITC Avant Garde" w:hAnsi="ITC Avant Garde"/>
          <w:bCs/>
          <w:sz w:val="14"/>
          <w:szCs w:val="14"/>
          <w:lang w:val="es-ES_tradnl"/>
        </w:rPr>
        <w:t>por</w:t>
      </w:r>
      <w:r w:rsidRPr="008F129A">
        <w:rPr>
          <w:rFonts w:ascii="ITC Avant Garde" w:hAnsi="ITC Avant Garde"/>
          <w:sz w:val="14"/>
          <w:szCs w:val="14"/>
          <w:lang w:val="es-ES_tradnl"/>
        </w:rPr>
        <w:t xml:space="preserve"> </w:t>
      </w:r>
      <w:r w:rsidRPr="008F129A">
        <w:rPr>
          <w:rFonts w:ascii="ITC Avant Garde" w:hAnsi="ITC Avant Garde"/>
          <w:bCs/>
          <w:sz w:val="14"/>
          <w:szCs w:val="14"/>
          <w:lang w:val="es-ES_tradnl"/>
        </w:rPr>
        <w:t>unanimidad</w:t>
      </w:r>
      <w:r w:rsidRPr="008F129A">
        <w:rPr>
          <w:rFonts w:ascii="ITC Avant Garde" w:hAnsi="ITC Avant Garde"/>
          <w:sz w:val="14"/>
          <w:szCs w:val="14"/>
          <w:lang w:val="es-ES_tradnl"/>
        </w:rPr>
        <w:t xml:space="preserve"> de votos de los Comisionados Gabriel Oswaldo Contreras Saldívar, Ernesto Estrada González, Adriana Sofía Labardini Inzunza, María Elena Estavillo Flores, Mario Germán Fromow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P/IFT/250117/29.</w:t>
      </w:r>
    </w:p>
    <w:sectPr w:rsidR="00A355F3" w:rsidRPr="008F129A" w:rsidSect="00C74165">
      <w:headerReference w:type="even" r:id="rId8"/>
      <w:footerReference w:type="default" r:id="rId9"/>
      <w:headerReference w:type="first" r:id="rId10"/>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9225A" w14:textId="77777777" w:rsidR="00BE20D8" w:rsidRDefault="00BE20D8">
      <w:pPr>
        <w:spacing w:after="0" w:line="240" w:lineRule="auto"/>
      </w:pPr>
      <w:r>
        <w:separator/>
      </w:r>
    </w:p>
  </w:endnote>
  <w:endnote w:type="continuationSeparator" w:id="0">
    <w:p w14:paraId="4FFB7C31" w14:textId="77777777" w:rsidR="00BE20D8" w:rsidRDefault="00BE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1286"/>
      <w:docPartObj>
        <w:docPartGallery w:val="Page Numbers (Bottom of Page)"/>
        <w:docPartUnique/>
      </w:docPartObj>
    </w:sdtPr>
    <w:sdtEndPr>
      <w:rPr>
        <w:rFonts w:ascii="ITC Avant Garde" w:hAnsi="ITC Avant Garde"/>
        <w:sz w:val="20"/>
        <w:szCs w:val="20"/>
      </w:rPr>
    </w:sdtEndPr>
    <w:sdtContent>
      <w:p w14:paraId="092B8476" w14:textId="47681E7A" w:rsidR="00C74165" w:rsidRPr="00C74165" w:rsidRDefault="00C74165">
        <w:pPr>
          <w:pStyle w:val="Piedepgina"/>
          <w:jc w:val="right"/>
          <w:rPr>
            <w:rFonts w:ascii="ITC Avant Garde" w:hAnsi="ITC Avant Garde"/>
            <w:sz w:val="20"/>
            <w:szCs w:val="20"/>
          </w:rPr>
        </w:pPr>
        <w:r w:rsidRPr="00C74165">
          <w:rPr>
            <w:rFonts w:ascii="ITC Avant Garde" w:hAnsi="ITC Avant Garde"/>
            <w:sz w:val="20"/>
            <w:szCs w:val="20"/>
          </w:rPr>
          <w:fldChar w:fldCharType="begin"/>
        </w:r>
        <w:r w:rsidRPr="00C74165">
          <w:rPr>
            <w:rFonts w:ascii="ITC Avant Garde" w:hAnsi="ITC Avant Garde"/>
            <w:sz w:val="20"/>
            <w:szCs w:val="20"/>
          </w:rPr>
          <w:instrText>PAGE   \* MERGEFORMAT</w:instrText>
        </w:r>
        <w:r w:rsidRPr="00C74165">
          <w:rPr>
            <w:rFonts w:ascii="ITC Avant Garde" w:hAnsi="ITC Avant Garde"/>
            <w:sz w:val="20"/>
            <w:szCs w:val="20"/>
          </w:rPr>
          <w:fldChar w:fldCharType="separate"/>
        </w:r>
        <w:r w:rsidR="008F129A" w:rsidRPr="008F129A">
          <w:rPr>
            <w:rFonts w:ascii="ITC Avant Garde" w:hAnsi="ITC Avant Garde"/>
            <w:noProof/>
            <w:sz w:val="20"/>
            <w:szCs w:val="20"/>
            <w:lang w:val="es-ES"/>
          </w:rPr>
          <w:t>11</w:t>
        </w:r>
        <w:r w:rsidRPr="00C74165">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D9C4F" w14:textId="77777777" w:rsidR="00BE20D8" w:rsidRDefault="00BE20D8">
      <w:pPr>
        <w:spacing w:after="0" w:line="240" w:lineRule="auto"/>
      </w:pPr>
      <w:r>
        <w:separator/>
      </w:r>
    </w:p>
  </w:footnote>
  <w:footnote w:type="continuationSeparator" w:id="0">
    <w:p w14:paraId="70CEA547" w14:textId="77777777" w:rsidR="00BE20D8" w:rsidRDefault="00BE2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1596D" w14:textId="77777777" w:rsidR="008F129A" w:rsidRDefault="00BE20D8">
    <w:pPr>
      <w:pStyle w:val="Encabezado"/>
    </w:pPr>
    <w:r>
      <w:rPr>
        <w:noProof/>
        <w:lang w:eastAsia="es-MX"/>
      </w:rPr>
      <w:pict w14:anchorId="36E557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50" type="#_x0000_t75" style="position:absolute;margin-left:0;margin-top:0;width:612pt;height:11in;z-index:-251656192;mso-position-horizontal:center;mso-position-horizontal-relative:margin;mso-position-vertical:center;mso-position-vertical-relative:margin" o:allowincell="f">
          <v:imagedata r:id="rId1" o:title="hoja membretada s dir-01"/>
          <w10:wrap anchorx="margin" anchory="margin"/>
        </v:shape>
      </w:pict>
    </w:r>
  </w:p>
  <w:p w14:paraId="5453E488" w14:textId="377EF2B2" w:rsidR="008809C2" w:rsidRDefault="008809C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B6694" w14:textId="77777777" w:rsidR="008809C2" w:rsidRPr="000F5E4B" w:rsidRDefault="00BE20D8">
    <w:pPr>
      <w:pStyle w:val="Encabezado"/>
      <w:rPr>
        <w:b/>
      </w:rPr>
    </w:pPr>
    <w:r>
      <w:rPr>
        <w:b/>
        <w:noProof/>
        <w:lang w:eastAsia="es-MX"/>
      </w:rPr>
      <w:pict w14:anchorId="773D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49" type="#_x0000_t75" style="position:absolute;margin-left:-70.9pt;margin-top:-114.95pt;width:612pt;height:11in;z-index:-25165721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7262FF4"/>
    <w:multiLevelType w:val="hybridMultilevel"/>
    <w:tmpl w:val="93BC081C"/>
    <w:lvl w:ilvl="0" w:tplc="6C66F7D0">
      <w:start w:val="1"/>
      <w:numFmt w:val="decimal"/>
      <w:lvlText w:val="%1."/>
      <w:lvlJc w:val="left"/>
      <w:pPr>
        <w:ind w:left="720" w:hanging="360"/>
      </w:pPr>
      <w:rPr>
        <w:rFonts w:hint="default"/>
        <w:sz w:val="20"/>
        <w:szCs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AC64A9"/>
    <w:multiLevelType w:val="hybridMultilevel"/>
    <w:tmpl w:val="E94C9B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EE861A5"/>
    <w:multiLevelType w:val="hybridMultilevel"/>
    <w:tmpl w:val="2E20FF84"/>
    <w:lvl w:ilvl="0" w:tplc="5814707E">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2D0135D0"/>
    <w:multiLevelType w:val="hybridMultilevel"/>
    <w:tmpl w:val="6EA8A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B0B4B06"/>
    <w:multiLevelType w:val="multilevel"/>
    <w:tmpl w:val="540009F0"/>
    <w:lvl w:ilvl="0">
      <w:start w:val="1"/>
      <w:numFmt w:val="decimal"/>
      <w:lvlText w:val="%1."/>
      <w:lvlJc w:val="left"/>
      <w:pPr>
        <w:tabs>
          <w:tab w:val="num" w:pos="510"/>
        </w:tabs>
        <w:ind w:left="510" w:hanging="510"/>
      </w:pPr>
      <w:rPr>
        <w:rFonts w:ascii="ITC Avant Garde" w:hAnsi="ITC Avant Garde" w:cs="Times New Roman" w:hint="default"/>
        <w:b/>
        <w:sz w:val="20"/>
        <w:szCs w:val="20"/>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sz w:val="20"/>
        <w:szCs w:val="20"/>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6" w15:restartNumberingAfterBreak="0">
    <w:nsid w:val="3E3F42E0"/>
    <w:multiLevelType w:val="multilevel"/>
    <w:tmpl w:val="0DAE4062"/>
    <w:lvl w:ilvl="0">
      <w:start w:val="1"/>
      <w:numFmt w:val="upperRoman"/>
      <w:lvlText w:val="%1."/>
      <w:lvlJc w:val="left"/>
      <w:pPr>
        <w:ind w:left="927" w:hanging="360"/>
      </w:pPr>
      <w:rPr>
        <w:rFonts w:hint="default"/>
      </w:rPr>
    </w:lvl>
    <w:lvl w:ilvl="1">
      <w:start w:val="1"/>
      <w:numFmt w:val="decimal"/>
      <w:lvlText w:val="%1.%2."/>
      <w:lvlJc w:val="left"/>
      <w:pPr>
        <w:ind w:left="1647" w:hanging="360"/>
      </w:pPr>
      <w:rPr>
        <w:rFonts w:hint="default"/>
      </w:rPr>
    </w:lvl>
    <w:lvl w:ilvl="2">
      <w:start w:val="1"/>
      <w:numFmt w:val="lowerRoman"/>
      <w:lvlText w:val="%1.%2.%3."/>
      <w:lvlJc w:val="right"/>
      <w:pPr>
        <w:ind w:left="2367" w:hanging="180"/>
      </w:pPr>
      <w:rPr>
        <w:rFonts w:hint="default"/>
      </w:rPr>
    </w:lvl>
    <w:lvl w:ilvl="3">
      <w:start w:val="1"/>
      <w:numFmt w:val="decimal"/>
      <w:lvlText w:val="%1.%2.%3.%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lef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7" w15:restartNumberingAfterBreak="0">
    <w:nsid w:val="41DA0E79"/>
    <w:multiLevelType w:val="hybridMultilevel"/>
    <w:tmpl w:val="EEA6FD02"/>
    <w:lvl w:ilvl="0" w:tplc="16D68F54">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8" w15:restartNumberingAfterBreak="0">
    <w:nsid w:val="47030424"/>
    <w:multiLevelType w:val="hybridMultilevel"/>
    <w:tmpl w:val="FC6A1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8F229C"/>
    <w:multiLevelType w:val="hybridMultilevel"/>
    <w:tmpl w:val="21528F04"/>
    <w:lvl w:ilvl="0" w:tplc="945E4B10">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0" w15:restartNumberingAfterBreak="0">
    <w:nsid w:val="55E877A6"/>
    <w:multiLevelType w:val="hybridMultilevel"/>
    <w:tmpl w:val="1B2EFEDC"/>
    <w:lvl w:ilvl="0" w:tplc="F920C64C">
      <w:start w:val="1"/>
      <w:numFmt w:val="decimal"/>
      <w:lvlText w:val="%1."/>
      <w:lvlJc w:val="left"/>
      <w:pPr>
        <w:ind w:left="720" w:hanging="360"/>
      </w:pPr>
      <w:rPr>
        <w:rFonts w:ascii="ITC Avant Garde" w:eastAsia="Calibri" w:hAnsi="ITC Avant Garde" w:cs="Times New Roman"/>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D675867"/>
    <w:multiLevelType w:val="hybridMultilevel"/>
    <w:tmpl w:val="AA3AFB0E"/>
    <w:lvl w:ilvl="0" w:tplc="457AC122">
      <w:start w:val="1"/>
      <w:numFmt w:val="bullet"/>
      <w:lvlText w:val=""/>
      <w:lvlJc w:val="left"/>
      <w:pPr>
        <w:ind w:left="927" w:hanging="360"/>
      </w:pPr>
      <w:rPr>
        <w:rFonts w:ascii="Symbol" w:eastAsiaTheme="minorHAnsi" w:hAnsi="Symbol" w:cstheme="minorBidi"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num w:numId="1">
    <w:abstractNumId w:val="0"/>
  </w:num>
  <w:num w:numId="2">
    <w:abstractNumId w:val="9"/>
  </w:num>
  <w:num w:numId="3">
    <w:abstractNumId w:val="11"/>
  </w:num>
  <w:num w:numId="4">
    <w:abstractNumId w:val="10"/>
  </w:num>
  <w:num w:numId="5">
    <w:abstractNumId w:val="8"/>
  </w:num>
  <w:num w:numId="6">
    <w:abstractNumId w:val="2"/>
  </w:num>
  <w:num w:numId="7">
    <w:abstractNumId w:val="5"/>
  </w:num>
  <w:num w:numId="8">
    <w:abstractNumId w:val="3"/>
  </w:num>
  <w:num w:numId="9">
    <w:abstractNumId w:val="6"/>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4F7"/>
    <w:rsid w:val="000016E3"/>
    <w:rsid w:val="000030B3"/>
    <w:rsid w:val="00006A77"/>
    <w:rsid w:val="0001108A"/>
    <w:rsid w:val="00011287"/>
    <w:rsid w:val="000129D3"/>
    <w:rsid w:val="00021F74"/>
    <w:rsid w:val="00026EF6"/>
    <w:rsid w:val="00030122"/>
    <w:rsid w:val="0003337F"/>
    <w:rsid w:val="00046352"/>
    <w:rsid w:val="000466A3"/>
    <w:rsid w:val="000525A0"/>
    <w:rsid w:val="00052B5C"/>
    <w:rsid w:val="00053E8A"/>
    <w:rsid w:val="0005416D"/>
    <w:rsid w:val="00066949"/>
    <w:rsid w:val="00066F52"/>
    <w:rsid w:val="00067A3D"/>
    <w:rsid w:val="00075BA4"/>
    <w:rsid w:val="00076F0B"/>
    <w:rsid w:val="00077A3E"/>
    <w:rsid w:val="00080C94"/>
    <w:rsid w:val="0008106C"/>
    <w:rsid w:val="00083FC5"/>
    <w:rsid w:val="00092236"/>
    <w:rsid w:val="00095999"/>
    <w:rsid w:val="0009678A"/>
    <w:rsid w:val="000A1B67"/>
    <w:rsid w:val="000A6281"/>
    <w:rsid w:val="000A6EE6"/>
    <w:rsid w:val="000B4E58"/>
    <w:rsid w:val="000B57CE"/>
    <w:rsid w:val="000B5917"/>
    <w:rsid w:val="000C0B3D"/>
    <w:rsid w:val="000C77EB"/>
    <w:rsid w:val="000D05D2"/>
    <w:rsid w:val="000D3683"/>
    <w:rsid w:val="000D51B4"/>
    <w:rsid w:val="000D7D4D"/>
    <w:rsid w:val="000E0776"/>
    <w:rsid w:val="000E0DB9"/>
    <w:rsid w:val="000E431A"/>
    <w:rsid w:val="000E60BA"/>
    <w:rsid w:val="000E6E60"/>
    <w:rsid w:val="0010187C"/>
    <w:rsid w:val="00103FF9"/>
    <w:rsid w:val="001056BD"/>
    <w:rsid w:val="00110596"/>
    <w:rsid w:val="00112FE2"/>
    <w:rsid w:val="0011326C"/>
    <w:rsid w:val="00116104"/>
    <w:rsid w:val="001225C5"/>
    <w:rsid w:val="00132F2A"/>
    <w:rsid w:val="001350AC"/>
    <w:rsid w:val="0013669D"/>
    <w:rsid w:val="00137400"/>
    <w:rsid w:val="00140C48"/>
    <w:rsid w:val="0014270E"/>
    <w:rsid w:val="0014600E"/>
    <w:rsid w:val="001529B5"/>
    <w:rsid w:val="00154EB5"/>
    <w:rsid w:val="00164496"/>
    <w:rsid w:val="001670A9"/>
    <w:rsid w:val="00172928"/>
    <w:rsid w:val="001760F6"/>
    <w:rsid w:val="001833B3"/>
    <w:rsid w:val="0018601C"/>
    <w:rsid w:val="0018632A"/>
    <w:rsid w:val="00190C5A"/>
    <w:rsid w:val="00191CAD"/>
    <w:rsid w:val="001A4994"/>
    <w:rsid w:val="001A6114"/>
    <w:rsid w:val="001B1F78"/>
    <w:rsid w:val="001B3145"/>
    <w:rsid w:val="001B32B9"/>
    <w:rsid w:val="001B36F9"/>
    <w:rsid w:val="001C5E5C"/>
    <w:rsid w:val="001C71BF"/>
    <w:rsid w:val="001E4D68"/>
    <w:rsid w:val="001E5D5D"/>
    <w:rsid w:val="001E6E6D"/>
    <w:rsid w:val="001F7944"/>
    <w:rsid w:val="00200F4A"/>
    <w:rsid w:val="00203ED2"/>
    <w:rsid w:val="00205CAC"/>
    <w:rsid w:val="00205F2A"/>
    <w:rsid w:val="002069D0"/>
    <w:rsid w:val="0021011A"/>
    <w:rsid w:val="0021541F"/>
    <w:rsid w:val="002231DC"/>
    <w:rsid w:val="0022440D"/>
    <w:rsid w:val="00236A05"/>
    <w:rsid w:val="002447CF"/>
    <w:rsid w:val="00251CDD"/>
    <w:rsid w:val="00252A44"/>
    <w:rsid w:val="00256F50"/>
    <w:rsid w:val="0026243A"/>
    <w:rsid w:val="002641C4"/>
    <w:rsid w:val="00264C2F"/>
    <w:rsid w:val="00273E09"/>
    <w:rsid w:val="00281559"/>
    <w:rsid w:val="0028287F"/>
    <w:rsid w:val="00293032"/>
    <w:rsid w:val="00293E96"/>
    <w:rsid w:val="002946F5"/>
    <w:rsid w:val="00295A9B"/>
    <w:rsid w:val="00297D25"/>
    <w:rsid w:val="002A00FD"/>
    <w:rsid w:val="002A5C0E"/>
    <w:rsid w:val="002A6F84"/>
    <w:rsid w:val="002A74F7"/>
    <w:rsid w:val="002B50F2"/>
    <w:rsid w:val="002C29C9"/>
    <w:rsid w:val="002C2E3D"/>
    <w:rsid w:val="002C3313"/>
    <w:rsid w:val="002C68EA"/>
    <w:rsid w:val="002D27DA"/>
    <w:rsid w:val="002D5157"/>
    <w:rsid w:val="002E1F0F"/>
    <w:rsid w:val="002E215E"/>
    <w:rsid w:val="002F564E"/>
    <w:rsid w:val="00303B87"/>
    <w:rsid w:val="00306393"/>
    <w:rsid w:val="00315A11"/>
    <w:rsid w:val="00315DA4"/>
    <w:rsid w:val="00317CAA"/>
    <w:rsid w:val="0032222A"/>
    <w:rsid w:val="00323FCA"/>
    <w:rsid w:val="0033192B"/>
    <w:rsid w:val="00332895"/>
    <w:rsid w:val="00334201"/>
    <w:rsid w:val="00335867"/>
    <w:rsid w:val="003361A9"/>
    <w:rsid w:val="00336CC8"/>
    <w:rsid w:val="00336E34"/>
    <w:rsid w:val="003378DC"/>
    <w:rsid w:val="00343C1E"/>
    <w:rsid w:val="003474B8"/>
    <w:rsid w:val="00350034"/>
    <w:rsid w:val="00350A0C"/>
    <w:rsid w:val="00351515"/>
    <w:rsid w:val="00353BB8"/>
    <w:rsid w:val="00360DEC"/>
    <w:rsid w:val="00367606"/>
    <w:rsid w:val="00377CBD"/>
    <w:rsid w:val="00383157"/>
    <w:rsid w:val="00384534"/>
    <w:rsid w:val="003919CD"/>
    <w:rsid w:val="00397A05"/>
    <w:rsid w:val="00397E47"/>
    <w:rsid w:val="003B03B8"/>
    <w:rsid w:val="003B450F"/>
    <w:rsid w:val="003B657B"/>
    <w:rsid w:val="003B6BB1"/>
    <w:rsid w:val="003C21B4"/>
    <w:rsid w:val="003C584B"/>
    <w:rsid w:val="003C6094"/>
    <w:rsid w:val="003C7A36"/>
    <w:rsid w:val="003D1A29"/>
    <w:rsid w:val="003D2D98"/>
    <w:rsid w:val="003E289E"/>
    <w:rsid w:val="003E6A7E"/>
    <w:rsid w:val="003E6AB0"/>
    <w:rsid w:val="003F3EED"/>
    <w:rsid w:val="0040245F"/>
    <w:rsid w:val="00405C78"/>
    <w:rsid w:val="00411010"/>
    <w:rsid w:val="00414FB8"/>
    <w:rsid w:val="00415A40"/>
    <w:rsid w:val="004200C6"/>
    <w:rsid w:val="00422E0E"/>
    <w:rsid w:val="00427793"/>
    <w:rsid w:val="004309BC"/>
    <w:rsid w:val="00430C95"/>
    <w:rsid w:val="00431B8F"/>
    <w:rsid w:val="004350C8"/>
    <w:rsid w:val="0043628D"/>
    <w:rsid w:val="004419F3"/>
    <w:rsid w:val="004429B9"/>
    <w:rsid w:val="00444884"/>
    <w:rsid w:val="00453D0C"/>
    <w:rsid w:val="00463200"/>
    <w:rsid w:val="00472E18"/>
    <w:rsid w:val="004757D9"/>
    <w:rsid w:val="00481A43"/>
    <w:rsid w:val="004838BC"/>
    <w:rsid w:val="00487C8A"/>
    <w:rsid w:val="0049284D"/>
    <w:rsid w:val="00497423"/>
    <w:rsid w:val="004A0EA8"/>
    <w:rsid w:val="004A0F78"/>
    <w:rsid w:val="004A1C22"/>
    <w:rsid w:val="004B02EE"/>
    <w:rsid w:val="004B2009"/>
    <w:rsid w:val="004C3BE8"/>
    <w:rsid w:val="004C4F77"/>
    <w:rsid w:val="004C6947"/>
    <w:rsid w:val="004C7DAC"/>
    <w:rsid w:val="004D0553"/>
    <w:rsid w:val="004D486C"/>
    <w:rsid w:val="004E0839"/>
    <w:rsid w:val="004E0FC2"/>
    <w:rsid w:val="004E20CA"/>
    <w:rsid w:val="004F182C"/>
    <w:rsid w:val="00502B38"/>
    <w:rsid w:val="00503D0D"/>
    <w:rsid w:val="005040F1"/>
    <w:rsid w:val="00505466"/>
    <w:rsid w:val="00510F37"/>
    <w:rsid w:val="00513B90"/>
    <w:rsid w:val="00516887"/>
    <w:rsid w:val="005172AA"/>
    <w:rsid w:val="00521E2A"/>
    <w:rsid w:val="00522157"/>
    <w:rsid w:val="00524100"/>
    <w:rsid w:val="005251B2"/>
    <w:rsid w:val="00532661"/>
    <w:rsid w:val="00532BA6"/>
    <w:rsid w:val="00533092"/>
    <w:rsid w:val="005362CF"/>
    <w:rsid w:val="005363FF"/>
    <w:rsid w:val="00541344"/>
    <w:rsid w:val="00542FB4"/>
    <w:rsid w:val="00543D72"/>
    <w:rsid w:val="00544D84"/>
    <w:rsid w:val="00550F6A"/>
    <w:rsid w:val="005535E9"/>
    <w:rsid w:val="00554639"/>
    <w:rsid w:val="0055468C"/>
    <w:rsid w:val="00563102"/>
    <w:rsid w:val="00563C0D"/>
    <w:rsid w:val="00571C6D"/>
    <w:rsid w:val="00577F28"/>
    <w:rsid w:val="00592084"/>
    <w:rsid w:val="005939B2"/>
    <w:rsid w:val="00594E85"/>
    <w:rsid w:val="00595A6E"/>
    <w:rsid w:val="005A357E"/>
    <w:rsid w:val="005A3FCB"/>
    <w:rsid w:val="005A5E43"/>
    <w:rsid w:val="005A614A"/>
    <w:rsid w:val="005A7AA7"/>
    <w:rsid w:val="005B594F"/>
    <w:rsid w:val="005C4EF0"/>
    <w:rsid w:val="005D66D6"/>
    <w:rsid w:val="005E5B0A"/>
    <w:rsid w:val="005F149D"/>
    <w:rsid w:val="005F38F0"/>
    <w:rsid w:val="00600633"/>
    <w:rsid w:val="00600B51"/>
    <w:rsid w:val="0060394A"/>
    <w:rsid w:val="00607732"/>
    <w:rsid w:val="0060789C"/>
    <w:rsid w:val="0061075E"/>
    <w:rsid w:val="00611386"/>
    <w:rsid w:val="006164A8"/>
    <w:rsid w:val="00625B84"/>
    <w:rsid w:val="00626A40"/>
    <w:rsid w:val="006443B2"/>
    <w:rsid w:val="006456C0"/>
    <w:rsid w:val="0064675B"/>
    <w:rsid w:val="006530A6"/>
    <w:rsid w:val="00655164"/>
    <w:rsid w:val="00661269"/>
    <w:rsid w:val="00667E4E"/>
    <w:rsid w:val="00676B4C"/>
    <w:rsid w:val="00677B38"/>
    <w:rsid w:val="00690DEA"/>
    <w:rsid w:val="00694157"/>
    <w:rsid w:val="0069426C"/>
    <w:rsid w:val="00696A70"/>
    <w:rsid w:val="006970D3"/>
    <w:rsid w:val="006A008C"/>
    <w:rsid w:val="006A428A"/>
    <w:rsid w:val="006A7F00"/>
    <w:rsid w:val="006A7FEC"/>
    <w:rsid w:val="006B3936"/>
    <w:rsid w:val="006B70F7"/>
    <w:rsid w:val="006C1A0A"/>
    <w:rsid w:val="006D2795"/>
    <w:rsid w:val="006E231D"/>
    <w:rsid w:val="006E731A"/>
    <w:rsid w:val="006F1540"/>
    <w:rsid w:val="006F1A17"/>
    <w:rsid w:val="006F4AE8"/>
    <w:rsid w:val="006F64B5"/>
    <w:rsid w:val="007030F3"/>
    <w:rsid w:val="007040AE"/>
    <w:rsid w:val="0070419B"/>
    <w:rsid w:val="00710A7C"/>
    <w:rsid w:val="0071257D"/>
    <w:rsid w:val="007165EA"/>
    <w:rsid w:val="00716E92"/>
    <w:rsid w:val="007233E6"/>
    <w:rsid w:val="0072640A"/>
    <w:rsid w:val="007414A2"/>
    <w:rsid w:val="00743009"/>
    <w:rsid w:val="0074435C"/>
    <w:rsid w:val="0074656C"/>
    <w:rsid w:val="00755AA5"/>
    <w:rsid w:val="0075668C"/>
    <w:rsid w:val="00757833"/>
    <w:rsid w:val="00772193"/>
    <w:rsid w:val="00774EDB"/>
    <w:rsid w:val="00780167"/>
    <w:rsid w:val="007835E7"/>
    <w:rsid w:val="00786FB6"/>
    <w:rsid w:val="00790706"/>
    <w:rsid w:val="007950E1"/>
    <w:rsid w:val="007A1590"/>
    <w:rsid w:val="007A5A2D"/>
    <w:rsid w:val="007B1795"/>
    <w:rsid w:val="007B5DFD"/>
    <w:rsid w:val="007B7FB8"/>
    <w:rsid w:val="007C1941"/>
    <w:rsid w:val="007D009B"/>
    <w:rsid w:val="007D147F"/>
    <w:rsid w:val="007D1C64"/>
    <w:rsid w:val="007D3EFC"/>
    <w:rsid w:val="007D4623"/>
    <w:rsid w:val="007E30CF"/>
    <w:rsid w:val="007E4821"/>
    <w:rsid w:val="007E7A93"/>
    <w:rsid w:val="007F0202"/>
    <w:rsid w:val="007F0667"/>
    <w:rsid w:val="007F43B8"/>
    <w:rsid w:val="007F7AA8"/>
    <w:rsid w:val="008027B4"/>
    <w:rsid w:val="00804A35"/>
    <w:rsid w:val="00817348"/>
    <w:rsid w:val="00817491"/>
    <w:rsid w:val="008225D2"/>
    <w:rsid w:val="008230D6"/>
    <w:rsid w:val="00831A05"/>
    <w:rsid w:val="0083695D"/>
    <w:rsid w:val="00847D8C"/>
    <w:rsid w:val="00850933"/>
    <w:rsid w:val="00851980"/>
    <w:rsid w:val="00852B36"/>
    <w:rsid w:val="00861B72"/>
    <w:rsid w:val="00864611"/>
    <w:rsid w:val="00872975"/>
    <w:rsid w:val="0087739D"/>
    <w:rsid w:val="00877621"/>
    <w:rsid w:val="008809C2"/>
    <w:rsid w:val="00880C7E"/>
    <w:rsid w:val="008912AC"/>
    <w:rsid w:val="008956BB"/>
    <w:rsid w:val="008A2201"/>
    <w:rsid w:val="008B189E"/>
    <w:rsid w:val="008B2E13"/>
    <w:rsid w:val="008B767A"/>
    <w:rsid w:val="008C0AF0"/>
    <w:rsid w:val="008C2B3C"/>
    <w:rsid w:val="008C5D11"/>
    <w:rsid w:val="008C6BAD"/>
    <w:rsid w:val="008C71B6"/>
    <w:rsid w:val="008E3577"/>
    <w:rsid w:val="008E4FCA"/>
    <w:rsid w:val="008E7056"/>
    <w:rsid w:val="008F129A"/>
    <w:rsid w:val="008F3443"/>
    <w:rsid w:val="008F6F3C"/>
    <w:rsid w:val="00900161"/>
    <w:rsid w:val="0090258C"/>
    <w:rsid w:val="00904506"/>
    <w:rsid w:val="00905FA9"/>
    <w:rsid w:val="00910CE2"/>
    <w:rsid w:val="00926185"/>
    <w:rsid w:val="009269EA"/>
    <w:rsid w:val="009275DB"/>
    <w:rsid w:val="00941730"/>
    <w:rsid w:val="0094692A"/>
    <w:rsid w:val="00951D2E"/>
    <w:rsid w:val="0096191F"/>
    <w:rsid w:val="00966AB2"/>
    <w:rsid w:val="009672E7"/>
    <w:rsid w:val="00970DA0"/>
    <w:rsid w:val="0097444B"/>
    <w:rsid w:val="00977200"/>
    <w:rsid w:val="00980BA8"/>
    <w:rsid w:val="00985CA0"/>
    <w:rsid w:val="00986944"/>
    <w:rsid w:val="00986F1B"/>
    <w:rsid w:val="009913DA"/>
    <w:rsid w:val="00991770"/>
    <w:rsid w:val="009942BA"/>
    <w:rsid w:val="009A677E"/>
    <w:rsid w:val="009A732C"/>
    <w:rsid w:val="009B090F"/>
    <w:rsid w:val="009B772D"/>
    <w:rsid w:val="009C38CF"/>
    <w:rsid w:val="009C4D0C"/>
    <w:rsid w:val="009C682C"/>
    <w:rsid w:val="009D00E7"/>
    <w:rsid w:val="009D1425"/>
    <w:rsid w:val="009D3B28"/>
    <w:rsid w:val="009D3E6F"/>
    <w:rsid w:val="009D48D4"/>
    <w:rsid w:val="009E51A9"/>
    <w:rsid w:val="009F238D"/>
    <w:rsid w:val="00A01680"/>
    <w:rsid w:val="00A13FF0"/>
    <w:rsid w:val="00A1459B"/>
    <w:rsid w:val="00A21606"/>
    <w:rsid w:val="00A2221E"/>
    <w:rsid w:val="00A355F3"/>
    <w:rsid w:val="00A35BA7"/>
    <w:rsid w:val="00A366E5"/>
    <w:rsid w:val="00A367E1"/>
    <w:rsid w:val="00A420DD"/>
    <w:rsid w:val="00A43109"/>
    <w:rsid w:val="00A57FD9"/>
    <w:rsid w:val="00A622C4"/>
    <w:rsid w:val="00A67333"/>
    <w:rsid w:val="00A711FD"/>
    <w:rsid w:val="00A74B60"/>
    <w:rsid w:val="00A81B98"/>
    <w:rsid w:val="00A843EA"/>
    <w:rsid w:val="00A84AB6"/>
    <w:rsid w:val="00A85814"/>
    <w:rsid w:val="00A9148C"/>
    <w:rsid w:val="00A96DB0"/>
    <w:rsid w:val="00AA4BCA"/>
    <w:rsid w:val="00AB1CBA"/>
    <w:rsid w:val="00AB2B7D"/>
    <w:rsid w:val="00AB3006"/>
    <w:rsid w:val="00AB5ED5"/>
    <w:rsid w:val="00AC6232"/>
    <w:rsid w:val="00AC7CA0"/>
    <w:rsid w:val="00AD68E2"/>
    <w:rsid w:val="00AD7AEB"/>
    <w:rsid w:val="00AF07A6"/>
    <w:rsid w:val="00AF0FC1"/>
    <w:rsid w:val="00AF231D"/>
    <w:rsid w:val="00AF2529"/>
    <w:rsid w:val="00AF337F"/>
    <w:rsid w:val="00AF7694"/>
    <w:rsid w:val="00AF79E5"/>
    <w:rsid w:val="00B01B25"/>
    <w:rsid w:val="00B031EE"/>
    <w:rsid w:val="00B033D6"/>
    <w:rsid w:val="00B07C01"/>
    <w:rsid w:val="00B10100"/>
    <w:rsid w:val="00B1518F"/>
    <w:rsid w:val="00B16D30"/>
    <w:rsid w:val="00B16E0C"/>
    <w:rsid w:val="00B25026"/>
    <w:rsid w:val="00B2674D"/>
    <w:rsid w:val="00B27FBF"/>
    <w:rsid w:val="00B30285"/>
    <w:rsid w:val="00B335E2"/>
    <w:rsid w:val="00B43FAC"/>
    <w:rsid w:val="00B441AA"/>
    <w:rsid w:val="00B445A9"/>
    <w:rsid w:val="00B468C6"/>
    <w:rsid w:val="00B52E0E"/>
    <w:rsid w:val="00B54DE3"/>
    <w:rsid w:val="00B555A1"/>
    <w:rsid w:val="00B56697"/>
    <w:rsid w:val="00B5699D"/>
    <w:rsid w:val="00B56D3B"/>
    <w:rsid w:val="00B62FDE"/>
    <w:rsid w:val="00B6376D"/>
    <w:rsid w:val="00B67194"/>
    <w:rsid w:val="00B92D31"/>
    <w:rsid w:val="00B92F21"/>
    <w:rsid w:val="00BA0B40"/>
    <w:rsid w:val="00BA41D4"/>
    <w:rsid w:val="00BA725B"/>
    <w:rsid w:val="00BA75BE"/>
    <w:rsid w:val="00BB189D"/>
    <w:rsid w:val="00BB192D"/>
    <w:rsid w:val="00BC2775"/>
    <w:rsid w:val="00BC530B"/>
    <w:rsid w:val="00BC595E"/>
    <w:rsid w:val="00BD1C61"/>
    <w:rsid w:val="00BD4BC3"/>
    <w:rsid w:val="00BD5D57"/>
    <w:rsid w:val="00BD60F5"/>
    <w:rsid w:val="00BD7F8B"/>
    <w:rsid w:val="00BE0C64"/>
    <w:rsid w:val="00BE20D8"/>
    <w:rsid w:val="00BE5126"/>
    <w:rsid w:val="00BE784A"/>
    <w:rsid w:val="00BF39F0"/>
    <w:rsid w:val="00BF4ACA"/>
    <w:rsid w:val="00C034FA"/>
    <w:rsid w:val="00C06A23"/>
    <w:rsid w:val="00C0734F"/>
    <w:rsid w:val="00C07CBD"/>
    <w:rsid w:val="00C10984"/>
    <w:rsid w:val="00C146A4"/>
    <w:rsid w:val="00C153C3"/>
    <w:rsid w:val="00C2066F"/>
    <w:rsid w:val="00C20C90"/>
    <w:rsid w:val="00C24066"/>
    <w:rsid w:val="00C24EF4"/>
    <w:rsid w:val="00C27BBC"/>
    <w:rsid w:val="00C30C6C"/>
    <w:rsid w:val="00C3163E"/>
    <w:rsid w:val="00C4159B"/>
    <w:rsid w:val="00C4224E"/>
    <w:rsid w:val="00C467FF"/>
    <w:rsid w:val="00C55829"/>
    <w:rsid w:val="00C56477"/>
    <w:rsid w:val="00C74165"/>
    <w:rsid w:val="00C7557E"/>
    <w:rsid w:val="00C77322"/>
    <w:rsid w:val="00C80E69"/>
    <w:rsid w:val="00C87A2B"/>
    <w:rsid w:val="00C947EA"/>
    <w:rsid w:val="00CA3088"/>
    <w:rsid w:val="00CB1BFA"/>
    <w:rsid w:val="00CB6EFB"/>
    <w:rsid w:val="00CB751A"/>
    <w:rsid w:val="00CC6B7A"/>
    <w:rsid w:val="00CC7997"/>
    <w:rsid w:val="00CC7F46"/>
    <w:rsid w:val="00CD03C5"/>
    <w:rsid w:val="00CD1859"/>
    <w:rsid w:val="00CD1A99"/>
    <w:rsid w:val="00CD355D"/>
    <w:rsid w:val="00CD36DD"/>
    <w:rsid w:val="00CE255E"/>
    <w:rsid w:val="00CE65A1"/>
    <w:rsid w:val="00CF32D7"/>
    <w:rsid w:val="00CF7E3D"/>
    <w:rsid w:val="00D0704A"/>
    <w:rsid w:val="00D16F9E"/>
    <w:rsid w:val="00D17A12"/>
    <w:rsid w:val="00D20D14"/>
    <w:rsid w:val="00D21824"/>
    <w:rsid w:val="00D236E2"/>
    <w:rsid w:val="00D26E3B"/>
    <w:rsid w:val="00D31AD6"/>
    <w:rsid w:val="00D339A0"/>
    <w:rsid w:val="00D36BDA"/>
    <w:rsid w:val="00D43789"/>
    <w:rsid w:val="00D43E9C"/>
    <w:rsid w:val="00D4439C"/>
    <w:rsid w:val="00D46080"/>
    <w:rsid w:val="00D46684"/>
    <w:rsid w:val="00D50B7F"/>
    <w:rsid w:val="00D51F1F"/>
    <w:rsid w:val="00D53958"/>
    <w:rsid w:val="00D55DD3"/>
    <w:rsid w:val="00D63FB7"/>
    <w:rsid w:val="00D64406"/>
    <w:rsid w:val="00D649A5"/>
    <w:rsid w:val="00D66258"/>
    <w:rsid w:val="00D66DAB"/>
    <w:rsid w:val="00D6714F"/>
    <w:rsid w:val="00D67FB5"/>
    <w:rsid w:val="00D70DD6"/>
    <w:rsid w:val="00D70FDE"/>
    <w:rsid w:val="00D744F9"/>
    <w:rsid w:val="00D86E60"/>
    <w:rsid w:val="00D93481"/>
    <w:rsid w:val="00D9487B"/>
    <w:rsid w:val="00DA4870"/>
    <w:rsid w:val="00DB003F"/>
    <w:rsid w:val="00DB215C"/>
    <w:rsid w:val="00DB3D92"/>
    <w:rsid w:val="00DB4A27"/>
    <w:rsid w:val="00DC0418"/>
    <w:rsid w:val="00DC1021"/>
    <w:rsid w:val="00DC3D4A"/>
    <w:rsid w:val="00DC3DF6"/>
    <w:rsid w:val="00DC64D8"/>
    <w:rsid w:val="00DC79EB"/>
    <w:rsid w:val="00DD18AB"/>
    <w:rsid w:val="00DD37D8"/>
    <w:rsid w:val="00DD6765"/>
    <w:rsid w:val="00DE16DC"/>
    <w:rsid w:val="00DE3A11"/>
    <w:rsid w:val="00DE41F8"/>
    <w:rsid w:val="00DE5112"/>
    <w:rsid w:val="00DE5A29"/>
    <w:rsid w:val="00DF250E"/>
    <w:rsid w:val="00DF7306"/>
    <w:rsid w:val="00E139C4"/>
    <w:rsid w:val="00E157BC"/>
    <w:rsid w:val="00E1617D"/>
    <w:rsid w:val="00E216DF"/>
    <w:rsid w:val="00E23326"/>
    <w:rsid w:val="00E265BC"/>
    <w:rsid w:val="00E345E3"/>
    <w:rsid w:val="00E449F4"/>
    <w:rsid w:val="00E477C7"/>
    <w:rsid w:val="00E55CE3"/>
    <w:rsid w:val="00E56A91"/>
    <w:rsid w:val="00E57FCA"/>
    <w:rsid w:val="00E60E72"/>
    <w:rsid w:val="00E6512F"/>
    <w:rsid w:val="00E665E6"/>
    <w:rsid w:val="00E709B2"/>
    <w:rsid w:val="00E720E0"/>
    <w:rsid w:val="00E73BAD"/>
    <w:rsid w:val="00E87584"/>
    <w:rsid w:val="00E91080"/>
    <w:rsid w:val="00E95815"/>
    <w:rsid w:val="00E979A0"/>
    <w:rsid w:val="00EA3371"/>
    <w:rsid w:val="00EA6A2D"/>
    <w:rsid w:val="00EB19AF"/>
    <w:rsid w:val="00EB2CA4"/>
    <w:rsid w:val="00EB3B53"/>
    <w:rsid w:val="00EB50A0"/>
    <w:rsid w:val="00EB5496"/>
    <w:rsid w:val="00EB7117"/>
    <w:rsid w:val="00EC2C0B"/>
    <w:rsid w:val="00EC398A"/>
    <w:rsid w:val="00EC474F"/>
    <w:rsid w:val="00ED0328"/>
    <w:rsid w:val="00ED209A"/>
    <w:rsid w:val="00ED2C0D"/>
    <w:rsid w:val="00ED4B5C"/>
    <w:rsid w:val="00EE4516"/>
    <w:rsid w:val="00EE7299"/>
    <w:rsid w:val="00EF129C"/>
    <w:rsid w:val="00EF5C9D"/>
    <w:rsid w:val="00EF7D8D"/>
    <w:rsid w:val="00F00351"/>
    <w:rsid w:val="00F00A38"/>
    <w:rsid w:val="00F01331"/>
    <w:rsid w:val="00F02C3F"/>
    <w:rsid w:val="00F06207"/>
    <w:rsid w:val="00F15A3B"/>
    <w:rsid w:val="00F20B6D"/>
    <w:rsid w:val="00F253B7"/>
    <w:rsid w:val="00F26304"/>
    <w:rsid w:val="00F33CE3"/>
    <w:rsid w:val="00F35349"/>
    <w:rsid w:val="00F442EF"/>
    <w:rsid w:val="00F54415"/>
    <w:rsid w:val="00F545D7"/>
    <w:rsid w:val="00F554CF"/>
    <w:rsid w:val="00F55C30"/>
    <w:rsid w:val="00F640F9"/>
    <w:rsid w:val="00F66DEF"/>
    <w:rsid w:val="00F70662"/>
    <w:rsid w:val="00F70FDE"/>
    <w:rsid w:val="00F714A4"/>
    <w:rsid w:val="00F74358"/>
    <w:rsid w:val="00F81CC8"/>
    <w:rsid w:val="00F85E7C"/>
    <w:rsid w:val="00F97BB7"/>
    <w:rsid w:val="00FA0724"/>
    <w:rsid w:val="00FA1742"/>
    <w:rsid w:val="00FB525B"/>
    <w:rsid w:val="00FC149B"/>
    <w:rsid w:val="00FC1F05"/>
    <w:rsid w:val="00FC56E7"/>
    <w:rsid w:val="00FC5E42"/>
    <w:rsid w:val="00FC7E7B"/>
    <w:rsid w:val="00FD1C65"/>
    <w:rsid w:val="00FD2C0F"/>
    <w:rsid w:val="00FD6855"/>
    <w:rsid w:val="00FD7C6B"/>
    <w:rsid w:val="00FE679C"/>
    <w:rsid w:val="00FF273E"/>
    <w:rsid w:val="00FF2CC7"/>
    <w:rsid w:val="00FF4E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85401C8"/>
  <w15:docId w15:val="{37F642DE-02F7-4C44-B6F0-BEF5818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4F7"/>
    <w:pPr>
      <w:spacing w:after="200" w:line="276" w:lineRule="auto"/>
    </w:pPr>
    <w:rPr>
      <w:rFonts w:ascii="Calibri" w:eastAsia="Calibri" w:hAnsi="Calibri" w:cs="Times New Roman"/>
    </w:rPr>
  </w:style>
  <w:style w:type="paragraph" w:styleId="Ttulo1">
    <w:name w:val="heading 1"/>
    <w:basedOn w:val="Normal"/>
    <w:next w:val="Normal"/>
    <w:link w:val="Ttulo1Car"/>
    <w:uiPriority w:val="9"/>
    <w:qFormat/>
    <w:rsid w:val="008F12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F12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74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A74F7"/>
    <w:rPr>
      <w:rFonts w:ascii="Calibri" w:eastAsia="Calibri" w:hAnsi="Calibri" w:cs="Times New Roman"/>
    </w:rPr>
  </w:style>
  <w:style w:type="paragraph" w:customStyle="1" w:styleId="estilo30">
    <w:name w:val="estilo30"/>
    <w:basedOn w:val="Normal"/>
    <w:rsid w:val="002A74F7"/>
    <w:pPr>
      <w:spacing w:before="100" w:beforeAutospacing="1" w:after="100" w:afterAutospacing="1" w:line="240" w:lineRule="auto"/>
    </w:pPr>
    <w:rPr>
      <w:rFonts w:ascii="Times New Roman" w:eastAsia="Times New Roman" w:hAnsi="Times New Roman"/>
      <w:sz w:val="24"/>
      <w:szCs w:val="24"/>
      <w:lang w:eastAsia="es-MX"/>
    </w:rPr>
  </w:style>
  <w:style w:type="paragraph" w:styleId="Prrafodelista">
    <w:name w:val="List Paragraph"/>
    <w:basedOn w:val="Normal"/>
    <w:link w:val="PrrafodelistaCar"/>
    <w:uiPriority w:val="34"/>
    <w:qFormat/>
    <w:rsid w:val="002A74F7"/>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link w:val="Prrafodelista"/>
    <w:uiPriority w:val="34"/>
    <w:locked/>
    <w:rsid w:val="002A74F7"/>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9426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9426C"/>
    <w:rPr>
      <w:rFonts w:ascii="Lucida Grande" w:eastAsia="Calibri" w:hAnsi="Lucida Grande" w:cs="Lucida Grande"/>
      <w:sz w:val="18"/>
      <w:szCs w:val="18"/>
    </w:rPr>
  </w:style>
  <w:style w:type="paragraph" w:styleId="Piedepgina">
    <w:name w:val="footer"/>
    <w:basedOn w:val="Normal"/>
    <w:link w:val="PiedepginaCar"/>
    <w:uiPriority w:val="99"/>
    <w:unhideWhenUsed/>
    <w:rsid w:val="004E08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0839"/>
    <w:rPr>
      <w:rFonts w:ascii="Calibri" w:eastAsia="Calibri" w:hAnsi="Calibri" w:cs="Times New Roman"/>
    </w:rPr>
  </w:style>
  <w:style w:type="character" w:styleId="Refdecomentario">
    <w:name w:val="annotation reference"/>
    <w:basedOn w:val="Fuentedeprrafopredeter"/>
    <w:uiPriority w:val="99"/>
    <w:semiHidden/>
    <w:unhideWhenUsed/>
    <w:rsid w:val="00E709B2"/>
    <w:rPr>
      <w:sz w:val="16"/>
      <w:szCs w:val="16"/>
    </w:rPr>
  </w:style>
  <w:style w:type="paragraph" w:styleId="Textocomentario">
    <w:name w:val="annotation text"/>
    <w:basedOn w:val="Normal"/>
    <w:link w:val="TextocomentarioCar"/>
    <w:uiPriority w:val="99"/>
    <w:semiHidden/>
    <w:unhideWhenUsed/>
    <w:rsid w:val="00E709B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9B2"/>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E709B2"/>
    <w:rPr>
      <w:b/>
      <w:bCs/>
    </w:rPr>
  </w:style>
  <w:style w:type="character" w:customStyle="1" w:styleId="AsuntodelcomentarioCar">
    <w:name w:val="Asunto del comentario Car"/>
    <w:basedOn w:val="TextocomentarioCar"/>
    <w:link w:val="Asuntodelcomentario"/>
    <w:uiPriority w:val="99"/>
    <w:semiHidden/>
    <w:rsid w:val="00E709B2"/>
    <w:rPr>
      <w:rFonts w:ascii="Calibri" w:eastAsia="Calibri" w:hAnsi="Calibri" w:cs="Times New Roman"/>
      <w:b/>
      <w:bCs/>
      <w:sz w:val="20"/>
      <w:szCs w:val="20"/>
    </w:rPr>
  </w:style>
  <w:style w:type="paragraph" w:styleId="Revisin">
    <w:name w:val="Revision"/>
    <w:hidden/>
    <w:uiPriority w:val="99"/>
    <w:semiHidden/>
    <w:rsid w:val="00CD355D"/>
    <w:pPr>
      <w:spacing w:after="0" w:line="240" w:lineRule="auto"/>
    </w:pPr>
    <w:rPr>
      <w:rFonts w:ascii="Calibri" w:eastAsia="Calibri" w:hAnsi="Calibri" w:cs="Times New Roman"/>
    </w:rPr>
  </w:style>
  <w:style w:type="paragraph" w:styleId="Textonotapie">
    <w:name w:val="footnote text"/>
    <w:basedOn w:val="Normal"/>
    <w:link w:val="TextonotapieCar"/>
    <w:uiPriority w:val="99"/>
    <w:semiHidden/>
    <w:unhideWhenUsed/>
    <w:rsid w:val="00774ED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74EDB"/>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774EDB"/>
    <w:rPr>
      <w:vertAlign w:val="superscript"/>
    </w:rPr>
  </w:style>
  <w:style w:type="paragraph" w:styleId="NormalWeb">
    <w:name w:val="Normal (Web)"/>
    <w:basedOn w:val="Normal"/>
    <w:uiPriority w:val="99"/>
    <w:unhideWhenUsed/>
    <w:rsid w:val="00774EDB"/>
    <w:pPr>
      <w:spacing w:before="100" w:beforeAutospacing="1" w:after="100" w:afterAutospacing="1" w:line="240" w:lineRule="auto"/>
    </w:pPr>
    <w:rPr>
      <w:rFonts w:ascii="Times New Roman" w:eastAsia="Times New Roman" w:hAnsi="Times New Roman"/>
      <w:sz w:val="24"/>
      <w:szCs w:val="24"/>
      <w:lang w:eastAsia="es-MX"/>
    </w:rPr>
  </w:style>
  <w:style w:type="table" w:styleId="Tabladelista4-nfasis3">
    <w:name w:val="List Table 4 Accent 3"/>
    <w:basedOn w:val="Tablanormal"/>
    <w:uiPriority w:val="49"/>
    <w:rsid w:val="00774ED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59"/>
    <w:rsid w:val="00774EDB"/>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inlista1">
    <w:name w:val="Sin lista1"/>
    <w:next w:val="Sinlista"/>
    <w:uiPriority w:val="99"/>
    <w:semiHidden/>
    <w:unhideWhenUsed/>
    <w:rsid w:val="004A0EA8"/>
  </w:style>
  <w:style w:type="table" w:customStyle="1" w:styleId="Tabladelista4-nfasis31">
    <w:name w:val="Tabla de lista 4 - Énfasis 31"/>
    <w:basedOn w:val="Tablanormal"/>
    <w:next w:val="Tabladelista4-nfasis3"/>
    <w:uiPriority w:val="49"/>
    <w:rsid w:val="004A0EA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concuadrcula1">
    <w:name w:val="Tabla con cuadrícula1"/>
    <w:basedOn w:val="Tablanormal"/>
    <w:next w:val="Tablaconcuadrcula"/>
    <w:uiPriority w:val="59"/>
    <w:rsid w:val="004A0EA8"/>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Normal"/>
    <w:link w:val="TextoCar"/>
    <w:rsid w:val="007233E6"/>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7233E6"/>
    <w:rPr>
      <w:rFonts w:ascii="Arial" w:eastAsia="Times New Roman" w:hAnsi="Arial" w:cs="Arial"/>
      <w:sz w:val="18"/>
      <w:szCs w:val="20"/>
      <w:lang w:val="es-ES" w:eastAsia="es-ES"/>
    </w:rPr>
  </w:style>
  <w:style w:type="character" w:customStyle="1" w:styleId="apple-converted-space">
    <w:name w:val="apple-converted-space"/>
    <w:basedOn w:val="Fuentedeprrafopredeter"/>
    <w:rsid w:val="00900161"/>
  </w:style>
  <w:style w:type="character" w:customStyle="1" w:styleId="Ttulo1Car">
    <w:name w:val="Título 1 Car"/>
    <w:basedOn w:val="Fuentedeprrafopredeter"/>
    <w:link w:val="Ttulo1"/>
    <w:uiPriority w:val="9"/>
    <w:rsid w:val="008F129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F129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98185">
      <w:bodyDiv w:val="1"/>
      <w:marLeft w:val="0"/>
      <w:marRight w:val="0"/>
      <w:marTop w:val="0"/>
      <w:marBottom w:val="0"/>
      <w:divBdr>
        <w:top w:val="none" w:sz="0" w:space="0" w:color="auto"/>
        <w:left w:val="none" w:sz="0" w:space="0" w:color="auto"/>
        <w:bottom w:val="none" w:sz="0" w:space="0" w:color="auto"/>
        <w:right w:val="none" w:sz="0" w:space="0" w:color="auto"/>
      </w:divBdr>
    </w:div>
    <w:div w:id="412748354">
      <w:bodyDiv w:val="1"/>
      <w:marLeft w:val="0"/>
      <w:marRight w:val="0"/>
      <w:marTop w:val="0"/>
      <w:marBottom w:val="0"/>
      <w:divBdr>
        <w:top w:val="none" w:sz="0" w:space="0" w:color="auto"/>
        <w:left w:val="none" w:sz="0" w:space="0" w:color="auto"/>
        <w:bottom w:val="none" w:sz="0" w:space="0" w:color="auto"/>
        <w:right w:val="none" w:sz="0" w:space="0" w:color="auto"/>
      </w:divBdr>
    </w:div>
    <w:div w:id="447545938">
      <w:bodyDiv w:val="1"/>
      <w:marLeft w:val="0"/>
      <w:marRight w:val="0"/>
      <w:marTop w:val="0"/>
      <w:marBottom w:val="0"/>
      <w:divBdr>
        <w:top w:val="none" w:sz="0" w:space="0" w:color="auto"/>
        <w:left w:val="none" w:sz="0" w:space="0" w:color="auto"/>
        <w:bottom w:val="none" w:sz="0" w:space="0" w:color="auto"/>
        <w:right w:val="none" w:sz="0" w:space="0" w:color="auto"/>
      </w:divBdr>
    </w:div>
    <w:div w:id="457644527">
      <w:bodyDiv w:val="1"/>
      <w:marLeft w:val="0"/>
      <w:marRight w:val="0"/>
      <w:marTop w:val="0"/>
      <w:marBottom w:val="0"/>
      <w:divBdr>
        <w:top w:val="none" w:sz="0" w:space="0" w:color="auto"/>
        <w:left w:val="none" w:sz="0" w:space="0" w:color="auto"/>
        <w:bottom w:val="none" w:sz="0" w:space="0" w:color="auto"/>
        <w:right w:val="none" w:sz="0" w:space="0" w:color="auto"/>
      </w:divBdr>
    </w:div>
    <w:div w:id="502932462">
      <w:bodyDiv w:val="1"/>
      <w:marLeft w:val="0"/>
      <w:marRight w:val="0"/>
      <w:marTop w:val="0"/>
      <w:marBottom w:val="0"/>
      <w:divBdr>
        <w:top w:val="none" w:sz="0" w:space="0" w:color="auto"/>
        <w:left w:val="none" w:sz="0" w:space="0" w:color="auto"/>
        <w:bottom w:val="none" w:sz="0" w:space="0" w:color="auto"/>
        <w:right w:val="none" w:sz="0" w:space="0" w:color="auto"/>
      </w:divBdr>
    </w:div>
    <w:div w:id="881987541">
      <w:bodyDiv w:val="1"/>
      <w:marLeft w:val="0"/>
      <w:marRight w:val="0"/>
      <w:marTop w:val="0"/>
      <w:marBottom w:val="0"/>
      <w:divBdr>
        <w:top w:val="none" w:sz="0" w:space="0" w:color="auto"/>
        <w:left w:val="none" w:sz="0" w:space="0" w:color="auto"/>
        <w:bottom w:val="none" w:sz="0" w:space="0" w:color="auto"/>
        <w:right w:val="none" w:sz="0" w:space="0" w:color="auto"/>
      </w:divBdr>
    </w:div>
    <w:div w:id="1463575844">
      <w:bodyDiv w:val="1"/>
      <w:marLeft w:val="0"/>
      <w:marRight w:val="0"/>
      <w:marTop w:val="0"/>
      <w:marBottom w:val="0"/>
      <w:divBdr>
        <w:top w:val="none" w:sz="0" w:space="0" w:color="auto"/>
        <w:left w:val="none" w:sz="0" w:space="0" w:color="auto"/>
        <w:bottom w:val="none" w:sz="0" w:space="0" w:color="auto"/>
        <w:right w:val="none" w:sz="0" w:space="0" w:color="auto"/>
      </w:divBdr>
    </w:div>
    <w:div w:id="1569727650">
      <w:bodyDiv w:val="1"/>
      <w:marLeft w:val="0"/>
      <w:marRight w:val="0"/>
      <w:marTop w:val="0"/>
      <w:marBottom w:val="0"/>
      <w:divBdr>
        <w:top w:val="none" w:sz="0" w:space="0" w:color="auto"/>
        <w:left w:val="none" w:sz="0" w:space="0" w:color="auto"/>
        <w:bottom w:val="none" w:sz="0" w:space="0" w:color="auto"/>
        <w:right w:val="none" w:sz="0" w:space="0" w:color="auto"/>
      </w:divBdr>
    </w:div>
    <w:div w:id="164110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02F6A-F386-4548-98F4-12FE97F07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3970</Words>
  <Characters>21839</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Guzman Gutierrez</dc:creator>
  <cp:keywords/>
  <dc:description/>
  <cp:lastModifiedBy>Maria del Consuelo Gonzalez Moreno</cp:lastModifiedBy>
  <cp:revision>4</cp:revision>
  <dcterms:created xsi:type="dcterms:W3CDTF">2017-01-25T01:12:00Z</dcterms:created>
  <dcterms:modified xsi:type="dcterms:W3CDTF">2017-05-05T16:18:00Z</dcterms:modified>
</cp:coreProperties>
</file>