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DE9" w:rsidRPr="0041709E" w:rsidRDefault="00132798" w:rsidP="0041709E">
      <w:pPr>
        <w:pStyle w:val="Ttulo1"/>
        <w:spacing w:line="240" w:lineRule="auto"/>
        <w:contextualSpacing w:val="0"/>
        <w:jc w:val="both"/>
        <w:rPr>
          <w:caps w:val="0"/>
          <w:color w:val="000000" w:themeColor="text1"/>
          <w:sz w:val="24"/>
          <w:szCs w:val="24"/>
          <w:lang w:eastAsia="es-MX"/>
        </w:rPr>
      </w:pPr>
      <w:r w:rsidRPr="0041709E">
        <w:rPr>
          <w:caps w:val="0"/>
          <w:color w:val="000000" w:themeColor="text1"/>
          <w:sz w:val="24"/>
          <w:szCs w:val="24"/>
          <w:lang w:eastAsia="es-MX"/>
        </w:rPr>
        <w:t xml:space="preserve">ACUERDO MEDIANTE EL CUAL EL PLENO DEL INSTITUTO FEDERAL DE TELECOMUNICACIONES </w:t>
      </w:r>
      <w:r w:rsidR="008B717C" w:rsidRPr="0041709E">
        <w:rPr>
          <w:caps w:val="0"/>
          <w:color w:val="000000" w:themeColor="text1"/>
          <w:sz w:val="24"/>
          <w:szCs w:val="24"/>
          <w:lang w:eastAsia="es-MX"/>
        </w:rPr>
        <w:t xml:space="preserve">SE PRONUNCIA </w:t>
      </w:r>
      <w:r w:rsidR="007F6C12" w:rsidRPr="0041709E">
        <w:rPr>
          <w:caps w:val="0"/>
          <w:color w:val="000000" w:themeColor="text1"/>
          <w:sz w:val="24"/>
          <w:szCs w:val="24"/>
          <w:lang w:eastAsia="es-MX"/>
        </w:rPr>
        <w:t>NO SER</w:t>
      </w:r>
      <w:r w:rsidR="007C4DE9" w:rsidRPr="0041709E">
        <w:rPr>
          <w:caps w:val="0"/>
          <w:color w:val="000000" w:themeColor="text1"/>
          <w:sz w:val="24"/>
          <w:szCs w:val="24"/>
          <w:lang w:eastAsia="es-MX"/>
        </w:rPr>
        <w:t xml:space="preserve"> </w:t>
      </w:r>
      <w:r w:rsidRPr="0041709E">
        <w:rPr>
          <w:caps w:val="0"/>
          <w:color w:val="000000" w:themeColor="text1"/>
          <w:sz w:val="24"/>
          <w:szCs w:val="24"/>
          <w:lang w:eastAsia="es-MX"/>
        </w:rPr>
        <w:t>COMPETEN</w:t>
      </w:r>
      <w:r w:rsidR="007C4DE9" w:rsidRPr="0041709E">
        <w:rPr>
          <w:caps w:val="0"/>
          <w:color w:val="000000" w:themeColor="text1"/>
          <w:sz w:val="24"/>
          <w:szCs w:val="24"/>
          <w:lang w:eastAsia="es-MX"/>
        </w:rPr>
        <w:t>TE</w:t>
      </w:r>
      <w:r w:rsidRPr="0041709E">
        <w:rPr>
          <w:caps w:val="0"/>
          <w:color w:val="000000" w:themeColor="text1"/>
          <w:sz w:val="24"/>
          <w:szCs w:val="24"/>
          <w:lang w:eastAsia="es-MX"/>
        </w:rPr>
        <w:t xml:space="preserve"> PARA CONOCER SOBRE LA CONCENTRACIÓN </w:t>
      </w:r>
      <w:r w:rsidR="007F6C12" w:rsidRPr="0041709E">
        <w:rPr>
          <w:caps w:val="0"/>
          <w:color w:val="000000" w:themeColor="text1"/>
          <w:sz w:val="24"/>
          <w:szCs w:val="24"/>
          <w:lang w:eastAsia="es-MX"/>
        </w:rPr>
        <w:t>RADICADA EN EL EXPEDIENTE CNT-060-2016 DEL ÍNDICE DE</w:t>
      </w:r>
      <w:r w:rsidRPr="0041709E">
        <w:rPr>
          <w:caps w:val="0"/>
          <w:color w:val="000000" w:themeColor="text1"/>
          <w:sz w:val="24"/>
          <w:szCs w:val="24"/>
          <w:lang w:eastAsia="es-MX"/>
        </w:rPr>
        <w:t xml:space="preserve"> LA COMISIÓN F</w:t>
      </w:r>
      <w:r w:rsidR="007C4DE9" w:rsidRPr="0041709E">
        <w:rPr>
          <w:caps w:val="0"/>
          <w:color w:val="000000" w:themeColor="text1"/>
          <w:sz w:val="24"/>
          <w:szCs w:val="24"/>
          <w:lang w:eastAsia="es-MX"/>
        </w:rPr>
        <w:t>EDERAL DE COMPETENCIA ECONÓMICA</w:t>
      </w:r>
    </w:p>
    <w:p w:rsidR="007C4DE9" w:rsidRPr="0041709E" w:rsidRDefault="0041709E" w:rsidP="0041709E">
      <w:pPr>
        <w:pStyle w:val="Ttulo2"/>
        <w:keepNext/>
        <w:keepLines/>
        <w:spacing w:before="40" w:after="240"/>
        <w:jc w:val="center"/>
        <w:rPr>
          <w:rFonts w:eastAsiaTheme="majorEastAsia" w:cstheme="majorBidi"/>
          <w:color w:val="000000" w:themeColor="text1"/>
        </w:rPr>
      </w:pPr>
      <w:r>
        <w:rPr>
          <w:rFonts w:eastAsiaTheme="majorEastAsia" w:cstheme="majorBidi"/>
          <w:color w:val="000000" w:themeColor="text1"/>
        </w:rPr>
        <w:t xml:space="preserve">I. </w:t>
      </w:r>
      <w:r w:rsidR="007C4DE9" w:rsidRPr="0041709E">
        <w:rPr>
          <w:rFonts w:eastAsiaTheme="majorEastAsia" w:cstheme="majorBidi"/>
          <w:color w:val="000000" w:themeColor="text1"/>
        </w:rPr>
        <w:t>ANTECEDENTES</w:t>
      </w:r>
    </w:p>
    <w:p w:rsidR="007F6C12" w:rsidRDefault="007F6C12" w:rsidP="0041709E">
      <w:pPr>
        <w:pStyle w:val="Prrafodelista"/>
        <w:numPr>
          <w:ilvl w:val="0"/>
          <w:numId w:val="22"/>
        </w:numPr>
        <w:spacing w:line="276" w:lineRule="auto"/>
        <w:contextualSpacing w:val="0"/>
        <w:jc w:val="both"/>
      </w:pPr>
      <w:r w:rsidRPr="000A6F48">
        <w:t>Con fecha veintiuno de junio de dos mil dieciséis, mediante oficio ST-CFCE-2016-131</w:t>
      </w:r>
      <w:r>
        <w:t>,</w:t>
      </w:r>
      <w:r w:rsidR="008B717C">
        <w:rPr>
          <w:rStyle w:val="Refdenotaalpie"/>
        </w:rPr>
        <w:footnoteReference w:id="1"/>
      </w:r>
      <w:r>
        <w:t xml:space="preserve"> el Secretario Técnico de la Comisión Federal de Competencia Económica (STCOFECE) </w:t>
      </w:r>
      <w:r w:rsidRPr="000A6F48">
        <w:t xml:space="preserve">solicitó a la </w:t>
      </w:r>
      <w:r>
        <w:t>Unidad de Competencia Económica (UCE)</w:t>
      </w:r>
      <w:r w:rsidRPr="000A6F48">
        <w:t xml:space="preserve"> </w:t>
      </w:r>
      <w:r>
        <w:t xml:space="preserve">del Instituto Federal de Telecomunicaciones (Instituto) </w:t>
      </w:r>
      <w:r w:rsidRPr="000A6F48">
        <w:t>emitir opinión y/o consideracione</w:t>
      </w:r>
      <w:r>
        <w:t>s en relación con una concentración radicada en el expediente</w:t>
      </w:r>
      <w:r>
        <w:rPr>
          <w:bCs/>
          <w:color w:val="000000"/>
        </w:rPr>
        <w:t xml:space="preserve"> CNT-060-2016 (Concentración)</w:t>
      </w:r>
      <w:r>
        <w:rPr>
          <w:rStyle w:val="Refdenotaalpie"/>
          <w:bCs/>
          <w:color w:val="000000"/>
        </w:rPr>
        <w:footnoteReference w:id="2"/>
      </w:r>
      <w:r>
        <w:rPr>
          <w:bCs/>
          <w:color w:val="000000"/>
        </w:rPr>
        <w:t xml:space="preserve"> del índice de esa Comisión Federal de Competencia Económica (COFECE).</w:t>
      </w:r>
    </w:p>
    <w:p w:rsidR="007F6C12" w:rsidRDefault="007F6C12" w:rsidP="0041709E">
      <w:pPr>
        <w:pStyle w:val="Prrafodelista"/>
        <w:numPr>
          <w:ilvl w:val="0"/>
          <w:numId w:val="22"/>
        </w:numPr>
        <w:spacing w:line="276" w:lineRule="auto"/>
        <w:contextualSpacing w:val="0"/>
        <w:jc w:val="both"/>
      </w:pPr>
      <w:r w:rsidRPr="000A6F48">
        <w:t>Con fecha veintiocho de junio de dos mil dieciséis, la UCE del Instituto</w:t>
      </w:r>
      <w:r>
        <w:t xml:space="preserve">, mediante oficio IFT/226/UCE/099/2016 </w:t>
      </w:r>
      <w:r w:rsidRPr="000A6F48">
        <w:t>solicitó a</w:t>
      </w:r>
      <w:r>
        <w:t>l ST</w:t>
      </w:r>
      <w:r w:rsidRPr="000A6F48">
        <w:t>COFECE información adicional sobre la Concentración para estar en posibilidad de emitir una opinión.</w:t>
      </w:r>
    </w:p>
    <w:p w:rsidR="007F6C12" w:rsidRDefault="007F6C12" w:rsidP="0041709E">
      <w:pPr>
        <w:pStyle w:val="Prrafodelista"/>
        <w:numPr>
          <w:ilvl w:val="0"/>
          <w:numId w:val="22"/>
        </w:numPr>
        <w:spacing w:line="276" w:lineRule="auto"/>
        <w:contextualSpacing w:val="0"/>
        <w:jc w:val="both"/>
      </w:pPr>
      <w:r w:rsidRPr="000A6F48">
        <w:t>Con fecha uno de julio de dos mil dieciséis,</w:t>
      </w:r>
      <w:r>
        <w:t xml:space="preserve"> mediante oficio ST-CFCE-2016-136</w:t>
      </w:r>
      <w:r w:rsidR="008B717C">
        <w:rPr>
          <w:rStyle w:val="Refdenotaalpie"/>
        </w:rPr>
        <w:footnoteReference w:id="3"/>
      </w:r>
      <w:r w:rsidRPr="000A6F48">
        <w:t xml:space="preserve"> </w:t>
      </w:r>
      <w:r>
        <w:t>el ST</w:t>
      </w:r>
      <w:r w:rsidRPr="000A6F48">
        <w:t>COFECE aportó una parte de la información solicitada por la UCE</w:t>
      </w:r>
      <w:r>
        <w:t>.</w:t>
      </w:r>
    </w:p>
    <w:p w:rsidR="007F6C12" w:rsidRDefault="007F6C12" w:rsidP="0041709E">
      <w:pPr>
        <w:pStyle w:val="Prrafodelista"/>
        <w:numPr>
          <w:ilvl w:val="0"/>
          <w:numId w:val="22"/>
        </w:numPr>
        <w:spacing w:line="276" w:lineRule="auto"/>
        <w:contextualSpacing w:val="0"/>
        <w:jc w:val="both"/>
      </w:pPr>
      <w:r w:rsidRPr="000A6F48">
        <w:t xml:space="preserve">Con fecha quince de julio de dos mil dieciséis, </w:t>
      </w:r>
      <w:r>
        <w:t xml:space="preserve">mediante oficio número IFT/226/UCE/111/2016, </w:t>
      </w:r>
      <w:r w:rsidRPr="000A6F48">
        <w:t xml:space="preserve">la UCE </w:t>
      </w:r>
      <w:r>
        <w:t xml:space="preserve">informó </w:t>
      </w:r>
      <w:r w:rsidRPr="000A6F48">
        <w:t>a</w:t>
      </w:r>
      <w:r>
        <w:t>l ST</w:t>
      </w:r>
      <w:r w:rsidRPr="000A6F48">
        <w:t>COFECE que</w:t>
      </w:r>
      <w:r>
        <w:t xml:space="preserve"> la información adicional proporcionada </w:t>
      </w:r>
      <w:r w:rsidRPr="000A6F48">
        <w:t xml:space="preserve">no era suficiente para </w:t>
      </w:r>
      <w:r>
        <w:t xml:space="preserve">emitir la opinión solicitada. En particular, no era suficiente para </w:t>
      </w:r>
      <w:r w:rsidRPr="000A6F48">
        <w:t xml:space="preserve">determinar si </w:t>
      </w:r>
      <w:r>
        <w:t>la Concentración es un asunto que correspondería conocer a este Instituto.</w:t>
      </w:r>
    </w:p>
    <w:p w:rsidR="007F6C12" w:rsidRDefault="007F6C12" w:rsidP="0041709E">
      <w:pPr>
        <w:pStyle w:val="Prrafodelista"/>
        <w:numPr>
          <w:ilvl w:val="0"/>
          <w:numId w:val="22"/>
        </w:numPr>
        <w:spacing w:line="276" w:lineRule="auto"/>
        <w:contextualSpacing w:val="0"/>
        <w:jc w:val="both"/>
      </w:pPr>
      <w:r w:rsidRPr="000A6F48">
        <w:t>Con fecha treinta</w:t>
      </w:r>
      <w:r>
        <w:t xml:space="preserve"> y uno</w:t>
      </w:r>
      <w:r w:rsidRPr="000A6F48">
        <w:t xml:space="preserve"> de agosto de dos mil dieciséis,</w:t>
      </w:r>
      <w:r>
        <w:t xml:space="preserve"> mediante oficio </w:t>
      </w:r>
      <w:bookmarkStart w:id="0" w:name="_GoBack"/>
      <w:bookmarkEnd w:id="0"/>
      <w:r>
        <w:t>ST-CFCE-2016-189,</w:t>
      </w:r>
      <w:r w:rsidRPr="000A6F48">
        <w:t xml:space="preserve"> </w:t>
      </w:r>
      <w:r>
        <w:t>el ST</w:t>
      </w:r>
      <w:r w:rsidRPr="000A6F48">
        <w:t xml:space="preserve">COFECE proporcionó a la UCE </w:t>
      </w:r>
      <w:r>
        <w:t>información adicional sobre la Concentración que atendió parcialmente lo solicitado en el Antecedente Segundo.</w:t>
      </w:r>
    </w:p>
    <w:p w:rsidR="007F6C12" w:rsidRDefault="007F6C12" w:rsidP="0041709E">
      <w:pPr>
        <w:pStyle w:val="Prrafodelista"/>
        <w:ind w:left="0"/>
        <w:contextualSpacing w:val="0"/>
        <w:jc w:val="both"/>
      </w:pPr>
      <w:r>
        <w:t>En este escrito, el STCOFECE informó al Instituto: (i) haber aportado la información que obra dentro del Expediente</w:t>
      </w:r>
      <w:r w:rsidRPr="00D6791B">
        <w:t xml:space="preserve"> </w:t>
      </w:r>
      <w:r>
        <w:t xml:space="preserve">que se estima necesaria para el análisis de la Concentración, obtenida en ejercicio de las atribuciones de COFECE; (ii) que parte de la información solicitada por el Instituto </w:t>
      </w:r>
      <w:r w:rsidRPr="000A6F48">
        <w:t xml:space="preserve">no fue requerida a </w:t>
      </w:r>
      <w:r>
        <w:t xml:space="preserve">los Agentes Económicos notificantes y no obra en el Expediente porque, de conformidad con lo dispuesto en el artículo 90, fracción III, segundo párrafo de la </w:t>
      </w:r>
      <w:r w:rsidR="008B717C">
        <w:t>Ley Federal de Competencia Económica (LFCE)</w:t>
      </w:r>
      <w:r>
        <w:t xml:space="preserve">, la COFECE únicamente tiene facultades para “(…) </w:t>
      </w:r>
      <w:r w:rsidRPr="00C5202A">
        <w:rPr>
          <w:i/>
        </w:rPr>
        <w:t xml:space="preserve">requerir la información adicional que </w:t>
      </w:r>
      <w:r w:rsidRPr="00C5202A">
        <w:rPr>
          <w:i/>
        </w:rPr>
        <w:lastRenderedPageBreak/>
        <w:t>estime necesaria para el análisis de la concentración</w:t>
      </w:r>
      <w:r>
        <w:t xml:space="preserve"> (…)”; (iii) que la COFECE no solicitó a los Agentes Económicos notificantes parte de la información solicitada por el Instituto toda vez que el análisis de la operación se encuentra enfocado a la prestación de servicios de pagos móviles a instituciones bancarias, regulado por la Secretaría de Hacienda y Crédito Público y el Banco de México; y (iv) la COFECE no advierte facultad alguna que le permita requerir a los Agentes Económicos información adicional en los casos que diversa autoridad lo solicite para ejercer sus respectivas atribuciones.</w:t>
      </w:r>
    </w:p>
    <w:p w:rsidR="007C4DE9" w:rsidRDefault="00FC05CB" w:rsidP="0041709E">
      <w:pPr>
        <w:pStyle w:val="Prrafodelista"/>
        <w:ind w:left="0"/>
        <w:contextualSpacing w:val="0"/>
        <w:jc w:val="both"/>
      </w:pPr>
      <w:r>
        <w:t>En virtud de los citados Antecedentes, y</w:t>
      </w:r>
    </w:p>
    <w:p w:rsidR="003D0AD8" w:rsidRPr="0041709E" w:rsidRDefault="0041709E" w:rsidP="0041709E">
      <w:pPr>
        <w:pStyle w:val="Ttulo2"/>
        <w:keepNext/>
        <w:keepLines/>
        <w:spacing w:before="40" w:after="240"/>
        <w:jc w:val="center"/>
        <w:rPr>
          <w:rFonts w:eastAsiaTheme="majorEastAsia" w:cstheme="majorBidi"/>
          <w:color w:val="000000" w:themeColor="text1"/>
        </w:rPr>
      </w:pPr>
      <w:r>
        <w:rPr>
          <w:rFonts w:eastAsiaTheme="majorEastAsia" w:cstheme="majorBidi"/>
          <w:color w:val="000000" w:themeColor="text1"/>
        </w:rPr>
        <w:t xml:space="preserve">II. </w:t>
      </w:r>
      <w:r w:rsidR="00FC05CB" w:rsidRPr="0041709E">
        <w:rPr>
          <w:rFonts w:eastAsiaTheme="majorEastAsia" w:cstheme="majorBidi"/>
          <w:color w:val="000000" w:themeColor="text1"/>
        </w:rPr>
        <w:t>CONSIDERANDO</w:t>
      </w:r>
    </w:p>
    <w:p w:rsidR="007F6C12" w:rsidRDefault="00444937" w:rsidP="0041709E">
      <w:pPr>
        <w:numPr>
          <w:ilvl w:val="0"/>
          <w:numId w:val="24"/>
        </w:numPr>
      </w:pPr>
      <w:r>
        <w:t xml:space="preserve">El Instituto es la autoridad de competencia económica en los sectores de telecomunicaciones y de radiodifusión y en ellos ejercerá con exclusividad las facultades que la </w:t>
      </w:r>
      <w:r w:rsidR="008B717C">
        <w:t>Constitución Política de los Estados Unidos Mexicanos (CPEUM)</w:t>
      </w:r>
      <w:r>
        <w:t xml:space="preserve"> y las leyes otorgan a la COFECE, c</w:t>
      </w:r>
      <w:r w:rsidR="0021190C">
        <w:t>on fundamento en l</w:t>
      </w:r>
      <w:r w:rsidR="00E00010">
        <w:t>os artículos 28,</w:t>
      </w:r>
      <w:r w:rsidR="0041769D">
        <w:t xml:space="preserve"> párrafos décimo </w:t>
      </w:r>
      <w:r w:rsidR="00E24C18">
        <w:t xml:space="preserve">cuarto </w:t>
      </w:r>
      <w:r w:rsidR="0041769D">
        <w:t>y décimo sexto</w:t>
      </w:r>
      <w:r w:rsidR="00E00010">
        <w:t>,</w:t>
      </w:r>
      <w:r w:rsidR="0041769D">
        <w:t xml:space="preserve"> de la </w:t>
      </w:r>
      <w:r>
        <w:t>CPEUM</w:t>
      </w:r>
      <w:r w:rsidR="002B7CE4">
        <w:t>; 1</w:t>
      </w:r>
      <w:r w:rsidR="00E00010">
        <w:t xml:space="preserve">, 5 párrafo primero, </w:t>
      </w:r>
      <w:r w:rsidR="0041769D">
        <w:t>12 fracciones X y XXX, y 18 de</w:t>
      </w:r>
      <w:r w:rsidR="002B7CE4">
        <w:t xml:space="preserve"> la </w:t>
      </w:r>
      <w:r>
        <w:t>LFCE</w:t>
      </w:r>
      <w:r w:rsidR="0041769D">
        <w:t>; 7 de la Ley Federal de Telecomunicaciones y Radiodifusión</w:t>
      </w:r>
      <w:r>
        <w:t xml:space="preserve"> (LFTR)</w:t>
      </w:r>
      <w:r w:rsidR="0041769D">
        <w:t>; y l párrafos primero a cuarto, 2 fracción X, 4 fracción I, 6 fracción XXXVII, 7 y 8 del Estatuto Orgánico del Instituto Federal de Telecomunicaciones</w:t>
      </w:r>
      <w:r>
        <w:t xml:space="preserve">. </w:t>
      </w:r>
    </w:p>
    <w:p w:rsidR="007F6C12" w:rsidRPr="006A19ED" w:rsidRDefault="007F6C12" w:rsidP="0041709E">
      <w:pPr>
        <w:numPr>
          <w:ilvl w:val="0"/>
          <w:numId w:val="24"/>
        </w:numPr>
      </w:pPr>
      <w:r>
        <w:t xml:space="preserve">Que los Agentes Económicos notificaron una concentración ante la COFECE, sobre la cual </w:t>
      </w:r>
      <w:r w:rsidR="005A0EF1">
        <w:t>el ST</w:t>
      </w:r>
      <w:r>
        <w:t>COFECE solicitó una opinión a la UCE del Instituto.</w:t>
      </w:r>
    </w:p>
    <w:p w:rsidR="007F6C12" w:rsidRDefault="005A0EF1" w:rsidP="0041709E">
      <w:pPr>
        <w:rPr>
          <w:rFonts w:cs="Arial"/>
        </w:rPr>
      </w:pPr>
      <w:r w:rsidRPr="005A0EF1">
        <w:rPr>
          <w:rFonts w:cs="Arial"/>
          <w:b/>
        </w:rPr>
        <w:t>Tercero.-</w:t>
      </w:r>
      <w:r>
        <w:rPr>
          <w:rFonts w:cs="Arial"/>
        </w:rPr>
        <w:t xml:space="preserve"> </w:t>
      </w:r>
      <w:r w:rsidR="007F6C12" w:rsidRPr="005A0EF1">
        <w:rPr>
          <w:rFonts w:cs="Arial"/>
        </w:rPr>
        <w:t>Tanto las Disposiciones Regulatorias emitidas por el Instituto</w:t>
      </w:r>
      <w:r w:rsidR="007F6C12">
        <w:rPr>
          <w:rStyle w:val="Refdenotaalpie"/>
          <w:rFonts w:cs="Arial"/>
        </w:rPr>
        <w:footnoteReference w:id="4"/>
      </w:r>
      <w:r w:rsidR="007F6C12" w:rsidRPr="005A0EF1">
        <w:rPr>
          <w:rFonts w:cs="Arial"/>
        </w:rPr>
        <w:t xml:space="preserve"> como las emitidas por la COFECE</w:t>
      </w:r>
      <w:r w:rsidR="007F6C12">
        <w:rPr>
          <w:rStyle w:val="Refdenotaalpie"/>
          <w:rFonts w:cs="Arial"/>
        </w:rPr>
        <w:footnoteReference w:id="5"/>
      </w:r>
      <w:r w:rsidR="007F6C12" w:rsidRPr="005A0EF1">
        <w:rPr>
          <w:rFonts w:cs="Arial"/>
        </w:rPr>
        <w:t xml:space="preserve"> establecen que</w:t>
      </w:r>
      <w:r w:rsidR="00DC379E">
        <w:rPr>
          <w:rFonts w:cs="Arial"/>
        </w:rPr>
        <w:t>,</w:t>
      </w:r>
      <w:r w:rsidR="007F6C12" w:rsidRPr="005A0EF1">
        <w:rPr>
          <w:rFonts w:cs="Arial"/>
        </w:rPr>
        <w:t xml:space="preserve"> con independencia del procedimiento establecido en el artículo 5 de la LFCE, ambas autoridades pueden solicitarse opinión cuando exista duda respecto de la competencia para conocer de algún asunto.</w:t>
      </w:r>
    </w:p>
    <w:p w:rsidR="004F616B" w:rsidRDefault="004F616B" w:rsidP="0041709E">
      <w:pPr>
        <w:numPr>
          <w:ilvl w:val="0"/>
          <w:numId w:val="25"/>
        </w:numPr>
      </w:pPr>
      <w:r>
        <w:t>El Instituto requirió información a la COFECE respecto de la Concentración, la cual fue proporcionada parcialmente.</w:t>
      </w:r>
    </w:p>
    <w:p w:rsidR="007F6C12" w:rsidRDefault="004D0BD2" w:rsidP="0041709E">
      <w:pPr>
        <w:numPr>
          <w:ilvl w:val="0"/>
          <w:numId w:val="25"/>
        </w:numPr>
      </w:pPr>
      <w:r>
        <w:t xml:space="preserve">Tomando en consideración </w:t>
      </w:r>
      <w:r w:rsidR="00822384">
        <w:t>l</w:t>
      </w:r>
      <w:r w:rsidR="007F6C12">
        <w:t>os elementos aportados por el STCOFECE a la UCE</w:t>
      </w:r>
      <w:r w:rsidR="00822384">
        <w:t xml:space="preserve">, </w:t>
      </w:r>
      <w:r w:rsidR="005535F0">
        <w:t>no se identifica que el Instituto sea</w:t>
      </w:r>
      <w:r>
        <w:t xml:space="preserve"> la autoridad competente </w:t>
      </w:r>
      <w:r w:rsidR="00822384">
        <w:t>para conocer</w:t>
      </w:r>
      <w:r w:rsidR="005535F0">
        <w:t xml:space="preserve"> y resolver </w:t>
      </w:r>
      <w:r w:rsidR="00DC379E">
        <w:t xml:space="preserve">sobre el asunto de referencia </w:t>
      </w:r>
      <w:r w:rsidR="005535F0">
        <w:t>en términos de la LFCE</w:t>
      </w:r>
      <w:r w:rsidR="00822384">
        <w:t>.</w:t>
      </w:r>
    </w:p>
    <w:p w:rsidR="003E1897" w:rsidRDefault="00D76A31" w:rsidP="0041709E">
      <w:r w:rsidRPr="00D76A31">
        <w:t xml:space="preserve">Con base en los Antecedentes y Considerandos anteriores, </w:t>
      </w:r>
      <w:r>
        <w:t>e</w:t>
      </w:r>
      <w:r w:rsidR="003E1897">
        <w:t xml:space="preserve">l Pleno del Instituto emite el presente acuerdo con fundamento en lo dispuesto por los artículos 28, párrafos décimo </w:t>
      </w:r>
      <w:r w:rsidR="00D176C3">
        <w:t xml:space="preserve">cuarto </w:t>
      </w:r>
      <w:r w:rsidR="003E1897">
        <w:t xml:space="preserve">y décimo sexto de la Constitución Política de los Estados Unidos Mexicanos; 1, 5 párrafos primero y segundo, </w:t>
      </w:r>
      <w:r w:rsidR="00D176C3">
        <w:t xml:space="preserve">10 y </w:t>
      </w:r>
      <w:r w:rsidR="003E1897">
        <w:t>12, fracci</w:t>
      </w:r>
      <w:r w:rsidR="00D176C3">
        <w:t>ón XXX</w:t>
      </w:r>
      <w:r w:rsidR="003E1897">
        <w:t>, y 18 de la Ley Federal de Competencia Económica; 7 de la Ley Federal de Telecomunicacione</w:t>
      </w:r>
      <w:r w:rsidR="00D176C3">
        <w:t>s y Radiodifusión; y l, párrafo</w:t>
      </w:r>
      <w:r w:rsidR="003E1897">
        <w:t xml:space="preserve"> </w:t>
      </w:r>
      <w:r w:rsidR="00D176C3">
        <w:lastRenderedPageBreak/>
        <w:t>tercero</w:t>
      </w:r>
      <w:r w:rsidR="003E1897">
        <w:t xml:space="preserve">, 2; fracción X, 4, fracción I, </w:t>
      </w:r>
      <w:r w:rsidR="00701494">
        <w:t xml:space="preserve">y </w:t>
      </w:r>
      <w:r w:rsidR="003E1897">
        <w:t>6, fracción XXXV</w:t>
      </w:r>
      <w:r w:rsidR="00D176C3">
        <w:t>I</w:t>
      </w:r>
      <w:r w:rsidR="00701494">
        <w:t>II</w:t>
      </w:r>
      <w:r w:rsidR="003E1897">
        <w:t xml:space="preserve"> del Estatuto Orgánico del Instituto Federal de Telecomunicaciones.</w:t>
      </w:r>
    </w:p>
    <w:p w:rsidR="00FC05CB" w:rsidRPr="0041709E" w:rsidRDefault="0041709E" w:rsidP="0041709E">
      <w:pPr>
        <w:pStyle w:val="Ttulo2"/>
        <w:keepNext/>
        <w:keepLines/>
        <w:spacing w:before="40" w:after="240"/>
        <w:jc w:val="center"/>
        <w:rPr>
          <w:rFonts w:eastAsiaTheme="majorEastAsia" w:cstheme="majorBidi"/>
          <w:color w:val="000000" w:themeColor="text1"/>
        </w:rPr>
      </w:pPr>
      <w:r>
        <w:rPr>
          <w:rFonts w:eastAsiaTheme="majorEastAsia" w:cstheme="majorBidi"/>
          <w:color w:val="000000" w:themeColor="text1"/>
        </w:rPr>
        <w:t xml:space="preserve">III. </w:t>
      </w:r>
      <w:r w:rsidRPr="0041709E">
        <w:rPr>
          <w:rFonts w:eastAsiaTheme="majorEastAsia" w:cstheme="majorBidi"/>
          <w:color w:val="000000" w:themeColor="text1"/>
        </w:rPr>
        <w:t>ACUERDO</w:t>
      </w:r>
    </w:p>
    <w:p w:rsidR="00822384" w:rsidRDefault="00647C8B" w:rsidP="0041709E">
      <w:pPr>
        <w:numPr>
          <w:ilvl w:val="0"/>
          <w:numId w:val="6"/>
        </w:numPr>
        <w:ind w:left="0" w:firstLine="0"/>
      </w:pPr>
      <w:r>
        <w:t>El</w:t>
      </w:r>
      <w:r w:rsidR="003D0AD8">
        <w:t xml:space="preserve"> Instituto Federal de Telecomunicaci</w:t>
      </w:r>
      <w:r>
        <w:t xml:space="preserve">ones </w:t>
      </w:r>
      <w:r w:rsidR="00822384">
        <w:t xml:space="preserve">no </w:t>
      </w:r>
      <w:r>
        <w:t>es la autoridad competente</w:t>
      </w:r>
      <w:r w:rsidR="000E43F5">
        <w:t>,</w:t>
      </w:r>
      <w:r>
        <w:t xml:space="preserve"> </w:t>
      </w:r>
      <w:r w:rsidR="00701494">
        <w:t>en términos de la Ley Federal de Competencia Económica</w:t>
      </w:r>
      <w:r w:rsidR="000E43F5">
        <w:t>,</w:t>
      </w:r>
      <w:r w:rsidR="00701494">
        <w:t xml:space="preserve"> </w:t>
      </w:r>
      <w:r>
        <w:t xml:space="preserve">para conocer y resolver </w:t>
      </w:r>
      <w:r w:rsidR="00822384">
        <w:t>sobre</w:t>
      </w:r>
      <w:r w:rsidR="00100BCE">
        <w:t xml:space="preserve"> la </w:t>
      </w:r>
      <w:r>
        <w:t>concentración</w:t>
      </w:r>
      <w:r w:rsidR="000E43F5">
        <w:t xml:space="preserve"> materia del expediente</w:t>
      </w:r>
      <w:r>
        <w:t xml:space="preserve"> </w:t>
      </w:r>
      <w:r w:rsidR="00822384">
        <w:t>radicad</w:t>
      </w:r>
      <w:r w:rsidR="000E43F5">
        <w:t>o</w:t>
      </w:r>
      <w:r w:rsidR="00822384">
        <w:t xml:space="preserve"> </w:t>
      </w:r>
      <w:r w:rsidR="000E43F5">
        <w:t xml:space="preserve">con </w:t>
      </w:r>
      <w:r w:rsidR="00822384">
        <w:t xml:space="preserve">el </w:t>
      </w:r>
      <w:r w:rsidR="000E43F5">
        <w:t xml:space="preserve">número </w:t>
      </w:r>
      <w:r w:rsidR="00822384">
        <w:rPr>
          <w:bCs/>
          <w:color w:val="000000"/>
        </w:rPr>
        <w:t xml:space="preserve">CNT-060-2016 del índice de </w:t>
      </w:r>
      <w:r w:rsidR="00701494">
        <w:rPr>
          <w:bCs/>
          <w:color w:val="000000"/>
        </w:rPr>
        <w:t>la</w:t>
      </w:r>
      <w:r w:rsidR="00822384">
        <w:rPr>
          <w:bCs/>
          <w:color w:val="000000"/>
        </w:rPr>
        <w:t xml:space="preserve"> Comisión Federal de Competencia Económica.</w:t>
      </w:r>
    </w:p>
    <w:p w:rsidR="0041709E" w:rsidRDefault="00100BCE" w:rsidP="0041709E">
      <w:pPr>
        <w:numPr>
          <w:ilvl w:val="0"/>
          <w:numId w:val="6"/>
        </w:numPr>
        <w:ind w:left="0" w:firstLine="0"/>
      </w:pPr>
      <w:r w:rsidRPr="00822384">
        <w:rPr>
          <w:bCs/>
          <w:color w:val="000000"/>
        </w:rPr>
        <w:t>Se instruye a la Unidad de Competencia Económica que comunique formalmente mediante oficio a la Comisión Federal de Competencia Económica este acuerdo emitido por el Pleno del Instituto Federal de Telecomunicaciones</w:t>
      </w:r>
      <w:r w:rsidR="00822384">
        <w:rPr>
          <w:bCs/>
          <w:color w:val="000000"/>
        </w:rPr>
        <w:t>.</w:t>
      </w:r>
    </w:p>
    <w:p w:rsidR="00637472" w:rsidRPr="00E910E8" w:rsidRDefault="00637472" w:rsidP="0041709E">
      <w:pPr>
        <w:pStyle w:val="Prrafodelista"/>
        <w:spacing w:line="240" w:lineRule="auto"/>
        <w:ind w:left="0"/>
        <w:jc w:val="both"/>
        <w:rPr>
          <w:sz w:val="14"/>
          <w:szCs w:val="14"/>
          <w:lang w:val="es-ES_tradnl"/>
        </w:rPr>
      </w:pPr>
      <w:r w:rsidRPr="00E910E8">
        <w:rPr>
          <w:sz w:val="14"/>
          <w:szCs w:val="14"/>
        </w:rPr>
        <w:t xml:space="preserve">El presente Acuerdo fue aprobado por el Pleno del Instituto Federal de Telecomunicaciones en su III Sesión Ordinaria celebrada el 25 de enero de 2017, </w:t>
      </w:r>
      <w:r w:rsidRPr="00E910E8">
        <w:rPr>
          <w:bCs/>
          <w:sz w:val="14"/>
          <w:szCs w:val="14"/>
          <w:lang w:val="es-ES_tradnl"/>
        </w:rPr>
        <w:t>por</w:t>
      </w:r>
      <w:r w:rsidRPr="00E910E8">
        <w:rPr>
          <w:sz w:val="14"/>
          <w:szCs w:val="14"/>
          <w:lang w:val="es-ES_tradnl"/>
        </w:rPr>
        <w:t xml:space="preserve"> </w:t>
      </w:r>
      <w:r w:rsidRPr="00E910E8">
        <w:rPr>
          <w:bCs/>
          <w:sz w:val="14"/>
          <w:szCs w:val="14"/>
          <w:lang w:val="es-ES_tradnl"/>
        </w:rPr>
        <w:t>unanimidad</w:t>
      </w:r>
      <w:r w:rsidRPr="00E910E8">
        <w:rPr>
          <w:sz w:val="14"/>
          <w:szCs w:val="14"/>
          <w:lang w:val="es-ES_tradnl"/>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5 y 18 de la Ley Federal de Competencia Económica; así como en los artículos 1, 7, 8 y 12 del Estatuto Orgánico del Instituto Federal de Telecomunicaciones, me</w:t>
      </w:r>
      <w:r w:rsidR="0041709E">
        <w:rPr>
          <w:sz w:val="14"/>
          <w:szCs w:val="14"/>
          <w:lang w:val="es-ES_tradnl"/>
        </w:rPr>
        <w:t>diante Acuerdo P/IFT/250117/54.</w:t>
      </w:r>
    </w:p>
    <w:p w:rsidR="00194F82" w:rsidRPr="00E910E8" w:rsidRDefault="00194F82" w:rsidP="0041709E">
      <w:pPr>
        <w:pStyle w:val="Prrafodelista"/>
        <w:spacing w:line="240" w:lineRule="auto"/>
        <w:ind w:left="0"/>
        <w:jc w:val="both"/>
        <w:rPr>
          <w:sz w:val="14"/>
          <w:szCs w:val="14"/>
          <w:lang w:val="es-ES_tradnl"/>
        </w:rPr>
      </w:pPr>
      <w:r w:rsidRPr="00E910E8">
        <w:rPr>
          <w:sz w:val="14"/>
          <w:szCs w:val="14"/>
          <w:lang w:val="es-ES_tradnl"/>
        </w:rPr>
        <w:t>Las Comisionadas Adriana Sofía Labardini Inzunza y María Elena Estavillo Flores manifestaron voto concurrente toda vez que coinciden en no reclamar competencia pero en razón de la aplicación del principio de no división de la continencia de la causa.</w:t>
      </w:r>
    </w:p>
    <w:sectPr w:rsidR="00194F82" w:rsidRPr="00E910E8" w:rsidSect="004D0835">
      <w:headerReference w:type="default" r:id="rId8"/>
      <w:footerReference w:type="default" r:id="rId9"/>
      <w:pgSz w:w="12240" w:h="15840"/>
      <w:pgMar w:top="181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2FE" w:rsidRDefault="001C22FE" w:rsidP="00132798">
      <w:pPr>
        <w:spacing w:before="0" w:after="0" w:line="240" w:lineRule="auto"/>
      </w:pPr>
      <w:r>
        <w:separator/>
      </w:r>
    </w:p>
  </w:endnote>
  <w:endnote w:type="continuationSeparator" w:id="0">
    <w:p w:rsidR="001C22FE" w:rsidRDefault="001C22FE" w:rsidP="001327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229442"/>
      <w:docPartObj>
        <w:docPartGallery w:val="Page Numbers (Bottom of Page)"/>
        <w:docPartUnique/>
      </w:docPartObj>
    </w:sdtPr>
    <w:sdtEndPr>
      <w:rPr>
        <w:sz w:val="20"/>
        <w:szCs w:val="20"/>
      </w:rPr>
    </w:sdtEndPr>
    <w:sdtContent>
      <w:p w:rsidR="00E00010" w:rsidRPr="0041709E" w:rsidRDefault="00910FC5" w:rsidP="0041709E">
        <w:pPr>
          <w:pStyle w:val="Piedepgina"/>
          <w:jc w:val="right"/>
          <w:rPr>
            <w:sz w:val="20"/>
            <w:szCs w:val="20"/>
          </w:rPr>
        </w:pPr>
        <w:r w:rsidRPr="00910FC5">
          <w:rPr>
            <w:sz w:val="20"/>
            <w:szCs w:val="20"/>
          </w:rPr>
          <w:fldChar w:fldCharType="begin"/>
        </w:r>
        <w:r w:rsidRPr="00910FC5">
          <w:rPr>
            <w:sz w:val="20"/>
            <w:szCs w:val="20"/>
          </w:rPr>
          <w:instrText>PAGE   \* MERGEFORMAT</w:instrText>
        </w:r>
        <w:r w:rsidRPr="00910FC5">
          <w:rPr>
            <w:sz w:val="20"/>
            <w:szCs w:val="20"/>
          </w:rPr>
          <w:fldChar w:fldCharType="separate"/>
        </w:r>
        <w:r w:rsidR="002D0BE7" w:rsidRPr="002D0BE7">
          <w:rPr>
            <w:noProof/>
            <w:sz w:val="20"/>
            <w:szCs w:val="20"/>
            <w:lang w:val="es-ES"/>
          </w:rPr>
          <w:t>2</w:t>
        </w:r>
        <w:r w:rsidRPr="00910FC5">
          <w:rPr>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2FE" w:rsidRDefault="001C22FE" w:rsidP="00132798">
      <w:pPr>
        <w:spacing w:before="0" w:after="0" w:line="240" w:lineRule="auto"/>
      </w:pPr>
      <w:r>
        <w:separator/>
      </w:r>
    </w:p>
  </w:footnote>
  <w:footnote w:type="continuationSeparator" w:id="0">
    <w:p w:rsidR="001C22FE" w:rsidRDefault="001C22FE" w:rsidP="00132798">
      <w:pPr>
        <w:spacing w:before="0" w:after="0" w:line="240" w:lineRule="auto"/>
      </w:pPr>
      <w:r>
        <w:continuationSeparator/>
      </w:r>
    </w:p>
  </w:footnote>
  <w:footnote w:id="1">
    <w:p w:rsidR="008B717C" w:rsidRPr="008B717C" w:rsidRDefault="008B717C">
      <w:pPr>
        <w:pStyle w:val="Textonotapie"/>
        <w:rPr>
          <w:sz w:val="16"/>
          <w:szCs w:val="16"/>
        </w:rPr>
      </w:pPr>
      <w:r w:rsidRPr="008B717C">
        <w:rPr>
          <w:rStyle w:val="Refdenotaalpie"/>
          <w:sz w:val="16"/>
          <w:szCs w:val="16"/>
        </w:rPr>
        <w:footnoteRef/>
      </w:r>
      <w:r w:rsidRPr="008B717C">
        <w:rPr>
          <w:sz w:val="16"/>
          <w:szCs w:val="16"/>
        </w:rPr>
        <w:t xml:space="preserve"> Emitido con fundamento en los artículos 28, párrafos décimo cuarto y vigésimo, de la Constitución Política de los Estados Unidos Mexicanos; artículos 1, 2, 4 y 12, fracción XXX, de la Ley Federal de Competencia Económica (LFCE); 1, 2, 30, 163, fracción II, 165, 175 y 200 de sus Disposiciones Regulatorias de la LFCE; 1, 2, fracción VIII, 4, fracción IV, 18, 20, fracciones V, XIII, XXI, XXXIII y LVI, ésta última en relación con los artículos 24, fracción VIII de su Estatuto Orgánico.</w:t>
      </w:r>
    </w:p>
  </w:footnote>
  <w:footnote w:id="2">
    <w:p w:rsidR="007F6C12" w:rsidRPr="008B717C" w:rsidRDefault="007F6C12" w:rsidP="007F6C12">
      <w:pPr>
        <w:pStyle w:val="Textonotapie"/>
        <w:rPr>
          <w:sz w:val="16"/>
          <w:szCs w:val="16"/>
        </w:rPr>
      </w:pPr>
      <w:r w:rsidRPr="008B717C">
        <w:rPr>
          <w:rStyle w:val="Refdenotaalpie"/>
          <w:sz w:val="16"/>
          <w:szCs w:val="16"/>
        </w:rPr>
        <w:footnoteRef/>
      </w:r>
      <w:r w:rsidRPr="008B717C">
        <w:rPr>
          <w:sz w:val="16"/>
          <w:szCs w:val="16"/>
        </w:rPr>
        <w:t xml:space="preserve"> Notificada ante la COFECE por Banco Nacional de México, S.A., integrante del Grupo Financiero Banamex (Banamex); Banco Inbursa, S.A., Institución de Banca Múltiple, Grupo Financiero Inbursa (Inbursa); </w:t>
      </w:r>
      <w:proofErr w:type="spellStart"/>
      <w:r w:rsidRPr="008B717C">
        <w:rPr>
          <w:sz w:val="16"/>
          <w:szCs w:val="16"/>
        </w:rPr>
        <w:t>Sercotel</w:t>
      </w:r>
      <w:proofErr w:type="spellEnd"/>
      <w:r w:rsidRPr="008B717C">
        <w:rPr>
          <w:sz w:val="16"/>
          <w:szCs w:val="16"/>
        </w:rPr>
        <w:t>, S.A. de C.V. (</w:t>
      </w:r>
      <w:proofErr w:type="spellStart"/>
      <w:r w:rsidRPr="008B717C">
        <w:rPr>
          <w:sz w:val="16"/>
          <w:szCs w:val="16"/>
        </w:rPr>
        <w:t>Sercotel</w:t>
      </w:r>
      <w:proofErr w:type="spellEnd"/>
      <w:r w:rsidRPr="008B717C">
        <w:rPr>
          <w:sz w:val="16"/>
          <w:szCs w:val="16"/>
        </w:rPr>
        <w:t>) y Procesadora de Pagos Móviles, S.A. de C.V. (Pagos Móviles, en conjunto con Ba</w:t>
      </w:r>
      <w:r w:rsidR="005A0EF1" w:rsidRPr="008B717C">
        <w:rPr>
          <w:sz w:val="16"/>
          <w:szCs w:val="16"/>
        </w:rPr>
        <w:t xml:space="preserve">namex, Inbursa y </w:t>
      </w:r>
      <w:proofErr w:type="spellStart"/>
      <w:r w:rsidR="005A0EF1" w:rsidRPr="008B717C">
        <w:rPr>
          <w:sz w:val="16"/>
          <w:szCs w:val="16"/>
        </w:rPr>
        <w:t>Sercotel</w:t>
      </w:r>
      <w:proofErr w:type="spellEnd"/>
      <w:r w:rsidR="005A0EF1" w:rsidRPr="008B717C">
        <w:rPr>
          <w:sz w:val="16"/>
          <w:szCs w:val="16"/>
        </w:rPr>
        <w:t>, los Agentes Económicos</w:t>
      </w:r>
      <w:r w:rsidRPr="008B717C">
        <w:rPr>
          <w:sz w:val="16"/>
          <w:szCs w:val="16"/>
        </w:rPr>
        <w:t>).</w:t>
      </w:r>
    </w:p>
  </w:footnote>
  <w:footnote w:id="3">
    <w:p w:rsidR="008B717C" w:rsidRPr="008B717C" w:rsidRDefault="008B717C">
      <w:pPr>
        <w:pStyle w:val="Textonotapie"/>
        <w:rPr>
          <w:sz w:val="16"/>
          <w:szCs w:val="16"/>
        </w:rPr>
      </w:pPr>
      <w:r w:rsidRPr="008B717C">
        <w:rPr>
          <w:rStyle w:val="Refdenotaalpie"/>
          <w:sz w:val="16"/>
          <w:szCs w:val="16"/>
        </w:rPr>
        <w:footnoteRef/>
      </w:r>
      <w:r w:rsidRPr="008B717C">
        <w:rPr>
          <w:sz w:val="16"/>
          <w:szCs w:val="16"/>
        </w:rPr>
        <w:t xml:space="preserve"> </w:t>
      </w:r>
      <w:proofErr w:type="spellStart"/>
      <w:r w:rsidRPr="008B717C">
        <w:rPr>
          <w:sz w:val="16"/>
          <w:szCs w:val="16"/>
        </w:rPr>
        <w:t>Idem</w:t>
      </w:r>
      <w:proofErr w:type="spellEnd"/>
      <w:r w:rsidRPr="008B717C">
        <w:rPr>
          <w:sz w:val="16"/>
          <w:szCs w:val="16"/>
        </w:rPr>
        <w:t xml:space="preserve"> a nota de pie de página 2. </w:t>
      </w:r>
    </w:p>
  </w:footnote>
  <w:footnote w:id="4">
    <w:p w:rsidR="007F6C12" w:rsidRPr="008B717C" w:rsidRDefault="007F6C12" w:rsidP="007F6C12">
      <w:pPr>
        <w:pStyle w:val="Textonotapie"/>
        <w:rPr>
          <w:sz w:val="16"/>
          <w:szCs w:val="16"/>
        </w:rPr>
      </w:pPr>
      <w:r w:rsidRPr="008B717C">
        <w:rPr>
          <w:rStyle w:val="Refdenotaalpie"/>
          <w:sz w:val="16"/>
          <w:szCs w:val="16"/>
        </w:rPr>
        <w:footnoteRef/>
      </w:r>
      <w:r w:rsidRPr="008B717C">
        <w:rPr>
          <w:sz w:val="16"/>
          <w:szCs w:val="16"/>
        </w:rPr>
        <w:t xml:space="preserve"> Artículo 198 de las </w:t>
      </w:r>
      <w:r w:rsidRPr="008B717C">
        <w:rPr>
          <w:rFonts w:cs="Arial"/>
          <w:sz w:val="16"/>
          <w:szCs w:val="16"/>
        </w:rPr>
        <w:t xml:space="preserve">Disposiciones Regulatorias de la Ley Federal de Competencia Económica para los sectores de telecomunicaciones y radiodifusión, emitidas por el Pleno del Instituto Federal de Telecomunicaciones y publicadas en el DOF el 12 de enero de 2015. </w:t>
      </w:r>
    </w:p>
  </w:footnote>
  <w:footnote w:id="5">
    <w:p w:rsidR="007F6C12" w:rsidRPr="008B717C" w:rsidRDefault="007F6C12" w:rsidP="007F6C12">
      <w:pPr>
        <w:pStyle w:val="Textonotapie"/>
        <w:rPr>
          <w:sz w:val="16"/>
          <w:szCs w:val="16"/>
        </w:rPr>
      </w:pPr>
      <w:r w:rsidRPr="008B717C">
        <w:rPr>
          <w:rStyle w:val="Refdenotaalpie"/>
          <w:sz w:val="16"/>
          <w:szCs w:val="16"/>
        </w:rPr>
        <w:footnoteRef/>
      </w:r>
      <w:r w:rsidRPr="008B717C">
        <w:rPr>
          <w:sz w:val="16"/>
          <w:szCs w:val="16"/>
        </w:rPr>
        <w:t xml:space="preserve"> Artículo 200 de las </w:t>
      </w:r>
      <w:r w:rsidRPr="008B717C">
        <w:rPr>
          <w:rFonts w:cs="Arial"/>
          <w:sz w:val="16"/>
          <w:szCs w:val="16"/>
        </w:rPr>
        <w:t>Disposiciones Regulatorias de la Ley Federal de Competencia Económica, emitidas por el Pleno de la Comisión Federal de Competencia Económica y publicadas en el DOF el 10 de noviembre de 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10" w:rsidRDefault="00E00010" w:rsidP="00132798">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33E9F"/>
    <w:multiLevelType w:val="hybridMultilevel"/>
    <w:tmpl w:val="5E0ED210"/>
    <w:lvl w:ilvl="0" w:tplc="A9187112">
      <w:start w:val="1"/>
      <w:numFmt w:val="bullet"/>
      <w:lvlText w:val="-"/>
      <w:lvlJc w:val="left"/>
      <w:pPr>
        <w:ind w:left="720" w:hanging="360"/>
      </w:pPr>
      <w:rPr>
        <w:rFonts w:ascii="ITC Avant Garde" w:eastAsiaTheme="minorHAnsi" w:hAnsi="ITC Avant Garde"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575220"/>
    <w:multiLevelType w:val="hybridMultilevel"/>
    <w:tmpl w:val="A70CE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0D5172"/>
    <w:multiLevelType w:val="hybridMultilevel"/>
    <w:tmpl w:val="A1BAFB74"/>
    <w:lvl w:ilvl="0" w:tplc="A9187112">
      <w:start w:val="1"/>
      <w:numFmt w:val="bullet"/>
      <w:lvlText w:val="-"/>
      <w:lvlJc w:val="left"/>
      <w:pPr>
        <w:ind w:left="360" w:hanging="360"/>
      </w:pPr>
      <w:rPr>
        <w:rFonts w:ascii="ITC Avant Garde" w:eastAsiaTheme="minorHAnsi" w:hAnsi="ITC Avant Garde" w:cstheme="minorBid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5C30E54"/>
    <w:multiLevelType w:val="hybridMultilevel"/>
    <w:tmpl w:val="0C0EB6B2"/>
    <w:lvl w:ilvl="0" w:tplc="9EB63CF8">
      <w:start w:val="2"/>
      <w:numFmt w:val="bullet"/>
      <w:lvlText w:val=""/>
      <w:lvlJc w:val="left"/>
      <w:pPr>
        <w:ind w:left="360" w:hanging="360"/>
      </w:pPr>
      <w:rPr>
        <w:rFonts w:ascii="Symbol" w:eastAsiaTheme="minorHAnsi" w:hAnsi="Symbol" w:cstheme="minorBid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165325A3"/>
    <w:multiLevelType w:val="hybridMultilevel"/>
    <w:tmpl w:val="385C9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3D4031"/>
    <w:multiLevelType w:val="hybridMultilevel"/>
    <w:tmpl w:val="E792518A"/>
    <w:lvl w:ilvl="0" w:tplc="080A0017">
      <w:start w:val="1"/>
      <w:numFmt w:val="lowerLetter"/>
      <w:lvlText w:val="%1)"/>
      <w:lvlJc w:val="left"/>
      <w:pPr>
        <w:ind w:left="6" w:hanging="360"/>
      </w:pPr>
    </w:lvl>
    <w:lvl w:ilvl="1" w:tplc="080A0019">
      <w:start w:val="1"/>
      <w:numFmt w:val="lowerLetter"/>
      <w:lvlText w:val="%2."/>
      <w:lvlJc w:val="left"/>
      <w:pPr>
        <w:ind w:left="726" w:hanging="360"/>
      </w:pPr>
    </w:lvl>
    <w:lvl w:ilvl="2" w:tplc="080A001B">
      <w:start w:val="1"/>
      <w:numFmt w:val="lowerRoman"/>
      <w:lvlText w:val="%3."/>
      <w:lvlJc w:val="right"/>
      <w:pPr>
        <w:ind w:left="1446" w:hanging="180"/>
      </w:pPr>
    </w:lvl>
    <w:lvl w:ilvl="3" w:tplc="080A000F">
      <w:start w:val="1"/>
      <w:numFmt w:val="decimal"/>
      <w:lvlText w:val="%4."/>
      <w:lvlJc w:val="left"/>
      <w:pPr>
        <w:ind w:left="2166" w:hanging="360"/>
      </w:pPr>
    </w:lvl>
    <w:lvl w:ilvl="4" w:tplc="080A0019">
      <w:start w:val="1"/>
      <w:numFmt w:val="lowerLetter"/>
      <w:lvlText w:val="%5."/>
      <w:lvlJc w:val="left"/>
      <w:pPr>
        <w:ind w:left="2886" w:hanging="360"/>
      </w:pPr>
    </w:lvl>
    <w:lvl w:ilvl="5" w:tplc="080A001B">
      <w:start w:val="1"/>
      <w:numFmt w:val="lowerRoman"/>
      <w:lvlText w:val="%6."/>
      <w:lvlJc w:val="right"/>
      <w:pPr>
        <w:ind w:left="3606" w:hanging="180"/>
      </w:pPr>
    </w:lvl>
    <w:lvl w:ilvl="6" w:tplc="080A000F">
      <w:start w:val="1"/>
      <w:numFmt w:val="decimal"/>
      <w:lvlText w:val="%7."/>
      <w:lvlJc w:val="left"/>
      <w:pPr>
        <w:ind w:left="4326" w:hanging="360"/>
      </w:pPr>
    </w:lvl>
    <w:lvl w:ilvl="7" w:tplc="080A0019">
      <w:start w:val="1"/>
      <w:numFmt w:val="lowerLetter"/>
      <w:lvlText w:val="%8."/>
      <w:lvlJc w:val="left"/>
      <w:pPr>
        <w:ind w:left="5046" w:hanging="360"/>
      </w:pPr>
    </w:lvl>
    <w:lvl w:ilvl="8" w:tplc="080A001B">
      <w:start w:val="1"/>
      <w:numFmt w:val="lowerRoman"/>
      <w:lvlText w:val="%9."/>
      <w:lvlJc w:val="right"/>
      <w:pPr>
        <w:ind w:left="5766" w:hanging="180"/>
      </w:pPr>
    </w:lvl>
  </w:abstractNum>
  <w:abstractNum w:abstractNumId="6" w15:restartNumberingAfterBreak="0">
    <w:nsid w:val="1F17614B"/>
    <w:multiLevelType w:val="hybridMultilevel"/>
    <w:tmpl w:val="A9C2E5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F02F34"/>
    <w:multiLevelType w:val="multilevel"/>
    <w:tmpl w:val="8C18EC06"/>
    <w:lvl w:ilvl="0">
      <w:start w:val="1"/>
      <w:numFmt w:val="upperRoman"/>
      <w:lvlText w:val="%1."/>
      <w:lvlJc w:val="left"/>
      <w:pPr>
        <w:ind w:left="1004" w:hanging="360"/>
      </w:pPr>
      <w:rPr>
        <w:rFonts w:ascii="ITC Avant Garde" w:hAnsi="ITC Avant Garde" w:hint="default"/>
        <w:b/>
        <w:i w:val="0"/>
        <w:sz w:val="22"/>
      </w:rPr>
    </w:lvl>
    <w:lvl w:ilvl="1">
      <w:start w:val="1"/>
      <w:numFmt w:val="decimal"/>
      <w:isLgl/>
      <w:lvlText w:val="%1.%2."/>
      <w:lvlJc w:val="left"/>
      <w:pPr>
        <w:ind w:left="1034" w:hanging="390"/>
      </w:pPr>
      <w:rPr>
        <w:rFonts w:hint="default"/>
        <w:b/>
        <w:i w:val="0"/>
      </w:rPr>
    </w:lvl>
    <w:lvl w:ilvl="2">
      <w:start w:val="1"/>
      <w:numFmt w:val="decimal"/>
      <w:isLgl/>
      <w:lvlText w:val="%1.%2.%3."/>
      <w:lvlJc w:val="left"/>
      <w:pPr>
        <w:ind w:left="1364" w:hanging="720"/>
      </w:pPr>
      <w:rPr>
        <w:rFonts w:hint="default"/>
        <w:b/>
        <w:i/>
      </w:rPr>
    </w:lvl>
    <w:lvl w:ilvl="3">
      <w:start w:val="1"/>
      <w:numFmt w:val="decimal"/>
      <w:isLgl/>
      <w:lvlText w:val="%1.%2.%3.%4."/>
      <w:lvlJc w:val="left"/>
      <w:pPr>
        <w:ind w:left="1364" w:hanging="720"/>
      </w:pPr>
      <w:rPr>
        <w:rFonts w:hint="default"/>
        <w:b/>
        <w:i/>
      </w:rPr>
    </w:lvl>
    <w:lvl w:ilvl="4">
      <w:start w:val="1"/>
      <w:numFmt w:val="decimal"/>
      <w:isLgl/>
      <w:lvlText w:val="%1.%2.%3.%4.%5."/>
      <w:lvlJc w:val="left"/>
      <w:pPr>
        <w:ind w:left="1724" w:hanging="1080"/>
      </w:pPr>
      <w:rPr>
        <w:rFonts w:hint="default"/>
        <w:b/>
        <w:i/>
      </w:rPr>
    </w:lvl>
    <w:lvl w:ilvl="5">
      <w:start w:val="1"/>
      <w:numFmt w:val="decimal"/>
      <w:isLgl/>
      <w:lvlText w:val="%1.%2.%3.%4.%5.%6."/>
      <w:lvlJc w:val="left"/>
      <w:pPr>
        <w:ind w:left="1724" w:hanging="1080"/>
      </w:pPr>
      <w:rPr>
        <w:rFonts w:hint="default"/>
        <w:b/>
        <w:i/>
      </w:rPr>
    </w:lvl>
    <w:lvl w:ilvl="6">
      <w:start w:val="1"/>
      <w:numFmt w:val="decimal"/>
      <w:isLgl/>
      <w:lvlText w:val="%1.%2.%3.%4.%5.%6.%7."/>
      <w:lvlJc w:val="left"/>
      <w:pPr>
        <w:ind w:left="2084" w:hanging="1440"/>
      </w:pPr>
      <w:rPr>
        <w:rFonts w:hint="default"/>
        <w:b/>
        <w:i/>
      </w:rPr>
    </w:lvl>
    <w:lvl w:ilvl="7">
      <w:start w:val="1"/>
      <w:numFmt w:val="decimal"/>
      <w:isLgl/>
      <w:lvlText w:val="%1.%2.%3.%4.%5.%6.%7.%8."/>
      <w:lvlJc w:val="left"/>
      <w:pPr>
        <w:ind w:left="2084" w:hanging="1440"/>
      </w:pPr>
      <w:rPr>
        <w:rFonts w:hint="default"/>
        <w:b/>
        <w:i/>
      </w:rPr>
    </w:lvl>
    <w:lvl w:ilvl="8">
      <w:start w:val="1"/>
      <w:numFmt w:val="decimal"/>
      <w:isLgl/>
      <w:lvlText w:val="%1.%2.%3.%4.%5.%6.%7.%8.%9."/>
      <w:lvlJc w:val="left"/>
      <w:pPr>
        <w:ind w:left="2444" w:hanging="1800"/>
      </w:pPr>
      <w:rPr>
        <w:rFonts w:hint="default"/>
        <w:b/>
        <w:i/>
      </w:rPr>
    </w:lvl>
  </w:abstractNum>
  <w:abstractNum w:abstractNumId="8" w15:restartNumberingAfterBreak="0">
    <w:nsid w:val="28046591"/>
    <w:multiLevelType w:val="hybridMultilevel"/>
    <w:tmpl w:val="4BC06BEA"/>
    <w:lvl w:ilvl="0" w:tplc="4BE8909A">
      <w:start w:val="1"/>
      <w:numFmt w:val="ordinalText"/>
      <w:suff w:val="space"/>
      <w:lvlText w:val="%1.-"/>
      <w:lvlJc w:val="left"/>
      <w:pPr>
        <w:ind w:left="360" w:hanging="360"/>
      </w:pPr>
      <w:rPr>
        <w:rFonts w:ascii="ITC Avant Garde" w:hAnsi="ITC Avant Garde" w:hint="default"/>
        <w:b/>
        <w:i w:val="0"/>
        <w:sz w:val="22"/>
      </w:rPr>
    </w:lvl>
    <w:lvl w:ilvl="1" w:tplc="080A0019" w:tentative="1">
      <w:start w:val="1"/>
      <w:numFmt w:val="lowerLetter"/>
      <w:lvlText w:val="%2."/>
      <w:lvlJc w:val="left"/>
      <w:pPr>
        <w:ind w:left="-4950" w:hanging="360"/>
      </w:pPr>
    </w:lvl>
    <w:lvl w:ilvl="2" w:tplc="080A001B" w:tentative="1">
      <w:start w:val="1"/>
      <w:numFmt w:val="lowerRoman"/>
      <w:lvlText w:val="%3."/>
      <w:lvlJc w:val="right"/>
      <w:pPr>
        <w:ind w:left="-4230" w:hanging="180"/>
      </w:pPr>
    </w:lvl>
    <w:lvl w:ilvl="3" w:tplc="080A000F" w:tentative="1">
      <w:start w:val="1"/>
      <w:numFmt w:val="decimal"/>
      <w:lvlText w:val="%4."/>
      <w:lvlJc w:val="left"/>
      <w:pPr>
        <w:ind w:left="-3510" w:hanging="360"/>
      </w:pPr>
    </w:lvl>
    <w:lvl w:ilvl="4" w:tplc="080A0019" w:tentative="1">
      <w:start w:val="1"/>
      <w:numFmt w:val="lowerLetter"/>
      <w:lvlText w:val="%5."/>
      <w:lvlJc w:val="left"/>
      <w:pPr>
        <w:ind w:left="-2790" w:hanging="360"/>
      </w:pPr>
    </w:lvl>
    <w:lvl w:ilvl="5" w:tplc="080A001B" w:tentative="1">
      <w:start w:val="1"/>
      <w:numFmt w:val="lowerRoman"/>
      <w:lvlText w:val="%6."/>
      <w:lvlJc w:val="right"/>
      <w:pPr>
        <w:ind w:left="-2070" w:hanging="180"/>
      </w:pPr>
    </w:lvl>
    <w:lvl w:ilvl="6" w:tplc="080A000F" w:tentative="1">
      <w:start w:val="1"/>
      <w:numFmt w:val="decimal"/>
      <w:lvlText w:val="%7."/>
      <w:lvlJc w:val="left"/>
      <w:pPr>
        <w:ind w:left="-1350" w:hanging="360"/>
      </w:pPr>
    </w:lvl>
    <w:lvl w:ilvl="7" w:tplc="080A0019" w:tentative="1">
      <w:start w:val="1"/>
      <w:numFmt w:val="lowerLetter"/>
      <w:lvlText w:val="%8."/>
      <w:lvlJc w:val="left"/>
      <w:pPr>
        <w:ind w:left="-630" w:hanging="360"/>
      </w:pPr>
    </w:lvl>
    <w:lvl w:ilvl="8" w:tplc="080A001B" w:tentative="1">
      <w:start w:val="1"/>
      <w:numFmt w:val="lowerRoman"/>
      <w:lvlText w:val="%9."/>
      <w:lvlJc w:val="right"/>
      <w:pPr>
        <w:ind w:left="90" w:hanging="180"/>
      </w:pPr>
    </w:lvl>
  </w:abstractNum>
  <w:abstractNum w:abstractNumId="9" w15:restartNumberingAfterBreak="0">
    <w:nsid w:val="2C9040BF"/>
    <w:multiLevelType w:val="hybridMultilevel"/>
    <w:tmpl w:val="4AE45C34"/>
    <w:lvl w:ilvl="0" w:tplc="5F8A8F78">
      <w:start w:val="4"/>
      <w:numFmt w:val="ordinalText"/>
      <w:suff w:val="space"/>
      <w:lvlText w:val="%1.-"/>
      <w:lvlJc w:val="left"/>
      <w:pPr>
        <w:ind w:left="0" w:firstLine="0"/>
      </w:pPr>
      <w:rPr>
        <w:rFonts w:ascii="ITC Avant Garde" w:hAnsi="ITC Avant Garde"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E094005"/>
    <w:multiLevelType w:val="hybridMultilevel"/>
    <w:tmpl w:val="56FA364E"/>
    <w:lvl w:ilvl="0" w:tplc="A04C0512">
      <w:start w:val="1"/>
      <w:numFmt w:val="lowerRoman"/>
      <w:lvlText w:val="%1)"/>
      <w:lvlJc w:val="left"/>
      <w:pPr>
        <w:ind w:left="720" w:hanging="72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30F27D32"/>
    <w:multiLevelType w:val="hybridMultilevel"/>
    <w:tmpl w:val="9B00EAE0"/>
    <w:lvl w:ilvl="0" w:tplc="22E073C0">
      <w:start w:val="1"/>
      <w:numFmt w:val="ordinalText"/>
      <w:suff w:val="space"/>
      <w:lvlText w:val="%1.-"/>
      <w:lvlJc w:val="left"/>
      <w:pPr>
        <w:ind w:left="0" w:firstLine="0"/>
      </w:pPr>
      <w:rPr>
        <w:rFonts w:ascii="ITC Avant Garde" w:hAnsi="ITC Avant Garde" w:hint="default"/>
        <w:b/>
        <w:i w:val="0"/>
        <w:sz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310127F4"/>
    <w:multiLevelType w:val="hybridMultilevel"/>
    <w:tmpl w:val="F62695F6"/>
    <w:lvl w:ilvl="0" w:tplc="080A000F">
      <w:start w:val="1"/>
      <w:numFmt w:val="decimal"/>
      <w:lvlText w:val="%1."/>
      <w:lvlJc w:val="left"/>
      <w:pPr>
        <w:ind w:left="360" w:hanging="360"/>
      </w:pPr>
      <w:rPr>
        <w:rFont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3DA77CE5"/>
    <w:multiLevelType w:val="hybridMultilevel"/>
    <w:tmpl w:val="BF76A558"/>
    <w:lvl w:ilvl="0" w:tplc="FAD8D756">
      <w:start w:val="1"/>
      <w:numFmt w:val="ordinalText"/>
      <w:suff w:val="space"/>
      <w:lvlText w:val="%1.-"/>
      <w:lvlJc w:val="left"/>
      <w:pPr>
        <w:ind w:left="0" w:firstLine="0"/>
      </w:pPr>
      <w:rPr>
        <w:rFonts w:ascii="ITC Avant Garde" w:hAnsi="ITC Avant Garde"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ED4051A"/>
    <w:multiLevelType w:val="hybridMultilevel"/>
    <w:tmpl w:val="A9EC3FBA"/>
    <w:lvl w:ilvl="0" w:tplc="080A0017">
      <w:start w:val="1"/>
      <w:numFmt w:val="lowerLetter"/>
      <w:lvlText w:val="%1)"/>
      <w:lvlJc w:val="left"/>
      <w:pPr>
        <w:ind w:left="360" w:hanging="360"/>
      </w:pPr>
      <w:rPr>
        <w:rFont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402A597B"/>
    <w:multiLevelType w:val="hybridMultilevel"/>
    <w:tmpl w:val="B4EA0298"/>
    <w:lvl w:ilvl="0" w:tplc="EDA8D7CC">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8F22F46"/>
    <w:multiLevelType w:val="hybridMultilevel"/>
    <w:tmpl w:val="8164519C"/>
    <w:lvl w:ilvl="0" w:tplc="080A0017">
      <w:start w:val="1"/>
      <w:numFmt w:val="lowerLetter"/>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AD66A0"/>
    <w:multiLevelType w:val="hybridMultilevel"/>
    <w:tmpl w:val="3F261DDE"/>
    <w:lvl w:ilvl="0" w:tplc="EEF4BF16">
      <w:start w:val="1"/>
      <w:numFmt w:val="ordinalText"/>
      <w:suff w:val="space"/>
      <w:lvlText w:val="%1.-"/>
      <w:lvlJc w:val="left"/>
      <w:pPr>
        <w:ind w:left="360" w:hanging="360"/>
      </w:pPr>
      <w:rPr>
        <w:rFonts w:ascii="ITC Avant Garde" w:hAnsi="ITC Avant Garde" w:hint="default"/>
        <w:b/>
        <w:i w:val="0"/>
        <w:sz w:val="22"/>
      </w:rPr>
    </w:lvl>
    <w:lvl w:ilvl="1" w:tplc="080A0019" w:tentative="1">
      <w:start w:val="1"/>
      <w:numFmt w:val="lowerLetter"/>
      <w:lvlText w:val="%2."/>
      <w:lvlJc w:val="left"/>
      <w:pPr>
        <w:ind w:left="-4950" w:hanging="360"/>
      </w:pPr>
    </w:lvl>
    <w:lvl w:ilvl="2" w:tplc="080A001B" w:tentative="1">
      <w:start w:val="1"/>
      <w:numFmt w:val="lowerRoman"/>
      <w:lvlText w:val="%3."/>
      <w:lvlJc w:val="right"/>
      <w:pPr>
        <w:ind w:left="-4230" w:hanging="180"/>
      </w:pPr>
    </w:lvl>
    <w:lvl w:ilvl="3" w:tplc="080A000F" w:tentative="1">
      <w:start w:val="1"/>
      <w:numFmt w:val="decimal"/>
      <w:lvlText w:val="%4."/>
      <w:lvlJc w:val="left"/>
      <w:pPr>
        <w:ind w:left="-3510" w:hanging="360"/>
      </w:pPr>
    </w:lvl>
    <w:lvl w:ilvl="4" w:tplc="080A0019" w:tentative="1">
      <w:start w:val="1"/>
      <w:numFmt w:val="lowerLetter"/>
      <w:lvlText w:val="%5."/>
      <w:lvlJc w:val="left"/>
      <w:pPr>
        <w:ind w:left="-2790" w:hanging="360"/>
      </w:pPr>
    </w:lvl>
    <w:lvl w:ilvl="5" w:tplc="080A001B" w:tentative="1">
      <w:start w:val="1"/>
      <w:numFmt w:val="lowerRoman"/>
      <w:lvlText w:val="%6."/>
      <w:lvlJc w:val="right"/>
      <w:pPr>
        <w:ind w:left="-2070" w:hanging="180"/>
      </w:pPr>
    </w:lvl>
    <w:lvl w:ilvl="6" w:tplc="080A000F" w:tentative="1">
      <w:start w:val="1"/>
      <w:numFmt w:val="decimal"/>
      <w:lvlText w:val="%7."/>
      <w:lvlJc w:val="left"/>
      <w:pPr>
        <w:ind w:left="-1350" w:hanging="360"/>
      </w:pPr>
    </w:lvl>
    <w:lvl w:ilvl="7" w:tplc="080A0019" w:tentative="1">
      <w:start w:val="1"/>
      <w:numFmt w:val="lowerLetter"/>
      <w:lvlText w:val="%8."/>
      <w:lvlJc w:val="left"/>
      <w:pPr>
        <w:ind w:left="-630" w:hanging="360"/>
      </w:pPr>
    </w:lvl>
    <w:lvl w:ilvl="8" w:tplc="080A001B" w:tentative="1">
      <w:start w:val="1"/>
      <w:numFmt w:val="lowerRoman"/>
      <w:lvlText w:val="%9."/>
      <w:lvlJc w:val="right"/>
      <w:pPr>
        <w:ind w:left="90" w:hanging="180"/>
      </w:pPr>
    </w:lvl>
  </w:abstractNum>
  <w:abstractNum w:abstractNumId="18" w15:restartNumberingAfterBreak="0">
    <w:nsid w:val="57F35F40"/>
    <w:multiLevelType w:val="hybridMultilevel"/>
    <w:tmpl w:val="8A3C8DDC"/>
    <w:lvl w:ilvl="0" w:tplc="447EE61C">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58CB2B49"/>
    <w:multiLevelType w:val="hybridMultilevel"/>
    <w:tmpl w:val="BF76A558"/>
    <w:lvl w:ilvl="0" w:tplc="FAD8D756">
      <w:start w:val="1"/>
      <w:numFmt w:val="ordinalText"/>
      <w:suff w:val="space"/>
      <w:lvlText w:val="%1.-"/>
      <w:lvlJc w:val="left"/>
      <w:pPr>
        <w:ind w:left="0" w:firstLine="0"/>
      </w:pPr>
      <w:rPr>
        <w:rFonts w:ascii="ITC Avant Garde" w:hAnsi="ITC Avant Garde"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2511B78"/>
    <w:multiLevelType w:val="hybridMultilevel"/>
    <w:tmpl w:val="3F261DDE"/>
    <w:lvl w:ilvl="0" w:tplc="EEF4BF16">
      <w:start w:val="1"/>
      <w:numFmt w:val="ordinalText"/>
      <w:suff w:val="space"/>
      <w:lvlText w:val="%1.-"/>
      <w:lvlJc w:val="left"/>
      <w:pPr>
        <w:ind w:left="5746" w:hanging="360"/>
      </w:pPr>
      <w:rPr>
        <w:rFonts w:ascii="ITC Avant Garde" w:hAnsi="ITC Avant Garde" w:hint="default"/>
        <w:b/>
        <w:i w:val="0"/>
        <w:sz w:val="22"/>
      </w:rPr>
    </w:lvl>
    <w:lvl w:ilvl="1" w:tplc="080A0019" w:tentative="1">
      <w:start w:val="1"/>
      <w:numFmt w:val="lowerLetter"/>
      <w:lvlText w:val="%2."/>
      <w:lvlJc w:val="left"/>
      <w:pPr>
        <w:ind w:left="436" w:hanging="360"/>
      </w:pPr>
    </w:lvl>
    <w:lvl w:ilvl="2" w:tplc="080A001B" w:tentative="1">
      <w:start w:val="1"/>
      <w:numFmt w:val="lowerRoman"/>
      <w:lvlText w:val="%3."/>
      <w:lvlJc w:val="right"/>
      <w:pPr>
        <w:ind w:left="1156" w:hanging="180"/>
      </w:pPr>
    </w:lvl>
    <w:lvl w:ilvl="3" w:tplc="080A000F" w:tentative="1">
      <w:start w:val="1"/>
      <w:numFmt w:val="decimal"/>
      <w:lvlText w:val="%4."/>
      <w:lvlJc w:val="left"/>
      <w:pPr>
        <w:ind w:left="1876" w:hanging="360"/>
      </w:pPr>
    </w:lvl>
    <w:lvl w:ilvl="4" w:tplc="080A0019" w:tentative="1">
      <w:start w:val="1"/>
      <w:numFmt w:val="lowerLetter"/>
      <w:lvlText w:val="%5."/>
      <w:lvlJc w:val="left"/>
      <w:pPr>
        <w:ind w:left="2596" w:hanging="360"/>
      </w:pPr>
    </w:lvl>
    <w:lvl w:ilvl="5" w:tplc="080A001B" w:tentative="1">
      <w:start w:val="1"/>
      <w:numFmt w:val="lowerRoman"/>
      <w:lvlText w:val="%6."/>
      <w:lvlJc w:val="right"/>
      <w:pPr>
        <w:ind w:left="3316" w:hanging="180"/>
      </w:pPr>
    </w:lvl>
    <w:lvl w:ilvl="6" w:tplc="080A000F" w:tentative="1">
      <w:start w:val="1"/>
      <w:numFmt w:val="decimal"/>
      <w:lvlText w:val="%7."/>
      <w:lvlJc w:val="left"/>
      <w:pPr>
        <w:ind w:left="4036" w:hanging="360"/>
      </w:pPr>
    </w:lvl>
    <w:lvl w:ilvl="7" w:tplc="080A0019" w:tentative="1">
      <w:start w:val="1"/>
      <w:numFmt w:val="lowerLetter"/>
      <w:lvlText w:val="%8."/>
      <w:lvlJc w:val="left"/>
      <w:pPr>
        <w:ind w:left="4756" w:hanging="360"/>
      </w:pPr>
    </w:lvl>
    <w:lvl w:ilvl="8" w:tplc="080A001B" w:tentative="1">
      <w:start w:val="1"/>
      <w:numFmt w:val="lowerRoman"/>
      <w:lvlText w:val="%9."/>
      <w:lvlJc w:val="right"/>
      <w:pPr>
        <w:ind w:left="5476" w:hanging="180"/>
      </w:pPr>
    </w:lvl>
  </w:abstractNum>
  <w:abstractNum w:abstractNumId="21" w15:restartNumberingAfterBreak="0">
    <w:nsid w:val="644D2A3D"/>
    <w:multiLevelType w:val="hybridMultilevel"/>
    <w:tmpl w:val="025E1BA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E7423E6"/>
    <w:multiLevelType w:val="hybridMultilevel"/>
    <w:tmpl w:val="6E344656"/>
    <w:lvl w:ilvl="0" w:tplc="7010A77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4733EBA"/>
    <w:multiLevelType w:val="hybridMultilevel"/>
    <w:tmpl w:val="70E0DF22"/>
    <w:lvl w:ilvl="0" w:tplc="080A000F">
      <w:start w:val="1"/>
      <w:numFmt w:val="decimal"/>
      <w:lvlText w:val="%1."/>
      <w:lvlJc w:val="left"/>
      <w:pPr>
        <w:ind w:left="720" w:hanging="360"/>
      </w:pPr>
      <w:rPr>
        <w:rFonts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8"/>
  </w:num>
  <w:num w:numId="6">
    <w:abstractNumId w:val="17"/>
  </w:num>
  <w:num w:numId="7">
    <w:abstractNumId w:val="3"/>
  </w:num>
  <w:num w:numId="8">
    <w:abstractNumId w:val="10"/>
  </w:num>
  <w:num w:numId="9">
    <w:abstractNumId w:val="21"/>
  </w:num>
  <w:num w:numId="10">
    <w:abstractNumId w:val="14"/>
  </w:num>
  <w:num w:numId="11">
    <w:abstractNumId w:val="23"/>
  </w:num>
  <w:num w:numId="12">
    <w:abstractNumId w:val="0"/>
  </w:num>
  <w:num w:numId="13">
    <w:abstractNumId w:val="6"/>
  </w:num>
  <w:num w:numId="14">
    <w:abstractNumId w:val="18"/>
  </w:num>
  <w:num w:numId="15">
    <w:abstractNumId w:val="12"/>
  </w:num>
  <w:num w:numId="16">
    <w:abstractNumId w:val="16"/>
  </w:num>
  <w:num w:numId="17">
    <w:abstractNumId w:val="2"/>
  </w:num>
  <w:num w:numId="18">
    <w:abstractNumId w:val="22"/>
  </w:num>
  <w:num w:numId="19">
    <w:abstractNumId w:val="5"/>
  </w:num>
  <w:num w:numId="20">
    <w:abstractNumId w:val="1"/>
  </w:num>
  <w:num w:numId="21">
    <w:abstractNumId w:val="4"/>
  </w:num>
  <w:num w:numId="22">
    <w:abstractNumId w:val="13"/>
  </w:num>
  <w:num w:numId="23">
    <w:abstractNumId w:val="19"/>
  </w:num>
  <w:num w:numId="24">
    <w:abstractNumId w:val="11"/>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98"/>
    <w:rsid w:val="00001928"/>
    <w:rsid w:val="00015042"/>
    <w:rsid w:val="0003167F"/>
    <w:rsid w:val="000441AD"/>
    <w:rsid w:val="00050CE1"/>
    <w:rsid w:val="00061298"/>
    <w:rsid w:val="00061650"/>
    <w:rsid w:val="00073528"/>
    <w:rsid w:val="00073F46"/>
    <w:rsid w:val="00091E4A"/>
    <w:rsid w:val="00094088"/>
    <w:rsid w:val="000A2C65"/>
    <w:rsid w:val="000A50F7"/>
    <w:rsid w:val="000A7A0D"/>
    <w:rsid w:val="000B2D46"/>
    <w:rsid w:val="000B3CBC"/>
    <w:rsid w:val="000E43F5"/>
    <w:rsid w:val="000E4936"/>
    <w:rsid w:val="000F0CD1"/>
    <w:rsid w:val="00100BCE"/>
    <w:rsid w:val="00115BF4"/>
    <w:rsid w:val="00132798"/>
    <w:rsid w:val="001452F6"/>
    <w:rsid w:val="00145B8D"/>
    <w:rsid w:val="00170704"/>
    <w:rsid w:val="001746A0"/>
    <w:rsid w:val="00176CAC"/>
    <w:rsid w:val="001775EB"/>
    <w:rsid w:val="001936F5"/>
    <w:rsid w:val="00194F82"/>
    <w:rsid w:val="001B6F5F"/>
    <w:rsid w:val="001B79ED"/>
    <w:rsid w:val="001C22FE"/>
    <w:rsid w:val="001D1F01"/>
    <w:rsid w:val="001D41A2"/>
    <w:rsid w:val="001D69D1"/>
    <w:rsid w:val="001D77ED"/>
    <w:rsid w:val="001F68E5"/>
    <w:rsid w:val="0021190C"/>
    <w:rsid w:val="00211968"/>
    <w:rsid w:val="00216ECB"/>
    <w:rsid w:val="00225296"/>
    <w:rsid w:val="002315AE"/>
    <w:rsid w:val="00246242"/>
    <w:rsid w:val="0025349F"/>
    <w:rsid w:val="0025575C"/>
    <w:rsid w:val="00267053"/>
    <w:rsid w:val="00283A33"/>
    <w:rsid w:val="002A2424"/>
    <w:rsid w:val="002B7CE4"/>
    <w:rsid w:val="002D0BE7"/>
    <w:rsid w:val="002D4DBD"/>
    <w:rsid w:val="002D5608"/>
    <w:rsid w:val="002E2540"/>
    <w:rsid w:val="002E6FEE"/>
    <w:rsid w:val="00314AAC"/>
    <w:rsid w:val="00330CDC"/>
    <w:rsid w:val="00333632"/>
    <w:rsid w:val="00347A38"/>
    <w:rsid w:val="00354101"/>
    <w:rsid w:val="00356900"/>
    <w:rsid w:val="00357C8B"/>
    <w:rsid w:val="00385104"/>
    <w:rsid w:val="003858AF"/>
    <w:rsid w:val="00386BC0"/>
    <w:rsid w:val="0039590A"/>
    <w:rsid w:val="003C5D53"/>
    <w:rsid w:val="003C68BE"/>
    <w:rsid w:val="003C779C"/>
    <w:rsid w:val="003D0AD8"/>
    <w:rsid w:val="003E1897"/>
    <w:rsid w:val="003F3FBE"/>
    <w:rsid w:val="00404F8F"/>
    <w:rsid w:val="00414FF4"/>
    <w:rsid w:val="0041709E"/>
    <w:rsid w:val="0041769D"/>
    <w:rsid w:val="00444937"/>
    <w:rsid w:val="00451784"/>
    <w:rsid w:val="00461960"/>
    <w:rsid w:val="004A4CF5"/>
    <w:rsid w:val="004C5911"/>
    <w:rsid w:val="004D0835"/>
    <w:rsid w:val="004D0BD2"/>
    <w:rsid w:val="004F616B"/>
    <w:rsid w:val="005010FD"/>
    <w:rsid w:val="00506520"/>
    <w:rsid w:val="0051313F"/>
    <w:rsid w:val="00527C93"/>
    <w:rsid w:val="00535AF1"/>
    <w:rsid w:val="00544DB6"/>
    <w:rsid w:val="005535F0"/>
    <w:rsid w:val="005560FD"/>
    <w:rsid w:val="00562854"/>
    <w:rsid w:val="00572A19"/>
    <w:rsid w:val="00592EB4"/>
    <w:rsid w:val="005A03FA"/>
    <w:rsid w:val="005A0EF1"/>
    <w:rsid w:val="005B09F7"/>
    <w:rsid w:val="005E3241"/>
    <w:rsid w:val="006271D3"/>
    <w:rsid w:val="0062746A"/>
    <w:rsid w:val="00634105"/>
    <w:rsid w:val="006341DA"/>
    <w:rsid w:val="00637472"/>
    <w:rsid w:val="00647C8B"/>
    <w:rsid w:val="00672368"/>
    <w:rsid w:val="006811D7"/>
    <w:rsid w:val="00684552"/>
    <w:rsid w:val="006B29FF"/>
    <w:rsid w:val="006B43B6"/>
    <w:rsid w:val="006E6A58"/>
    <w:rsid w:val="006F2952"/>
    <w:rsid w:val="00701494"/>
    <w:rsid w:val="00703E2B"/>
    <w:rsid w:val="00705D93"/>
    <w:rsid w:val="00714127"/>
    <w:rsid w:val="0072070E"/>
    <w:rsid w:val="00744ADC"/>
    <w:rsid w:val="00784724"/>
    <w:rsid w:val="007959B6"/>
    <w:rsid w:val="007A472A"/>
    <w:rsid w:val="007C1375"/>
    <w:rsid w:val="007C4DE9"/>
    <w:rsid w:val="007D1258"/>
    <w:rsid w:val="007E0C07"/>
    <w:rsid w:val="007F1049"/>
    <w:rsid w:val="007F1F32"/>
    <w:rsid w:val="007F6C12"/>
    <w:rsid w:val="00802878"/>
    <w:rsid w:val="00816FC6"/>
    <w:rsid w:val="00822384"/>
    <w:rsid w:val="00854E11"/>
    <w:rsid w:val="00867D6E"/>
    <w:rsid w:val="00870F0F"/>
    <w:rsid w:val="00897108"/>
    <w:rsid w:val="008B717C"/>
    <w:rsid w:val="008D0D5B"/>
    <w:rsid w:val="008D1494"/>
    <w:rsid w:val="008D21B5"/>
    <w:rsid w:val="008D4E08"/>
    <w:rsid w:val="008D5A60"/>
    <w:rsid w:val="008F1627"/>
    <w:rsid w:val="00907419"/>
    <w:rsid w:val="00910FC5"/>
    <w:rsid w:val="0091348E"/>
    <w:rsid w:val="009136EE"/>
    <w:rsid w:val="009229B0"/>
    <w:rsid w:val="0093121B"/>
    <w:rsid w:val="0093715A"/>
    <w:rsid w:val="00963ADC"/>
    <w:rsid w:val="009676B0"/>
    <w:rsid w:val="00973955"/>
    <w:rsid w:val="0097660A"/>
    <w:rsid w:val="0098212E"/>
    <w:rsid w:val="00985303"/>
    <w:rsid w:val="009A5DCE"/>
    <w:rsid w:val="009A6FBD"/>
    <w:rsid w:val="009B4146"/>
    <w:rsid w:val="009D287A"/>
    <w:rsid w:val="009F69B7"/>
    <w:rsid w:val="00A155B9"/>
    <w:rsid w:val="00A27D4A"/>
    <w:rsid w:val="00A30327"/>
    <w:rsid w:val="00A55746"/>
    <w:rsid w:val="00A62DC1"/>
    <w:rsid w:val="00A646D4"/>
    <w:rsid w:val="00A65F17"/>
    <w:rsid w:val="00A83674"/>
    <w:rsid w:val="00AA0B43"/>
    <w:rsid w:val="00AA54F9"/>
    <w:rsid w:val="00AA68C0"/>
    <w:rsid w:val="00AB0BA3"/>
    <w:rsid w:val="00AC19EB"/>
    <w:rsid w:val="00AD3456"/>
    <w:rsid w:val="00AD510A"/>
    <w:rsid w:val="00AF0CDB"/>
    <w:rsid w:val="00B13156"/>
    <w:rsid w:val="00B30465"/>
    <w:rsid w:val="00B509C3"/>
    <w:rsid w:val="00B51F7C"/>
    <w:rsid w:val="00B56538"/>
    <w:rsid w:val="00B97A70"/>
    <w:rsid w:val="00BD4A8A"/>
    <w:rsid w:val="00BF5351"/>
    <w:rsid w:val="00C0321B"/>
    <w:rsid w:val="00C117C5"/>
    <w:rsid w:val="00C42737"/>
    <w:rsid w:val="00C45623"/>
    <w:rsid w:val="00C64E35"/>
    <w:rsid w:val="00C909F6"/>
    <w:rsid w:val="00C91700"/>
    <w:rsid w:val="00C9343C"/>
    <w:rsid w:val="00C95461"/>
    <w:rsid w:val="00C96562"/>
    <w:rsid w:val="00CA6AF9"/>
    <w:rsid w:val="00CA7E47"/>
    <w:rsid w:val="00CB0B67"/>
    <w:rsid w:val="00CD0A82"/>
    <w:rsid w:val="00CE2384"/>
    <w:rsid w:val="00CE26EC"/>
    <w:rsid w:val="00CE7817"/>
    <w:rsid w:val="00CF5896"/>
    <w:rsid w:val="00D05C75"/>
    <w:rsid w:val="00D176C3"/>
    <w:rsid w:val="00D26F07"/>
    <w:rsid w:val="00D341B7"/>
    <w:rsid w:val="00D42041"/>
    <w:rsid w:val="00D60AA5"/>
    <w:rsid w:val="00D7339B"/>
    <w:rsid w:val="00D76A31"/>
    <w:rsid w:val="00D81D2A"/>
    <w:rsid w:val="00D869EB"/>
    <w:rsid w:val="00DB37CE"/>
    <w:rsid w:val="00DB6C91"/>
    <w:rsid w:val="00DC379E"/>
    <w:rsid w:val="00E00010"/>
    <w:rsid w:val="00E16C80"/>
    <w:rsid w:val="00E22E74"/>
    <w:rsid w:val="00E24C18"/>
    <w:rsid w:val="00E32C4E"/>
    <w:rsid w:val="00E46EAC"/>
    <w:rsid w:val="00E5304A"/>
    <w:rsid w:val="00E55AF2"/>
    <w:rsid w:val="00E674C3"/>
    <w:rsid w:val="00E71849"/>
    <w:rsid w:val="00E910E8"/>
    <w:rsid w:val="00EC0002"/>
    <w:rsid w:val="00EE4408"/>
    <w:rsid w:val="00EE594A"/>
    <w:rsid w:val="00EF0C33"/>
    <w:rsid w:val="00EF0F02"/>
    <w:rsid w:val="00EF11DA"/>
    <w:rsid w:val="00EF1C0C"/>
    <w:rsid w:val="00EF40D8"/>
    <w:rsid w:val="00F0178C"/>
    <w:rsid w:val="00F12993"/>
    <w:rsid w:val="00F239DB"/>
    <w:rsid w:val="00F271AF"/>
    <w:rsid w:val="00F333DD"/>
    <w:rsid w:val="00F83ADD"/>
    <w:rsid w:val="00F846F0"/>
    <w:rsid w:val="00F91554"/>
    <w:rsid w:val="00F96805"/>
    <w:rsid w:val="00FA5CFC"/>
    <w:rsid w:val="00FA7B51"/>
    <w:rsid w:val="00FB1C3A"/>
    <w:rsid w:val="00FB3B9C"/>
    <w:rsid w:val="00FC05CB"/>
    <w:rsid w:val="00FC4FA1"/>
    <w:rsid w:val="00FD10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4EA3E-92B1-4FE1-B6AB-CFFAB912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296"/>
    <w:pPr>
      <w:spacing w:before="120" w:after="120" w:line="276" w:lineRule="auto"/>
      <w:jc w:val="both"/>
    </w:pPr>
    <w:rPr>
      <w:rFonts w:ascii="ITC Avant Garde" w:hAnsi="ITC Avant Garde"/>
    </w:rPr>
  </w:style>
  <w:style w:type="paragraph" w:styleId="Ttulo1">
    <w:name w:val="heading 1"/>
    <w:basedOn w:val="Normal"/>
    <w:next w:val="Normal"/>
    <w:link w:val="Ttulo1Car"/>
    <w:uiPriority w:val="9"/>
    <w:qFormat/>
    <w:rsid w:val="00FC05CB"/>
    <w:pPr>
      <w:keepNext/>
      <w:keepLines/>
      <w:spacing w:before="240" w:after="240"/>
      <w:contextualSpacing/>
      <w:jc w:val="center"/>
      <w:outlineLvl w:val="0"/>
    </w:pPr>
    <w:rPr>
      <w:rFonts w:eastAsiaTheme="majorEastAsia" w:cstheme="majorBidi"/>
      <w:b/>
      <w:caps/>
      <w:szCs w:val="32"/>
    </w:rPr>
  </w:style>
  <w:style w:type="paragraph" w:styleId="Ttulo2">
    <w:name w:val="heading 2"/>
    <w:basedOn w:val="Normal"/>
    <w:next w:val="Normal"/>
    <w:link w:val="Ttulo2Car"/>
    <w:uiPriority w:val="9"/>
    <w:unhideWhenUsed/>
    <w:qFormat/>
    <w:rsid w:val="00C96562"/>
    <w:pPr>
      <w:spacing w:before="240"/>
      <w:outlineLvl w:val="1"/>
    </w:pPr>
    <w:rPr>
      <w:b/>
    </w:rPr>
  </w:style>
  <w:style w:type="paragraph" w:styleId="Ttulo3">
    <w:name w:val="heading 3"/>
    <w:basedOn w:val="Normal"/>
    <w:next w:val="Normal"/>
    <w:link w:val="Ttulo3Car"/>
    <w:uiPriority w:val="9"/>
    <w:unhideWhenUsed/>
    <w:qFormat/>
    <w:rsid w:val="00A83674"/>
    <w:pPr>
      <w:keepNext/>
      <w:outlineLvl w:val="2"/>
    </w:pPr>
    <w:rPr>
      <w:sz w:val="20"/>
      <w:szCs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utoRedefine/>
    <w:uiPriority w:val="1"/>
    <w:qFormat/>
    <w:rsid w:val="00225296"/>
    <w:pPr>
      <w:spacing w:after="0" w:line="276" w:lineRule="auto"/>
      <w:jc w:val="both"/>
    </w:pPr>
    <w:rPr>
      <w:rFonts w:ascii="ITC Avant Garde" w:hAnsi="ITC Avant Garde"/>
    </w:rPr>
  </w:style>
  <w:style w:type="character" w:customStyle="1" w:styleId="Ttulo1Car">
    <w:name w:val="Título 1 Car"/>
    <w:basedOn w:val="Fuentedeprrafopredeter"/>
    <w:link w:val="Ttulo1"/>
    <w:uiPriority w:val="9"/>
    <w:rsid w:val="00FC05CB"/>
    <w:rPr>
      <w:rFonts w:ascii="ITC Avant Garde" w:eastAsiaTheme="majorEastAsia" w:hAnsi="ITC Avant Garde" w:cstheme="majorBidi"/>
      <w:b/>
      <w:caps/>
      <w:szCs w:val="32"/>
    </w:rPr>
  </w:style>
  <w:style w:type="paragraph" w:styleId="Encabezado">
    <w:name w:val="header"/>
    <w:basedOn w:val="Normal"/>
    <w:link w:val="EncabezadoCar"/>
    <w:uiPriority w:val="99"/>
    <w:unhideWhenUsed/>
    <w:rsid w:val="0013279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132798"/>
    <w:rPr>
      <w:rFonts w:ascii="ITC Avant Garde" w:hAnsi="ITC Avant Garde"/>
    </w:rPr>
  </w:style>
  <w:style w:type="paragraph" w:styleId="Piedepgina">
    <w:name w:val="footer"/>
    <w:basedOn w:val="Normal"/>
    <w:link w:val="PiedepginaCar"/>
    <w:uiPriority w:val="99"/>
    <w:unhideWhenUsed/>
    <w:rsid w:val="0013279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132798"/>
    <w:rPr>
      <w:rFonts w:ascii="ITC Avant Garde" w:hAnsi="ITC Avant Garde"/>
    </w:rPr>
  </w:style>
  <w:style w:type="paragraph" w:styleId="Textodeglobo">
    <w:name w:val="Balloon Text"/>
    <w:basedOn w:val="Normal"/>
    <w:link w:val="TextodegloboCar"/>
    <w:uiPriority w:val="99"/>
    <w:semiHidden/>
    <w:unhideWhenUsed/>
    <w:rsid w:val="00354101"/>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4101"/>
    <w:rPr>
      <w:rFonts w:ascii="Segoe UI" w:hAnsi="Segoe UI" w:cs="Segoe UI"/>
      <w:sz w:val="18"/>
      <w:szCs w:val="18"/>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Ca"/>
    <w:basedOn w:val="Normal"/>
    <w:link w:val="TextonotapieCar"/>
    <w:uiPriority w:val="99"/>
    <w:unhideWhenUsed/>
    <w:qFormat/>
    <w:rsid w:val="00F846F0"/>
    <w:pPr>
      <w:spacing w:before="0" w:after="0" w:line="240" w:lineRule="auto"/>
    </w:pPr>
    <w:rPr>
      <w:sz w:val="20"/>
      <w:szCs w:val="20"/>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basedOn w:val="Fuentedeprrafopredeter"/>
    <w:link w:val="Textonotapie"/>
    <w:uiPriority w:val="99"/>
    <w:rsid w:val="00F846F0"/>
    <w:rPr>
      <w:rFonts w:ascii="ITC Avant Garde" w:hAnsi="ITC Avant Garde"/>
      <w:sz w:val="20"/>
      <w:szCs w:val="20"/>
    </w:rPr>
  </w:style>
  <w:style w:type="character" w:styleId="Refdenotaalpie">
    <w:name w:val="footnote reference"/>
    <w:aliases w:val="Ref,de nota al pie,fr,(NECG) Footnote Reference,o,Appel note de bas de p,Style 12,Style 124,Style 13,Style 3,Style 17,FR,Footnote Reference/,callout,Style 6,Footnote,Style 20,Footnote symbol,Appel note de bas de p + 11 pt,Italic"/>
    <w:basedOn w:val="Fuentedeprrafopredeter"/>
    <w:uiPriority w:val="99"/>
    <w:unhideWhenUsed/>
    <w:qFormat/>
    <w:rsid w:val="00F846F0"/>
    <w:rPr>
      <w:vertAlign w:val="superscript"/>
    </w:rPr>
  </w:style>
  <w:style w:type="paragraph" w:styleId="Textocomentario">
    <w:name w:val="annotation text"/>
    <w:basedOn w:val="Normal"/>
    <w:link w:val="TextocomentarioCar"/>
    <w:uiPriority w:val="99"/>
    <w:semiHidden/>
    <w:unhideWhenUsed/>
    <w:rsid w:val="00E16C80"/>
    <w:pPr>
      <w:spacing w:line="240" w:lineRule="auto"/>
      <w:jc w:val="left"/>
    </w:pPr>
    <w:rPr>
      <w:sz w:val="20"/>
      <w:szCs w:val="20"/>
    </w:rPr>
  </w:style>
  <w:style w:type="character" w:customStyle="1" w:styleId="TextocomentarioCar">
    <w:name w:val="Texto comentario Car"/>
    <w:basedOn w:val="Fuentedeprrafopredeter"/>
    <w:link w:val="Textocomentario"/>
    <w:uiPriority w:val="99"/>
    <w:semiHidden/>
    <w:rsid w:val="00E16C80"/>
    <w:rPr>
      <w:rFonts w:ascii="ITC Avant Garde" w:hAnsi="ITC Avant Garde"/>
      <w:sz w:val="20"/>
      <w:szCs w:val="20"/>
    </w:rPr>
  </w:style>
  <w:style w:type="character" w:customStyle="1" w:styleId="PrrafodelistaCar">
    <w:name w:val="Párrafo de lista Car"/>
    <w:aliases w:val="Numeración 1 Car,Cuadrícula media 1 - Énfasis 21 Car,4 Viñ 1nivel Car"/>
    <w:link w:val="Prrafodelista"/>
    <w:uiPriority w:val="34"/>
    <w:locked/>
    <w:rsid w:val="00E16C80"/>
    <w:rPr>
      <w:rFonts w:ascii="ITC Avant Garde" w:hAnsi="ITC Avant Garde"/>
    </w:rPr>
  </w:style>
  <w:style w:type="paragraph" w:styleId="Prrafodelista">
    <w:name w:val="List Paragraph"/>
    <w:aliases w:val="Numeración 1,Cuadrícula media 1 - Énfasis 21,4 Viñ 1nivel"/>
    <w:basedOn w:val="Normal"/>
    <w:link w:val="PrrafodelistaCar"/>
    <w:uiPriority w:val="34"/>
    <w:qFormat/>
    <w:rsid w:val="00E16C80"/>
    <w:pPr>
      <w:spacing w:line="256" w:lineRule="auto"/>
      <w:ind w:left="720"/>
      <w:contextualSpacing/>
      <w:jc w:val="left"/>
    </w:pPr>
  </w:style>
  <w:style w:type="character" w:styleId="Refdecomentario">
    <w:name w:val="annotation reference"/>
    <w:basedOn w:val="Fuentedeprrafopredeter"/>
    <w:uiPriority w:val="99"/>
    <w:semiHidden/>
    <w:unhideWhenUsed/>
    <w:rsid w:val="00E16C80"/>
    <w:rPr>
      <w:sz w:val="16"/>
      <w:szCs w:val="16"/>
    </w:rPr>
  </w:style>
  <w:style w:type="paragraph" w:styleId="Asuntodelcomentario">
    <w:name w:val="annotation subject"/>
    <w:basedOn w:val="Textocomentario"/>
    <w:next w:val="Textocomentario"/>
    <w:link w:val="AsuntodelcomentarioCar"/>
    <w:uiPriority w:val="99"/>
    <w:semiHidden/>
    <w:unhideWhenUsed/>
    <w:rsid w:val="00050CE1"/>
    <w:pPr>
      <w:jc w:val="both"/>
    </w:pPr>
    <w:rPr>
      <w:b/>
      <w:bCs/>
    </w:rPr>
  </w:style>
  <w:style w:type="character" w:customStyle="1" w:styleId="AsuntodelcomentarioCar">
    <w:name w:val="Asunto del comentario Car"/>
    <w:basedOn w:val="TextocomentarioCar"/>
    <w:link w:val="Asuntodelcomentario"/>
    <w:uiPriority w:val="99"/>
    <w:semiHidden/>
    <w:rsid w:val="00050CE1"/>
    <w:rPr>
      <w:rFonts w:ascii="ITC Avant Garde" w:hAnsi="ITC Avant Garde"/>
      <w:b/>
      <w:bCs/>
      <w:sz w:val="20"/>
      <w:szCs w:val="20"/>
    </w:rPr>
  </w:style>
  <w:style w:type="character" w:styleId="Hipervnculo">
    <w:name w:val="Hyperlink"/>
    <w:basedOn w:val="Fuentedeprrafopredeter"/>
    <w:uiPriority w:val="99"/>
    <w:unhideWhenUsed/>
    <w:rsid w:val="00176CAC"/>
    <w:rPr>
      <w:color w:val="0563C1" w:themeColor="hyperlink"/>
      <w:u w:val="single"/>
    </w:rPr>
  </w:style>
  <w:style w:type="character" w:customStyle="1" w:styleId="Cuerpodeltexto">
    <w:name w:val="Cuerpo del texto_"/>
    <w:link w:val="Cuerpodeltexto0"/>
    <w:rsid w:val="00F91554"/>
    <w:rPr>
      <w:rFonts w:ascii="Times New Roman" w:eastAsia="Times New Roman" w:hAnsi="Times New Roman"/>
      <w:sz w:val="23"/>
      <w:szCs w:val="23"/>
      <w:shd w:val="clear" w:color="auto" w:fill="FFFFFF"/>
    </w:rPr>
  </w:style>
  <w:style w:type="paragraph" w:customStyle="1" w:styleId="Cuerpodeltexto0">
    <w:name w:val="Cuerpo del texto"/>
    <w:basedOn w:val="Normal"/>
    <w:link w:val="Cuerpodeltexto"/>
    <w:rsid w:val="00F91554"/>
    <w:pPr>
      <w:shd w:val="clear" w:color="auto" w:fill="FFFFFF"/>
      <w:spacing w:before="240" w:after="600" w:line="0" w:lineRule="atLeast"/>
      <w:ind w:hanging="260"/>
      <w:jc w:val="right"/>
    </w:pPr>
    <w:rPr>
      <w:rFonts w:ascii="Times New Roman" w:eastAsia="Times New Roman" w:hAnsi="Times New Roman"/>
      <w:sz w:val="23"/>
      <w:szCs w:val="23"/>
    </w:rPr>
  </w:style>
  <w:style w:type="character" w:customStyle="1" w:styleId="Ttulo2Car">
    <w:name w:val="Título 2 Car"/>
    <w:basedOn w:val="Fuentedeprrafopredeter"/>
    <w:link w:val="Ttulo2"/>
    <w:uiPriority w:val="9"/>
    <w:rsid w:val="00C96562"/>
    <w:rPr>
      <w:rFonts w:ascii="ITC Avant Garde" w:hAnsi="ITC Avant Garde"/>
      <w:b/>
    </w:rPr>
  </w:style>
  <w:style w:type="character" w:customStyle="1" w:styleId="Ttulo3Car">
    <w:name w:val="Título 3 Car"/>
    <w:basedOn w:val="Fuentedeprrafopredeter"/>
    <w:link w:val="Ttulo3"/>
    <w:uiPriority w:val="9"/>
    <w:rsid w:val="00A83674"/>
    <w:rPr>
      <w:rFonts w:ascii="ITC Avant Garde" w:hAnsi="ITC Avant Garde"/>
      <w:sz w:val="20"/>
      <w:szCs w:val="20"/>
      <w:u w:val="single"/>
    </w:rPr>
  </w:style>
  <w:style w:type="table" w:styleId="Tablaconcuadrcula">
    <w:name w:val="Table Grid"/>
    <w:basedOn w:val="Tablanormal"/>
    <w:uiPriority w:val="39"/>
    <w:rsid w:val="00701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80718">
      <w:bodyDiv w:val="1"/>
      <w:marLeft w:val="0"/>
      <w:marRight w:val="0"/>
      <w:marTop w:val="0"/>
      <w:marBottom w:val="0"/>
      <w:divBdr>
        <w:top w:val="none" w:sz="0" w:space="0" w:color="auto"/>
        <w:left w:val="none" w:sz="0" w:space="0" w:color="auto"/>
        <w:bottom w:val="none" w:sz="0" w:space="0" w:color="auto"/>
        <w:right w:val="none" w:sz="0" w:space="0" w:color="auto"/>
      </w:divBdr>
    </w:div>
    <w:div w:id="251282834">
      <w:bodyDiv w:val="1"/>
      <w:marLeft w:val="0"/>
      <w:marRight w:val="0"/>
      <w:marTop w:val="0"/>
      <w:marBottom w:val="0"/>
      <w:divBdr>
        <w:top w:val="none" w:sz="0" w:space="0" w:color="auto"/>
        <w:left w:val="none" w:sz="0" w:space="0" w:color="auto"/>
        <w:bottom w:val="none" w:sz="0" w:space="0" w:color="auto"/>
        <w:right w:val="none" w:sz="0" w:space="0" w:color="auto"/>
      </w:divBdr>
    </w:div>
    <w:div w:id="1121142745">
      <w:bodyDiv w:val="1"/>
      <w:marLeft w:val="0"/>
      <w:marRight w:val="0"/>
      <w:marTop w:val="0"/>
      <w:marBottom w:val="0"/>
      <w:divBdr>
        <w:top w:val="none" w:sz="0" w:space="0" w:color="auto"/>
        <w:left w:val="none" w:sz="0" w:space="0" w:color="auto"/>
        <w:bottom w:val="none" w:sz="0" w:space="0" w:color="auto"/>
        <w:right w:val="none" w:sz="0" w:space="0" w:color="auto"/>
      </w:divBdr>
    </w:div>
    <w:div w:id="1342244325">
      <w:bodyDiv w:val="1"/>
      <w:marLeft w:val="0"/>
      <w:marRight w:val="0"/>
      <w:marTop w:val="0"/>
      <w:marBottom w:val="0"/>
      <w:divBdr>
        <w:top w:val="none" w:sz="0" w:space="0" w:color="auto"/>
        <w:left w:val="none" w:sz="0" w:space="0" w:color="auto"/>
        <w:bottom w:val="none" w:sz="0" w:space="0" w:color="auto"/>
        <w:right w:val="none" w:sz="0" w:space="0" w:color="auto"/>
      </w:divBdr>
    </w:div>
    <w:div w:id="1393891403">
      <w:bodyDiv w:val="1"/>
      <w:marLeft w:val="0"/>
      <w:marRight w:val="0"/>
      <w:marTop w:val="0"/>
      <w:marBottom w:val="0"/>
      <w:divBdr>
        <w:top w:val="none" w:sz="0" w:space="0" w:color="auto"/>
        <w:left w:val="none" w:sz="0" w:space="0" w:color="auto"/>
        <w:bottom w:val="none" w:sz="0" w:space="0" w:color="auto"/>
        <w:right w:val="none" w:sz="0" w:space="0" w:color="auto"/>
      </w:divBdr>
    </w:div>
    <w:div w:id="147818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E9338-EEC2-4A5F-8044-2CA4B09D7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1004</Words>
  <Characters>5525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dc:creator>
  <cp:keywords/>
  <dc:description/>
  <cp:lastModifiedBy>Maria del Consuelo Gonzalez Moreno</cp:lastModifiedBy>
  <cp:revision>14</cp:revision>
  <cp:lastPrinted>2017-01-27T17:43:00Z</cp:lastPrinted>
  <dcterms:created xsi:type="dcterms:W3CDTF">2017-01-25T15:49:00Z</dcterms:created>
  <dcterms:modified xsi:type="dcterms:W3CDTF">2017-03-13T15:58:00Z</dcterms:modified>
</cp:coreProperties>
</file>