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71" w:rsidRPr="002F1555" w:rsidRDefault="00C51C00" w:rsidP="002F1555">
      <w:pPr>
        <w:pStyle w:val="Ttulo1"/>
        <w:keepLines/>
        <w:spacing w:before="240" w:after="240"/>
        <w:ind w:right="0"/>
        <w:jc w:val="both"/>
        <w:rPr>
          <w:rFonts w:eastAsiaTheme="majorEastAsia" w:cstheme="majorBidi"/>
          <w:color w:val="000000" w:themeColor="text1"/>
          <w:sz w:val="22"/>
          <w:szCs w:val="22"/>
          <w:lang w:eastAsia="es-MX"/>
        </w:rPr>
      </w:pPr>
      <w:bookmarkStart w:id="0" w:name="_GoBack"/>
      <w:bookmarkEnd w:id="0"/>
      <w:r w:rsidRPr="002F1555">
        <w:rPr>
          <w:rFonts w:eastAsiaTheme="majorEastAsia" w:cstheme="majorBidi"/>
          <w:color w:val="000000" w:themeColor="text1"/>
          <w:sz w:val="22"/>
          <w:szCs w:val="22"/>
          <w:lang w:eastAsia="es-MX"/>
        </w:rPr>
        <w:t>ACUERDO MEDIANTE EL CUAL EL PLENO DEL INSTITUTO FEDERAL DE TELECOMUNICACIONES EN CUMPLIMIENTO A LA EJECUTORIA NÚMERO 7/2017, DEJA INSUBSISTENTE EL MECANISMO ADOPTADO EN EL ACUERDO P/IFT/180516/235 EMITIDO EN EL EXPEDIENTE E-IFT/DGIPM/PMA/0001/2013.</w:t>
      </w:r>
    </w:p>
    <w:p w:rsidR="00DA70E0" w:rsidRPr="006A1E9B" w:rsidRDefault="006A1E9B" w:rsidP="00926AD0">
      <w:pPr>
        <w:spacing w:before="120" w:after="0"/>
        <w:jc w:val="both"/>
        <w:rPr>
          <w:rFonts w:ascii="ITC Avant Garde" w:hAnsi="ITC Avant Garde"/>
        </w:rPr>
      </w:pPr>
      <w:r w:rsidRPr="006A1E9B">
        <w:rPr>
          <w:rFonts w:ascii="ITC Avant Garde" w:hAnsi="ITC Avant Garde"/>
          <w:lang w:eastAsia="es-MX"/>
        </w:rPr>
        <w:t>En este acuerdo se utilizarán las definiciones y términos establecidos en la Ley Federal de Competencia Económica aplicable al presente procedimiento, así como los siguientes acrónimos y términos.</w:t>
      </w:r>
      <w:r w:rsidR="00955DF0">
        <w:rPr>
          <w:rFonts w:ascii="ITC Avant Garde" w:hAnsi="ITC Avant Garde"/>
          <w:lang w:eastAsia="es-MX"/>
        </w:rPr>
        <w:t xml:space="preserve"> </w:t>
      </w:r>
      <w:r w:rsidR="00E35C64">
        <w:rPr>
          <w:rFonts w:ascii="ITC Avant Garde" w:hAnsi="ITC Avant Garde"/>
          <w:lang w:eastAsia="es-MX"/>
        </w:rPr>
        <w:t xml:space="preserve">Algunas definiciones contenidas </w:t>
      </w:r>
      <w:r w:rsidR="00955DF0">
        <w:rPr>
          <w:rFonts w:ascii="ITC Avant Garde" w:hAnsi="ITC Avant Garde"/>
          <w:lang w:eastAsia="es-MX"/>
        </w:rPr>
        <w:t xml:space="preserve">en el Glosario pueden hacer referencia a otros </w:t>
      </w:r>
      <w:r w:rsidR="00E35C64">
        <w:rPr>
          <w:rFonts w:ascii="ITC Avant Garde" w:hAnsi="ITC Avant Garde"/>
          <w:lang w:eastAsia="es-MX"/>
        </w:rPr>
        <w:t>términos empleados en el mismo</w:t>
      </w:r>
      <w:r w:rsidR="00955DF0">
        <w:rPr>
          <w:rFonts w:ascii="ITC Avant Garde" w:hAnsi="ITC Avant Garde"/>
          <w:lang w:eastAsia="es-MX"/>
        </w:rPr>
        <w:t>.</w:t>
      </w:r>
    </w:p>
    <w:p w:rsidR="00C4102E" w:rsidRPr="002F1555" w:rsidRDefault="00CE640B" w:rsidP="002F1555">
      <w:pPr>
        <w:pStyle w:val="Ttulo2"/>
        <w:spacing w:after="240"/>
        <w:jc w:val="center"/>
        <w:rPr>
          <w:rFonts w:ascii="ITC Avant Garde" w:hAnsi="ITC Avant Garde"/>
          <w:b/>
          <w:color w:val="000000" w:themeColor="text1"/>
          <w:sz w:val="22"/>
          <w:szCs w:val="22"/>
        </w:rPr>
      </w:pPr>
      <w:r w:rsidRPr="002F1555">
        <w:rPr>
          <w:rFonts w:ascii="ITC Avant Garde" w:hAnsi="ITC Avant Garde"/>
          <w:b/>
          <w:color w:val="000000" w:themeColor="text1"/>
          <w:sz w:val="22"/>
          <w:szCs w:val="22"/>
        </w:rPr>
        <w:t xml:space="preserve">I. </w:t>
      </w:r>
      <w:r w:rsidR="00C4102E" w:rsidRPr="002F1555">
        <w:rPr>
          <w:rFonts w:ascii="ITC Avant Garde" w:hAnsi="ITC Avant Garde"/>
          <w:b/>
          <w:color w:val="000000" w:themeColor="text1"/>
          <w:sz w:val="22"/>
          <w:szCs w:val="22"/>
        </w:rPr>
        <w:t>GLOSARIO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losario"/>
        <w:tblDescription w:val="En una tabla se proporciona la definción de los términos más utilizados en el documento. "/>
      </w:tblPr>
      <w:tblGrid>
        <w:gridCol w:w="3686"/>
        <w:gridCol w:w="5142"/>
      </w:tblGrid>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rPr>
              <w:t>Acuerdo Cablevisión</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 xml:space="preserve">El acuerdo de </w:t>
            </w:r>
            <w:r w:rsidR="00DA70E0" w:rsidRPr="00790693">
              <w:rPr>
                <w:rFonts w:ascii="ITC Avant Garde" w:hAnsi="ITC Avant Garde"/>
              </w:rPr>
              <w:t xml:space="preserve">fecha </w:t>
            </w:r>
            <w:r w:rsidRPr="00790693">
              <w:rPr>
                <w:rFonts w:ascii="ITC Avant Garde" w:hAnsi="ITC Avant Garde"/>
              </w:rPr>
              <w:t xml:space="preserve">seis de diciembre de dos mil dieciséis, emitido por la Titular de la </w:t>
            </w:r>
            <w:r w:rsidR="00955DF0" w:rsidRPr="00790693">
              <w:rPr>
                <w:rFonts w:ascii="ITC Avant Garde" w:hAnsi="ITC Avant Garde"/>
              </w:rPr>
              <w:t>UCE</w:t>
            </w:r>
            <w:r w:rsidR="000217D1" w:rsidRPr="00790693">
              <w:rPr>
                <w:rFonts w:ascii="ITC Avant Garde" w:hAnsi="ITC Avant Garde"/>
              </w:rPr>
              <w:t xml:space="preserve"> en atención al Escrito Cablevisión</w:t>
            </w:r>
            <w:r w:rsidRPr="00790693">
              <w:rPr>
                <w:rFonts w:ascii="ITC Avant Garde" w:hAnsi="ITC Avant Garde"/>
              </w:rPr>
              <w:t>.</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rPr>
              <w:t>Acuerdo de Mecanismo</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eastAsia="Calibri" w:hAnsi="ITC Avant Garde" w:cs="Times New Roman"/>
                <w:iCs/>
              </w:rPr>
              <w:t xml:space="preserve">El acuerdo emitido por </w:t>
            </w:r>
            <w:r w:rsidRPr="00790693">
              <w:rPr>
                <w:rFonts w:ascii="ITC Avant Garde" w:hAnsi="ITC Avant Garde"/>
              </w:rPr>
              <w:t>el Pleno del Instituto</w:t>
            </w:r>
            <w:r w:rsidR="00C6235A" w:rsidRPr="00790693">
              <w:rPr>
                <w:rFonts w:ascii="ITC Avant Garde" w:hAnsi="ITC Avant Garde"/>
              </w:rPr>
              <w:t xml:space="preserve"> en fecha </w:t>
            </w:r>
            <w:r w:rsidRPr="00790693">
              <w:rPr>
                <w:rFonts w:ascii="ITC Avant Garde" w:hAnsi="ITC Avant Garde"/>
              </w:rPr>
              <w:t xml:space="preserve">dieciocho de mayo de dos mil dieciséis </w:t>
            </w:r>
            <w:r w:rsidR="00D8322A" w:rsidRPr="00790693">
              <w:rPr>
                <w:rFonts w:ascii="ITC Avant Garde" w:hAnsi="ITC Avant Garde"/>
              </w:rPr>
              <w:t xml:space="preserve">que </w:t>
            </w:r>
            <w:r w:rsidRPr="00790693">
              <w:rPr>
                <w:rFonts w:ascii="ITC Avant Garde" w:hAnsi="ITC Avant Garde"/>
              </w:rPr>
              <w:t xml:space="preserve">resolvió sobre los mecanismos presentados por </w:t>
            </w:r>
            <w:proofErr w:type="spellStart"/>
            <w:r w:rsidR="00680371" w:rsidRPr="00790693">
              <w:rPr>
                <w:rFonts w:ascii="ITC Avant Garde" w:hAnsi="ITC Avant Garde"/>
              </w:rPr>
              <w:t>Megac</w:t>
            </w:r>
            <w:r w:rsidRPr="00790693">
              <w:rPr>
                <w:rFonts w:ascii="ITC Avant Garde" w:hAnsi="ITC Avant Garde"/>
              </w:rPr>
              <w:t>able</w:t>
            </w:r>
            <w:proofErr w:type="spellEnd"/>
            <w:r w:rsidR="00276D3C" w:rsidRPr="00790693">
              <w:rPr>
                <w:rFonts w:ascii="ITC Avant Garde" w:hAnsi="ITC Avant Garde"/>
              </w:rPr>
              <w:t xml:space="preserve"> </w:t>
            </w:r>
            <w:r w:rsidRPr="00790693">
              <w:rPr>
                <w:rFonts w:ascii="ITC Avant Garde" w:hAnsi="ITC Avant Garde"/>
              </w:rPr>
              <w:t xml:space="preserve">y Cablevisión, </w:t>
            </w:r>
            <w:r w:rsidR="00DA70E0" w:rsidRPr="00790693">
              <w:rPr>
                <w:rFonts w:ascii="ITC Avant Garde" w:hAnsi="ITC Avant Garde"/>
              </w:rPr>
              <w:t xml:space="preserve">cuyo </w:t>
            </w:r>
            <w:r w:rsidRPr="00790693">
              <w:rPr>
                <w:rFonts w:ascii="ITC Avant Garde" w:hAnsi="ITC Avant Garde"/>
              </w:rPr>
              <w:t xml:space="preserve">Considerando Séptimo </w:t>
            </w:r>
            <w:r w:rsidR="00DA70E0" w:rsidRPr="00790693">
              <w:rPr>
                <w:rFonts w:ascii="ITC Avant Garde" w:hAnsi="ITC Avant Garde"/>
              </w:rPr>
              <w:t xml:space="preserve">impuso </w:t>
            </w:r>
            <w:r w:rsidRPr="00790693">
              <w:rPr>
                <w:rFonts w:ascii="ITC Avant Garde" w:hAnsi="ITC Avant Garde"/>
              </w:rPr>
              <w:t>un mecanismo con plazos</w:t>
            </w:r>
            <w:r w:rsidRPr="00790693">
              <w:rPr>
                <w:rFonts w:ascii="ITC Avant Garde" w:hAnsi="ITC Avant Garde"/>
                <w:b/>
                <w:i/>
                <w:sz w:val="20"/>
              </w:rPr>
              <w:t xml:space="preserve"> </w:t>
            </w:r>
            <w:r w:rsidRPr="00790693">
              <w:rPr>
                <w:rFonts w:ascii="ITC Avant Garde" w:hAnsi="ITC Avant Garde"/>
              </w:rPr>
              <w:t xml:space="preserve">para suprimir eficazmente la </w:t>
            </w:r>
            <w:r w:rsidR="00C6235A" w:rsidRPr="00790693">
              <w:rPr>
                <w:rFonts w:ascii="ITC Avant Garde" w:hAnsi="ITC Avant Garde"/>
              </w:rPr>
              <w:t>PMA sancionada en el Expediente</w:t>
            </w:r>
            <w:r w:rsidRPr="00790693">
              <w:rPr>
                <w:rFonts w:ascii="ITC Avant Garde" w:hAnsi="ITC Avant Garde"/>
              </w:rPr>
              <w:t>.</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lang w:bidi="en-US"/>
              </w:rPr>
              <w:t>Amparo Cablevisión</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lang w:bidi="en-US"/>
              </w:rPr>
              <w:t xml:space="preserve">La </w:t>
            </w:r>
            <w:r w:rsidR="00FA2A00" w:rsidRPr="00790693">
              <w:rPr>
                <w:rFonts w:ascii="ITC Avant Garde" w:hAnsi="ITC Avant Garde"/>
                <w:lang w:bidi="en-US"/>
              </w:rPr>
              <w:t xml:space="preserve">sentencia </w:t>
            </w:r>
            <w:r w:rsidR="006A1E9B" w:rsidRPr="00790693">
              <w:rPr>
                <w:rFonts w:ascii="ITC Avant Garde" w:hAnsi="ITC Avant Garde"/>
                <w:lang w:bidi="en-US"/>
              </w:rPr>
              <w:t xml:space="preserve">de fecha </w:t>
            </w:r>
            <w:r w:rsidR="006A1E9B" w:rsidRPr="00790693">
              <w:rPr>
                <w:rFonts w:ascii="ITC Avant Garde" w:hAnsi="ITC Avant Garde"/>
              </w:rPr>
              <w:t xml:space="preserve">veintiséis de agosto de dos mil catorce emitida </w:t>
            </w:r>
            <w:r w:rsidR="006A1E9B" w:rsidRPr="00790693">
              <w:rPr>
                <w:rFonts w:ascii="ITC Avant Garde" w:hAnsi="ITC Avant Garde"/>
                <w:lang w:bidi="en-US"/>
              </w:rPr>
              <w:t>por el Juzgado Segundo</w:t>
            </w:r>
            <w:r w:rsidR="00EB50D1" w:rsidRPr="00790693">
              <w:rPr>
                <w:rFonts w:ascii="ITC Avant Garde" w:hAnsi="ITC Avant Garde"/>
                <w:lang w:bidi="en-US"/>
              </w:rPr>
              <w:t xml:space="preserve"> </w:t>
            </w:r>
            <w:r w:rsidR="006A1E9B" w:rsidRPr="00790693">
              <w:rPr>
                <w:rFonts w:ascii="ITC Avant Garde" w:hAnsi="ITC Avant Garde"/>
                <w:lang w:bidi="en-US"/>
              </w:rPr>
              <w:t xml:space="preserve">en </w:t>
            </w:r>
            <w:r w:rsidR="00955DF0" w:rsidRPr="00790693">
              <w:rPr>
                <w:rFonts w:ascii="ITC Avant Garde" w:hAnsi="ITC Avant Garde"/>
                <w:lang w:bidi="en-US"/>
              </w:rPr>
              <w:t>el expediente 15/2014</w:t>
            </w:r>
            <w:r w:rsidR="006A1E9B" w:rsidRPr="00790693">
              <w:rPr>
                <w:rFonts w:ascii="ITC Avant Garde" w:hAnsi="ITC Avant Garde"/>
                <w:lang w:bidi="en-US"/>
              </w:rPr>
              <w:t xml:space="preserve"> de su índice</w:t>
            </w:r>
            <w:r w:rsidR="00955DF0" w:rsidRPr="00790693">
              <w:rPr>
                <w:rFonts w:ascii="ITC Avant Garde" w:hAnsi="ITC Avant Garde"/>
                <w:lang w:bidi="en-US"/>
              </w:rPr>
              <w:t>,</w:t>
            </w:r>
            <w:r w:rsidR="006A1E9B" w:rsidRPr="00790693">
              <w:rPr>
                <w:rFonts w:ascii="ITC Avant Garde" w:hAnsi="ITC Avant Garde"/>
                <w:lang w:bidi="en-US"/>
              </w:rPr>
              <w:t xml:space="preserve"> </w:t>
            </w:r>
            <w:r w:rsidRPr="00790693">
              <w:rPr>
                <w:rFonts w:ascii="ITC Avant Garde" w:hAnsi="ITC Avant Garde"/>
                <w:lang w:bidi="en-US"/>
              </w:rPr>
              <w:t xml:space="preserve">que negó el amparo en el juicio interpuesto por </w:t>
            </w:r>
            <w:r w:rsidRPr="00790693">
              <w:rPr>
                <w:rFonts w:ascii="ITC Avant Garde" w:hAnsi="ITC Avant Garde"/>
              </w:rPr>
              <w:t>Cablevisión</w:t>
            </w:r>
            <w:r w:rsidRPr="00790693">
              <w:rPr>
                <w:rFonts w:ascii="ITC Avant Garde" w:hAnsi="ITC Avant Garde"/>
                <w:lang w:bidi="en-US"/>
              </w:rPr>
              <w:t xml:space="preserve"> en contra de la </w:t>
            </w:r>
            <w:r w:rsidR="00BD340A" w:rsidRPr="00790693">
              <w:rPr>
                <w:rFonts w:ascii="ITC Avant Garde" w:hAnsi="ITC Avant Garde"/>
                <w:lang w:bidi="en-US"/>
              </w:rPr>
              <w:t>Resolución</w:t>
            </w:r>
            <w:r w:rsidRPr="00790693">
              <w:rPr>
                <w:rFonts w:ascii="ITC Avant Garde" w:hAnsi="ITC Avant Garde"/>
                <w:lang w:bidi="en-US"/>
              </w:rPr>
              <w:t>.</w:t>
            </w:r>
          </w:p>
        </w:tc>
      </w:tr>
      <w:tr w:rsidR="00C4102E" w:rsidRPr="00C4102E" w:rsidTr="002F1555">
        <w:trPr>
          <w:tblHeader/>
        </w:trPr>
        <w:tc>
          <w:tcPr>
            <w:tcW w:w="3686" w:type="dxa"/>
          </w:tcPr>
          <w:p w:rsidR="00C4102E" w:rsidRPr="00C4102E" w:rsidRDefault="00C4102E" w:rsidP="002F1555">
            <w:pPr>
              <w:spacing w:after="0"/>
              <w:jc w:val="both"/>
              <w:rPr>
                <w:rFonts w:ascii="ITC Avant Garde" w:hAnsi="ITC Avant Garde"/>
              </w:rPr>
            </w:pPr>
            <w:r w:rsidRPr="00C4102E">
              <w:rPr>
                <w:rFonts w:ascii="ITC Avant Garde" w:hAnsi="ITC Avant Garde"/>
              </w:rPr>
              <w:t xml:space="preserve">Amparo </w:t>
            </w:r>
            <w:proofErr w:type="spellStart"/>
            <w:r w:rsidRPr="00C4102E">
              <w:rPr>
                <w:rFonts w:ascii="ITC Avant Garde" w:hAnsi="ITC Avant Garde"/>
              </w:rPr>
              <w:t>Megacable</w:t>
            </w:r>
            <w:proofErr w:type="spellEnd"/>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 xml:space="preserve">La </w:t>
            </w:r>
            <w:r w:rsidR="00EB50D1" w:rsidRPr="00790693">
              <w:rPr>
                <w:rFonts w:ascii="ITC Avant Garde" w:hAnsi="ITC Avant Garde"/>
              </w:rPr>
              <w:t>sentencia</w:t>
            </w:r>
            <w:r w:rsidRPr="00790693">
              <w:rPr>
                <w:rFonts w:ascii="ITC Avant Garde" w:hAnsi="ITC Avant Garde"/>
              </w:rPr>
              <w:t xml:space="preserve"> </w:t>
            </w:r>
            <w:r w:rsidR="006A1E9B" w:rsidRPr="00790693">
              <w:rPr>
                <w:rFonts w:ascii="ITC Avant Garde" w:hAnsi="ITC Avant Garde"/>
              </w:rPr>
              <w:t xml:space="preserve">de fecha once de febrero de dos mil quince </w:t>
            </w:r>
            <w:r w:rsidR="00EB50D1" w:rsidRPr="00790693">
              <w:rPr>
                <w:rFonts w:ascii="ITC Avant Garde" w:hAnsi="ITC Avant Garde"/>
              </w:rPr>
              <w:t>emitida por el</w:t>
            </w:r>
            <w:r w:rsidR="006A1E9B" w:rsidRPr="00790693">
              <w:rPr>
                <w:rFonts w:ascii="ITC Avant Garde" w:hAnsi="ITC Avant Garde"/>
              </w:rPr>
              <w:t xml:space="preserve"> Juzgado Primero</w:t>
            </w:r>
            <w:r w:rsidR="00955DF0" w:rsidRPr="00790693">
              <w:rPr>
                <w:rFonts w:ascii="ITC Avant Garde" w:hAnsi="ITC Avant Garde"/>
              </w:rPr>
              <w:t>,</w:t>
            </w:r>
            <w:r w:rsidR="006A1E9B" w:rsidRPr="00790693">
              <w:rPr>
                <w:rFonts w:ascii="ITC Avant Garde" w:hAnsi="ITC Avant Garde"/>
              </w:rPr>
              <w:t xml:space="preserve"> </w:t>
            </w:r>
            <w:r w:rsidR="00955DF0" w:rsidRPr="00790693">
              <w:rPr>
                <w:rFonts w:ascii="ITC Avant Garde" w:hAnsi="ITC Avant Garde"/>
                <w:lang w:bidi="en-US"/>
              </w:rPr>
              <w:t xml:space="preserve">en el </w:t>
            </w:r>
            <w:r w:rsidR="006A1E9B" w:rsidRPr="00790693">
              <w:rPr>
                <w:rFonts w:ascii="ITC Avant Garde" w:hAnsi="ITC Avant Garde"/>
                <w:lang w:bidi="en-US"/>
              </w:rPr>
              <w:t xml:space="preserve">expediente </w:t>
            </w:r>
            <w:r w:rsidR="00955DF0" w:rsidRPr="00790693">
              <w:rPr>
                <w:rFonts w:ascii="ITC Avant Garde" w:hAnsi="ITC Avant Garde"/>
                <w:lang w:bidi="en-US"/>
              </w:rPr>
              <w:t xml:space="preserve">número </w:t>
            </w:r>
            <w:r w:rsidR="006A1E9B" w:rsidRPr="00790693">
              <w:rPr>
                <w:rFonts w:ascii="ITC Avant Garde" w:hAnsi="ITC Avant Garde"/>
                <w:lang w:bidi="en-US"/>
              </w:rPr>
              <w:t xml:space="preserve">17/2014 de su </w:t>
            </w:r>
            <w:r w:rsidR="006A1E9B" w:rsidRPr="00790693">
              <w:rPr>
                <w:rFonts w:ascii="ITC Avant Garde" w:hAnsi="ITC Avant Garde"/>
              </w:rPr>
              <w:t>índice</w:t>
            </w:r>
            <w:r w:rsidR="00955DF0" w:rsidRPr="00790693">
              <w:rPr>
                <w:rFonts w:ascii="ITC Avant Garde" w:hAnsi="ITC Avant Garde"/>
              </w:rPr>
              <w:t>,</w:t>
            </w:r>
            <w:r w:rsidR="006A1E9B" w:rsidRPr="00790693">
              <w:t xml:space="preserve"> </w:t>
            </w:r>
            <w:r w:rsidRPr="00790693">
              <w:rPr>
                <w:rFonts w:ascii="ITC Avant Garde" w:hAnsi="ITC Avant Garde"/>
              </w:rPr>
              <w:t xml:space="preserve">que negó el amparo en el juicio interpuesto por </w:t>
            </w:r>
            <w:proofErr w:type="spellStart"/>
            <w:r w:rsidR="00680371" w:rsidRPr="00790693">
              <w:rPr>
                <w:rFonts w:ascii="ITC Avant Garde" w:hAnsi="ITC Avant Garde"/>
              </w:rPr>
              <w:t>Megac</w:t>
            </w:r>
            <w:r w:rsidRPr="00790693">
              <w:rPr>
                <w:rFonts w:ascii="ITC Avant Garde" w:hAnsi="ITC Avant Garde"/>
              </w:rPr>
              <w:t>able</w:t>
            </w:r>
            <w:proofErr w:type="spellEnd"/>
            <w:r w:rsidRPr="00790693">
              <w:rPr>
                <w:rFonts w:ascii="ITC Avant Garde" w:hAnsi="ITC Avant Garde"/>
              </w:rPr>
              <w:t xml:space="preserve"> en contra de la </w:t>
            </w:r>
            <w:r w:rsidR="00BD340A" w:rsidRPr="00790693">
              <w:rPr>
                <w:rFonts w:ascii="ITC Avant Garde" w:hAnsi="ITC Avant Garde"/>
                <w:lang w:bidi="en-US"/>
              </w:rPr>
              <w:t>Resolución</w:t>
            </w:r>
            <w:r w:rsidR="00BD340A" w:rsidRPr="00790693">
              <w:rPr>
                <w:rFonts w:ascii="ITC Avant Garde" w:hAnsi="ITC Avant Garde"/>
              </w:rPr>
              <w:t>.</w:t>
            </w:r>
          </w:p>
        </w:tc>
      </w:tr>
      <w:tr w:rsidR="00E35C64" w:rsidRPr="00C4102E" w:rsidTr="002F1555">
        <w:trPr>
          <w:tblHeader/>
        </w:trPr>
        <w:tc>
          <w:tcPr>
            <w:tcW w:w="3686" w:type="dxa"/>
          </w:tcPr>
          <w:p w:rsidR="00E35C64" w:rsidRPr="00C4102E" w:rsidRDefault="00E35C64" w:rsidP="002F1555">
            <w:pPr>
              <w:spacing w:after="0"/>
              <w:rPr>
                <w:rFonts w:ascii="ITC Avant Garde" w:hAnsi="ITC Avant Garde"/>
                <w:lang w:bidi="en-US"/>
              </w:rPr>
            </w:pPr>
            <w:r w:rsidRPr="00C4102E">
              <w:rPr>
                <w:rFonts w:ascii="ITC Avant Garde" w:hAnsi="ITC Avant Garde"/>
              </w:rPr>
              <w:t xml:space="preserve">Amparo </w:t>
            </w:r>
            <w:r w:rsidR="00BD340A">
              <w:rPr>
                <w:rFonts w:ascii="ITC Avant Garde" w:hAnsi="ITC Avant Garde"/>
              </w:rPr>
              <w:t xml:space="preserve">85/2016 </w:t>
            </w:r>
          </w:p>
        </w:tc>
        <w:tc>
          <w:tcPr>
            <w:tcW w:w="5142" w:type="dxa"/>
          </w:tcPr>
          <w:p w:rsidR="00E35C64" w:rsidRPr="00790693" w:rsidRDefault="00EB50D1" w:rsidP="002F1555">
            <w:pPr>
              <w:spacing w:after="0"/>
              <w:jc w:val="both"/>
              <w:rPr>
                <w:rFonts w:ascii="ITC Avant Garde" w:hAnsi="ITC Avant Garde"/>
              </w:rPr>
            </w:pPr>
            <w:r w:rsidRPr="00790693">
              <w:rPr>
                <w:rFonts w:ascii="ITC Avant Garde" w:hAnsi="ITC Avant Garde"/>
              </w:rPr>
              <w:t xml:space="preserve">La sentencia emitida el trece de diciembre de dos mil dieciséis </w:t>
            </w:r>
            <w:r w:rsidR="00E35C64" w:rsidRPr="00790693">
              <w:rPr>
                <w:rFonts w:ascii="ITC Avant Garde" w:hAnsi="ITC Avant Garde"/>
              </w:rPr>
              <w:t>por el Juzgado Primero</w:t>
            </w:r>
            <w:r w:rsidRPr="00790693">
              <w:rPr>
                <w:rFonts w:ascii="ITC Avant Garde" w:hAnsi="ITC Avant Garde"/>
              </w:rPr>
              <w:t xml:space="preserve"> en el expediente 85/2016</w:t>
            </w:r>
            <w:r w:rsidR="00E35C64" w:rsidRPr="00790693">
              <w:rPr>
                <w:rFonts w:ascii="ITC Avant Garde" w:hAnsi="ITC Avant Garde"/>
              </w:rPr>
              <w:t xml:space="preserve"> que concedió el amparo solicitado por Cablevisión para efecto de que el Instituto dejara insubsistente el Acuerdo de Mecanismo.</w:t>
            </w:r>
          </w:p>
        </w:tc>
      </w:tr>
    </w:tbl>
    <w:p w:rsidR="002F1555" w:rsidRDefault="002F155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ntinuación del Glosario"/>
        <w:tblDescription w:val="En una tabla se proporciona la definción de los términos más utilizados en el documento. "/>
      </w:tblPr>
      <w:tblGrid>
        <w:gridCol w:w="3686"/>
        <w:gridCol w:w="5142"/>
      </w:tblGrid>
      <w:tr w:rsidR="00E35C64" w:rsidRPr="00C4102E" w:rsidTr="002F1555">
        <w:trPr>
          <w:tblHeader/>
        </w:trPr>
        <w:tc>
          <w:tcPr>
            <w:tcW w:w="3686" w:type="dxa"/>
          </w:tcPr>
          <w:p w:rsidR="00E35C64" w:rsidRPr="00C4102E" w:rsidRDefault="00E35C64" w:rsidP="002F1555">
            <w:pPr>
              <w:spacing w:after="0"/>
              <w:rPr>
                <w:rFonts w:ascii="ITC Avant Garde" w:hAnsi="ITC Avant Garde"/>
              </w:rPr>
            </w:pPr>
            <w:r>
              <w:rPr>
                <w:rFonts w:ascii="ITC Avant Garde" w:hAnsi="ITC Avant Garde"/>
              </w:rPr>
              <w:lastRenderedPageBreak/>
              <w:t>Amparo 18/2017</w:t>
            </w:r>
          </w:p>
        </w:tc>
        <w:tc>
          <w:tcPr>
            <w:tcW w:w="5142" w:type="dxa"/>
          </w:tcPr>
          <w:p w:rsidR="00BD340A" w:rsidRPr="00790693" w:rsidRDefault="00EB50D1" w:rsidP="002F1555">
            <w:pPr>
              <w:spacing w:after="0"/>
              <w:jc w:val="both"/>
              <w:rPr>
                <w:rFonts w:ascii="ITC Avant Garde" w:hAnsi="ITC Avant Garde"/>
                <w:bCs/>
              </w:rPr>
            </w:pPr>
            <w:r w:rsidRPr="00790693">
              <w:rPr>
                <w:rFonts w:ascii="ITC Avant Garde" w:hAnsi="ITC Avant Garde"/>
                <w:bCs/>
              </w:rPr>
              <w:t xml:space="preserve">La sentencia emitida el veintiocho de abril de  dos mil diecisiete por el </w:t>
            </w:r>
            <w:r w:rsidR="00E35C64" w:rsidRPr="00790693">
              <w:rPr>
                <w:rFonts w:ascii="ITC Avant Garde" w:hAnsi="ITC Avant Garde"/>
                <w:bCs/>
              </w:rPr>
              <w:t>Juzgado Segundo</w:t>
            </w:r>
            <w:r w:rsidRPr="00790693">
              <w:rPr>
                <w:rFonts w:ascii="ITC Avant Garde" w:hAnsi="ITC Avant Garde"/>
                <w:bCs/>
              </w:rPr>
              <w:t xml:space="preserve"> en el expediente 18/2017,</w:t>
            </w:r>
            <w:r w:rsidR="00BD340A" w:rsidRPr="00790693">
              <w:rPr>
                <w:rFonts w:ascii="ITC Avant Garde" w:hAnsi="ITC Avant Garde"/>
                <w:bCs/>
              </w:rPr>
              <w:t xml:space="preserve"> mediante </w:t>
            </w:r>
            <w:r w:rsidRPr="00790693">
              <w:rPr>
                <w:rFonts w:ascii="ITC Avant Garde" w:hAnsi="ITC Avant Garde"/>
                <w:bCs/>
              </w:rPr>
              <w:t>la</w:t>
            </w:r>
            <w:r w:rsidR="00BD340A" w:rsidRPr="00790693">
              <w:rPr>
                <w:rFonts w:ascii="ITC Avant Garde" w:hAnsi="ITC Avant Garde"/>
                <w:bCs/>
              </w:rPr>
              <w:t xml:space="preserve"> cual negó el amparo a Cablevisión en contra del Acuerdo Cablevisión.</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rPr>
              <w:t>Cablevisión</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Cablevisión, S.A. de C.V.</w:t>
            </w:r>
          </w:p>
        </w:tc>
      </w:tr>
      <w:tr w:rsidR="006B26F8" w:rsidRPr="00C4102E" w:rsidTr="002F1555">
        <w:trPr>
          <w:tblHeader/>
        </w:trPr>
        <w:tc>
          <w:tcPr>
            <w:tcW w:w="3686" w:type="dxa"/>
          </w:tcPr>
          <w:p w:rsidR="006B26F8" w:rsidRPr="00C4102E" w:rsidRDefault="006B26F8" w:rsidP="002F1555">
            <w:pPr>
              <w:spacing w:after="0"/>
              <w:rPr>
                <w:rFonts w:ascii="ITC Avant Garde" w:hAnsi="ITC Avant Garde"/>
              </w:rPr>
            </w:pPr>
            <w:r>
              <w:rPr>
                <w:rFonts w:ascii="ITC Avant Garde" w:hAnsi="ITC Avant Garde"/>
              </w:rPr>
              <w:t>DOF</w:t>
            </w:r>
          </w:p>
        </w:tc>
        <w:tc>
          <w:tcPr>
            <w:tcW w:w="5142" w:type="dxa"/>
          </w:tcPr>
          <w:p w:rsidR="006B26F8" w:rsidRPr="00790693" w:rsidRDefault="006B26F8" w:rsidP="002F1555">
            <w:pPr>
              <w:spacing w:after="0"/>
              <w:jc w:val="both"/>
              <w:rPr>
                <w:rFonts w:ascii="ITC Avant Garde" w:hAnsi="ITC Avant Garde"/>
              </w:rPr>
            </w:pPr>
            <w:r w:rsidRPr="00790693">
              <w:rPr>
                <w:rFonts w:ascii="ITC Avant Garde" w:hAnsi="ITC Avant Garde"/>
              </w:rPr>
              <w:t>Diario Oficial de la Federación</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rPr>
              <w:t xml:space="preserve">Ejecutoria Cablevisión </w:t>
            </w:r>
            <w:r w:rsidRPr="00C4102E">
              <w:rPr>
                <w:rFonts w:ascii="ITC Avant Garde" w:hAnsi="ITC Avant Garde"/>
                <w:lang w:bidi="en-US"/>
              </w:rPr>
              <w:t>55/2014</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 xml:space="preserve">La ejecutoria </w:t>
            </w:r>
            <w:r w:rsidR="00955DF0" w:rsidRPr="00790693">
              <w:rPr>
                <w:rFonts w:ascii="ITC Avant Garde" w:hAnsi="ITC Avant Garde"/>
              </w:rPr>
              <w:t>dictada</w:t>
            </w:r>
            <w:r w:rsidR="00955DF0" w:rsidRPr="00790693">
              <w:rPr>
                <w:rFonts w:ascii="ITC Avant Garde" w:hAnsi="ITC Avant Garde"/>
                <w:b/>
              </w:rPr>
              <w:t xml:space="preserve"> </w:t>
            </w:r>
            <w:r w:rsidR="00955DF0" w:rsidRPr="00790693">
              <w:rPr>
                <w:rFonts w:ascii="ITC Avant Garde" w:hAnsi="ITC Avant Garde"/>
              </w:rPr>
              <w:t xml:space="preserve">el veintiocho de enero de dos mil dieciséis por el </w:t>
            </w:r>
            <w:r w:rsidR="00955DF0" w:rsidRPr="00790693">
              <w:rPr>
                <w:rFonts w:ascii="ITC Avant Garde" w:hAnsi="ITC Avant Garde"/>
                <w:lang w:bidi="en-US"/>
              </w:rPr>
              <w:t xml:space="preserve">Primer </w:t>
            </w:r>
            <w:r w:rsidR="00955DF0" w:rsidRPr="00790693">
              <w:rPr>
                <w:rFonts w:ascii="ITC Avant Garde" w:hAnsi="ITC Avant Garde"/>
              </w:rPr>
              <w:t xml:space="preserve">Tribunal </w:t>
            </w:r>
            <w:r w:rsidR="00E35C64" w:rsidRPr="00790693">
              <w:rPr>
                <w:rFonts w:ascii="ITC Avant Garde" w:hAnsi="ITC Avant Garde"/>
              </w:rPr>
              <w:t>Especializado</w:t>
            </w:r>
            <w:r w:rsidR="00955DF0" w:rsidRPr="00790693">
              <w:rPr>
                <w:rFonts w:ascii="ITC Avant Garde" w:hAnsi="ITC Avant Garde"/>
              </w:rPr>
              <w:t>, en el expediente</w:t>
            </w:r>
            <w:r w:rsidR="000217D1" w:rsidRPr="00790693">
              <w:rPr>
                <w:rFonts w:ascii="ITC Avant Garde" w:hAnsi="ITC Avant Garde"/>
              </w:rPr>
              <w:t xml:space="preserve"> del amparo en revisión</w:t>
            </w:r>
            <w:r w:rsidR="00955DF0" w:rsidRPr="00790693">
              <w:rPr>
                <w:rFonts w:ascii="ITC Avant Garde" w:hAnsi="ITC Avant Garde"/>
              </w:rPr>
              <w:t xml:space="preserve"> </w:t>
            </w:r>
            <w:r w:rsidR="00955DF0" w:rsidRPr="00790693">
              <w:rPr>
                <w:rFonts w:ascii="ITC Avant Garde" w:hAnsi="ITC Avant Garde"/>
                <w:lang w:bidi="en-US"/>
              </w:rPr>
              <w:t xml:space="preserve">número 55/2014, </w:t>
            </w:r>
            <w:r w:rsidRPr="00790693">
              <w:rPr>
                <w:rFonts w:ascii="ITC Avant Garde" w:hAnsi="ITC Avant Garde"/>
              </w:rPr>
              <w:t xml:space="preserve">que ordenó revocar la resolución del Amparo Cablevisión y sobreseer </w:t>
            </w:r>
            <w:r w:rsidRPr="00790693">
              <w:rPr>
                <w:rFonts w:ascii="ITC Avant Garde" w:hAnsi="ITC Avant Garde"/>
                <w:lang w:bidi="en-US"/>
              </w:rPr>
              <w:t>.</w:t>
            </w:r>
          </w:p>
        </w:tc>
      </w:tr>
      <w:tr w:rsidR="00C4102E" w:rsidRPr="00C4102E" w:rsidTr="002F1555">
        <w:trPr>
          <w:tblHeader/>
        </w:trPr>
        <w:tc>
          <w:tcPr>
            <w:tcW w:w="3686" w:type="dxa"/>
          </w:tcPr>
          <w:p w:rsidR="00C4102E" w:rsidRPr="00346771" w:rsidRDefault="00C4102E" w:rsidP="002F1555">
            <w:pPr>
              <w:spacing w:after="0"/>
              <w:rPr>
                <w:rFonts w:ascii="ITC Avant Garde" w:hAnsi="ITC Avant Garde"/>
                <w:b/>
              </w:rPr>
            </w:pPr>
            <w:r w:rsidRPr="00346771">
              <w:rPr>
                <w:rFonts w:ascii="ITC Avant Garde" w:hAnsi="ITC Avant Garde"/>
                <w:b/>
              </w:rPr>
              <w:t>Ejecutoria Cablevisión 7/2017</w:t>
            </w:r>
          </w:p>
        </w:tc>
        <w:tc>
          <w:tcPr>
            <w:tcW w:w="5142" w:type="dxa"/>
          </w:tcPr>
          <w:p w:rsidR="00C4102E" w:rsidRPr="00790693" w:rsidRDefault="000217D1" w:rsidP="002F1555">
            <w:pPr>
              <w:spacing w:after="0"/>
              <w:jc w:val="both"/>
              <w:rPr>
                <w:rFonts w:ascii="ITC Avant Garde" w:hAnsi="ITC Avant Garde"/>
              </w:rPr>
            </w:pPr>
            <w:r w:rsidRPr="00790693">
              <w:rPr>
                <w:rFonts w:ascii="ITC Avant Garde" w:hAnsi="ITC Avant Garde"/>
              </w:rPr>
              <w:t xml:space="preserve">La ejecutoria dictada el diecisiete de agosto de dos mil diecisiete por el Primer Tribunal Especializado </w:t>
            </w:r>
            <w:r w:rsidR="00C4102E" w:rsidRPr="00790693">
              <w:rPr>
                <w:rFonts w:ascii="ITC Avant Garde" w:hAnsi="ITC Avant Garde"/>
              </w:rPr>
              <w:t xml:space="preserve">en el </w:t>
            </w:r>
            <w:r w:rsidRPr="00790693">
              <w:rPr>
                <w:rFonts w:ascii="ITC Avant Garde" w:hAnsi="ITC Avant Garde"/>
              </w:rPr>
              <w:t xml:space="preserve">expediente del amparo en revisión número R.A. </w:t>
            </w:r>
            <w:r w:rsidR="00C4102E" w:rsidRPr="00790693">
              <w:rPr>
                <w:rFonts w:ascii="ITC Avant Garde" w:hAnsi="ITC Avant Garde"/>
              </w:rPr>
              <w:t>7/2017</w:t>
            </w:r>
            <w:r w:rsidR="00276D3C" w:rsidRPr="00790693">
              <w:rPr>
                <w:rFonts w:ascii="ITC Avant Garde" w:hAnsi="ITC Avant Garde"/>
              </w:rPr>
              <w:t xml:space="preserve"> que</w:t>
            </w:r>
            <w:r w:rsidRPr="00790693">
              <w:rPr>
                <w:rFonts w:ascii="ITC Avant Garde" w:hAnsi="ITC Avant Garde"/>
              </w:rPr>
              <w:t xml:space="preserve"> </w:t>
            </w:r>
            <w:r w:rsidR="00C4102E" w:rsidRPr="00790693">
              <w:rPr>
                <w:rFonts w:ascii="ITC Avant Garde" w:hAnsi="ITC Avant Garde"/>
              </w:rPr>
              <w:t xml:space="preserve">revocó la sentencia </w:t>
            </w:r>
            <w:r w:rsidR="00E35C64" w:rsidRPr="00790693">
              <w:rPr>
                <w:rFonts w:ascii="ITC Avant Garde" w:hAnsi="ITC Avant Garde"/>
              </w:rPr>
              <w:t xml:space="preserve">del Amparo </w:t>
            </w:r>
            <w:r w:rsidR="00BD340A" w:rsidRPr="00790693">
              <w:rPr>
                <w:rFonts w:ascii="ITC Avant Garde" w:hAnsi="ITC Avant Garde"/>
              </w:rPr>
              <w:t xml:space="preserve">85/2016 y concedió el amparo a Cablevisión para efectos de que el Instituto dejara </w:t>
            </w:r>
            <w:r w:rsidR="00276D3C" w:rsidRPr="00790693">
              <w:rPr>
                <w:rFonts w:ascii="ITC Avant Garde" w:hAnsi="ITC Avant Garde"/>
              </w:rPr>
              <w:t>insubsistente</w:t>
            </w:r>
            <w:r w:rsidR="003649FE" w:rsidRPr="00790693">
              <w:rPr>
                <w:rFonts w:ascii="ITC Avant Garde" w:hAnsi="ITC Avant Garde"/>
              </w:rPr>
              <w:t xml:space="preserve"> el Acuerdo de Mecanismo</w:t>
            </w:r>
            <w:r w:rsidR="00C4102E" w:rsidRPr="00790693">
              <w:rPr>
                <w:rFonts w:ascii="ITC Avant Garde" w:hAnsi="ITC Avant Garde"/>
              </w:rPr>
              <w:t>.</w:t>
            </w:r>
          </w:p>
          <w:p w:rsidR="00BD340A" w:rsidRPr="00790693" w:rsidRDefault="00BD340A" w:rsidP="002F1555">
            <w:pPr>
              <w:spacing w:after="0"/>
              <w:jc w:val="both"/>
              <w:rPr>
                <w:rFonts w:ascii="ITC Avant Garde" w:hAnsi="ITC Avant Garde"/>
                <w:u w:val="single"/>
              </w:rPr>
            </w:pPr>
            <w:r w:rsidRPr="00790693">
              <w:rPr>
                <w:rFonts w:ascii="ITC Avant Garde" w:hAnsi="ITC Avant Garde"/>
                <w:u w:val="single"/>
              </w:rPr>
              <w:t>Esta es la resolución a la que el Pleno del Instituto da cumplimiento en el presente acuerdo.</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bCs/>
              </w:rPr>
              <w:t>Ejecutoria Cablevisión 106/2017</w:t>
            </w:r>
          </w:p>
        </w:tc>
        <w:tc>
          <w:tcPr>
            <w:tcW w:w="5142" w:type="dxa"/>
          </w:tcPr>
          <w:p w:rsidR="00C4102E" w:rsidRPr="00790693" w:rsidRDefault="000217D1" w:rsidP="002F1555">
            <w:pPr>
              <w:spacing w:after="0"/>
              <w:jc w:val="both"/>
              <w:rPr>
                <w:rFonts w:ascii="ITC Avant Garde" w:hAnsi="ITC Avant Garde"/>
              </w:rPr>
            </w:pPr>
            <w:r w:rsidRPr="00790693">
              <w:rPr>
                <w:rFonts w:ascii="ITC Avant Garde" w:hAnsi="ITC Avant Garde"/>
                <w:bCs/>
              </w:rPr>
              <w:t>La e</w:t>
            </w:r>
            <w:r w:rsidR="00C4102E" w:rsidRPr="00790693">
              <w:rPr>
                <w:rFonts w:ascii="ITC Avant Garde" w:hAnsi="ITC Avant Garde"/>
                <w:bCs/>
              </w:rPr>
              <w:t xml:space="preserve">jecutoria dictada el trece de septiembre de dos mil diecisiete por el Primer Tribunal </w:t>
            </w:r>
            <w:r w:rsidR="00E35C64" w:rsidRPr="00790693">
              <w:rPr>
                <w:rFonts w:ascii="ITC Avant Garde" w:hAnsi="ITC Avant Garde"/>
                <w:bCs/>
              </w:rPr>
              <w:t xml:space="preserve">Especializado </w:t>
            </w:r>
            <w:r w:rsidR="00C4102E" w:rsidRPr="00790693">
              <w:rPr>
                <w:rFonts w:ascii="ITC Avant Garde" w:hAnsi="ITC Avant Garde"/>
                <w:bCs/>
              </w:rPr>
              <w:t>en el</w:t>
            </w:r>
            <w:r w:rsidRPr="00790693">
              <w:rPr>
                <w:rFonts w:ascii="ITC Avant Garde" w:hAnsi="ITC Avant Garde"/>
                <w:bCs/>
              </w:rPr>
              <w:t xml:space="preserve"> expediente del</w:t>
            </w:r>
            <w:r w:rsidR="00C4102E" w:rsidRPr="00790693">
              <w:rPr>
                <w:rFonts w:ascii="ITC Avant Garde" w:hAnsi="ITC Avant Garde"/>
                <w:bCs/>
              </w:rPr>
              <w:t xml:space="preserve"> amparo en revisión</w:t>
            </w:r>
            <w:r w:rsidRPr="00790693">
              <w:rPr>
                <w:rFonts w:ascii="ITC Avant Garde" w:hAnsi="ITC Avant Garde"/>
                <w:bCs/>
              </w:rPr>
              <w:t xml:space="preserve"> número</w:t>
            </w:r>
            <w:r w:rsidR="00C4102E" w:rsidRPr="00790693">
              <w:rPr>
                <w:rFonts w:ascii="ITC Avant Garde" w:hAnsi="ITC Avant Garde"/>
                <w:bCs/>
              </w:rPr>
              <w:t xml:space="preserve"> </w:t>
            </w:r>
            <w:r w:rsidRPr="00790693">
              <w:rPr>
                <w:rFonts w:ascii="ITC Avant Garde" w:hAnsi="ITC Avant Garde"/>
                <w:bCs/>
              </w:rPr>
              <w:t xml:space="preserve">R.A. </w:t>
            </w:r>
            <w:r w:rsidR="00C4102E" w:rsidRPr="00790693">
              <w:rPr>
                <w:rFonts w:ascii="ITC Avant Garde" w:hAnsi="ITC Avant Garde"/>
                <w:bCs/>
              </w:rPr>
              <w:t>106/2017</w:t>
            </w:r>
            <w:r w:rsidR="00276D3C" w:rsidRPr="00790693">
              <w:rPr>
                <w:rFonts w:ascii="ITC Avant Garde" w:hAnsi="ITC Avant Garde"/>
                <w:bCs/>
              </w:rPr>
              <w:t xml:space="preserve"> que</w:t>
            </w:r>
            <w:r w:rsidR="00C4102E" w:rsidRPr="00790693">
              <w:rPr>
                <w:rFonts w:ascii="ITC Avant Garde" w:hAnsi="ITC Avant Garde"/>
                <w:bCs/>
              </w:rPr>
              <w:t xml:space="preserve"> </w:t>
            </w:r>
            <w:r w:rsidR="00EE44CD" w:rsidRPr="00790693">
              <w:rPr>
                <w:rFonts w:ascii="ITC Avant Garde" w:hAnsi="ITC Avant Garde"/>
                <w:bCs/>
              </w:rPr>
              <w:t xml:space="preserve">revocó la resolución del </w:t>
            </w:r>
            <w:r w:rsidR="00EE44CD" w:rsidRPr="00790693">
              <w:rPr>
                <w:rFonts w:ascii="ITC Avant Garde" w:hAnsi="ITC Avant Garde"/>
              </w:rPr>
              <w:t xml:space="preserve">Amparo 18/2017 y </w:t>
            </w:r>
            <w:r w:rsidR="00C4102E" w:rsidRPr="00790693">
              <w:rPr>
                <w:rFonts w:ascii="ITC Avant Garde" w:hAnsi="ITC Avant Garde"/>
                <w:bCs/>
              </w:rPr>
              <w:t>conced</w:t>
            </w:r>
            <w:r w:rsidR="00EE44CD" w:rsidRPr="00790693">
              <w:rPr>
                <w:rFonts w:ascii="ITC Avant Garde" w:hAnsi="ITC Avant Garde"/>
                <w:bCs/>
              </w:rPr>
              <w:t>ió</w:t>
            </w:r>
            <w:r w:rsidR="00C4102E" w:rsidRPr="00790693">
              <w:rPr>
                <w:rFonts w:ascii="ITC Avant Garde" w:hAnsi="ITC Avant Garde"/>
                <w:bCs/>
              </w:rPr>
              <w:t xml:space="preserve"> el amparo a Cablevisión </w:t>
            </w:r>
            <w:r w:rsidR="00EE44CD" w:rsidRPr="00790693">
              <w:rPr>
                <w:rFonts w:ascii="ITC Avant Garde" w:hAnsi="ITC Avant Garde"/>
                <w:bCs/>
              </w:rPr>
              <w:t xml:space="preserve">para efectos de que el Instituto dejara </w:t>
            </w:r>
            <w:r w:rsidR="00276D3C" w:rsidRPr="00790693">
              <w:rPr>
                <w:rFonts w:ascii="ITC Avant Garde" w:hAnsi="ITC Avant Garde"/>
                <w:bCs/>
              </w:rPr>
              <w:t>insubsistente</w:t>
            </w:r>
            <w:r w:rsidR="00EE44CD" w:rsidRPr="00790693">
              <w:rPr>
                <w:rFonts w:ascii="ITC Avant Garde" w:hAnsi="ITC Avant Garde"/>
                <w:bCs/>
              </w:rPr>
              <w:t xml:space="preserve"> </w:t>
            </w:r>
            <w:r w:rsidR="00C4102E" w:rsidRPr="00790693">
              <w:rPr>
                <w:rFonts w:ascii="ITC Avant Garde" w:hAnsi="ITC Avant Garde"/>
                <w:bCs/>
              </w:rPr>
              <w:t>el Acuerdo Cablevisión</w:t>
            </w:r>
            <w:r w:rsidR="00EE44CD" w:rsidRPr="00790693">
              <w:rPr>
                <w:rFonts w:ascii="ITC Avant Garde" w:hAnsi="ITC Avant Garde"/>
                <w:bCs/>
              </w:rPr>
              <w:t xml:space="preserve"> y emitiera uno nuevo en cumplimiento</w:t>
            </w:r>
            <w:r w:rsidR="00E35C64" w:rsidRPr="00790693">
              <w:rPr>
                <w:rFonts w:ascii="ITC Avant Garde" w:hAnsi="ITC Avant Garde"/>
                <w:bCs/>
              </w:rPr>
              <w:t>.</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lang w:bidi="en-US"/>
              </w:rPr>
              <w:t xml:space="preserve">Ejecutoria </w:t>
            </w:r>
            <w:proofErr w:type="spellStart"/>
            <w:r w:rsidRPr="00C4102E">
              <w:rPr>
                <w:rFonts w:ascii="ITC Avant Garde" w:hAnsi="ITC Avant Garde"/>
                <w:lang w:bidi="en-US"/>
              </w:rPr>
              <w:t>Megacable</w:t>
            </w:r>
            <w:proofErr w:type="spellEnd"/>
          </w:p>
        </w:tc>
        <w:tc>
          <w:tcPr>
            <w:tcW w:w="5142" w:type="dxa"/>
          </w:tcPr>
          <w:p w:rsidR="00C4102E" w:rsidRPr="00790693" w:rsidRDefault="000217D1" w:rsidP="002F1555">
            <w:pPr>
              <w:spacing w:after="0"/>
              <w:jc w:val="both"/>
              <w:rPr>
                <w:rFonts w:ascii="ITC Avant Garde" w:hAnsi="ITC Avant Garde"/>
              </w:rPr>
            </w:pPr>
            <w:r w:rsidRPr="00790693">
              <w:rPr>
                <w:rFonts w:ascii="ITC Avant Garde" w:hAnsi="ITC Avant Garde"/>
              </w:rPr>
              <w:t>La ejecutoria dictada el</w:t>
            </w:r>
            <w:r w:rsidR="00C4102E" w:rsidRPr="00790693">
              <w:rPr>
                <w:rFonts w:ascii="ITC Avant Garde" w:hAnsi="ITC Avant Garde"/>
              </w:rPr>
              <w:t xml:space="preserve"> ocho de octubre de dos mil quince</w:t>
            </w:r>
            <w:r w:rsidRPr="00790693">
              <w:rPr>
                <w:rFonts w:ascii="ITC Avant Garde" w:hAnsi="ITC Avant Garde"/>
              </w:rPr>
              <w:t xml:space="preserve"> </w:t>
            </w:r>
            <w:r w:rsidR="00C4102E" w:rsidRPr="00790693">
              <w:rPr>
                <w:rFonts w:ascii="ITC Avant Garde" w:hAnsi="ITC Avant Garde"/>
              </w:rPr>
              <w:t xml:space="preserve">por el Segundo Tribunal Especializado </w:t>
            </w:r>
            <w:r w:rsidR="00C4102E" w:rsidRPr="00790693">
              <w:rPr>
                <w:rFonts w:ascii="ITC Avant Garde" w:hAnsi="ITC Avant Garde"/>
                <w:lang w:bidi="en-US"/>
              </w:rPr>
              <w:t>en el</w:t>
            </w:r>
            <w:r w:rsidRPr="00790693">
              <w:rPr>
                <w:rFonts w:ascii="ITC Avant Garde" w:hAnsi="ITC Avant Garde"/>
                <w:lang w:bidi="en-US"/>
              </w:rPr>
              <w:t xml:space="preserve"> expediente del</w:t>
            </w:r>
            <w:r w:rsidR="00C4102E" w:rsidRPr="00790693">
              <w:rPr>
                <w:rFonts w:ascii="ITC Avant Garde" w:hAnsi="ITC Avant Garde"/>
                <w:lang w:bidi="en-US"/>
              </w:rPr>
              <w:t xml:space="preserve"> amparo en revisión</w:t>
            </w:r>
            <w:r w:rsidRPr="00790693">
              <w:rPr>
                <w:rFonts w:ascii="ITC Avant Garde" w:hAnsi="ITC Avant Garde"/>
                <w:lang w:bidi="en-US"/>
              </w:rPr>
              <w:t xml:space="preserve"> número</w:t>
            </w:r>
            <w:r w:rsidR="00C4102E" w:rsidRPr="00790693">
              <w:rPr>
                <w:rFonts w:ascii="ITC Avant Garde" w:hAnsi="ITC Avant Garde"/>
                <w:lang w:bidi="en-US"/>
              </w:rPr>
              <w:t xml:space="preserve"> R.A. 32/2015 por el que se concedió el amparo a </w:t>
            </w:r>
            <w:proofErr w:type="spellStart"/>
            <w:r w:rsidR="00C4102E" w:rsidRPr="00790693">
              <w:rPr>
                <w:rFonts w:ascii="ITC Avant Garde" w:hAnsi="ITC Avant Garde"/>
                <w:lang w:bidi="en-US"/>
              </w:rPr>
              <w:t>Megacable</w:t>
            </w:r>
            <w:proofErr w:type="spellEnd"/>
            <w:r w:rsidRPr="00790693">
              <w:rPr>
                <w:rFonts w:ascii="ITC Avant Garde" w:hAnsi="ITC Avant Garde"/>
                <w:lang w:bidi="en-US"/>
              </w:rPr>
              <w:t xml:space="preserve"> en contra de la Resolución</w:t>
            </w:r>
            <w:r w:rsidR="00C4102E" w:rsidRPr="00790693">
              <w:rPr>
                <w:rFonts w:ascii="ITC Avant Garde" w:hAnsi="ITC Avant Garde"/>
                <w:lang w:bidi="en-US"/>
              </w:rPr>
              <w:t>.</w:t>
            </w:r>
          </w:p>
        </w:tc>
      </w:tr>
      <w:tr w:rsidR="00C4102E" w:rsidRPr="00C4102E" w:rsidTr="002F1555">
        <w:trPr>
          <w:tblHeader/>
        </w:trPr>
        <w:tc>
          <w:tcPr>
            <w:tcW w:w="3686" w:type="dxa"/>
          </w:tcPr>
          <w:p w:rsidR="00C4102E" w:rsidRPr="00C4102E" w:rsidRDefault="00C4102E" w:rsidP="002F1555">
            <w:pPr>
              <w:spacing w:after="0"/>
              <w:ind w:firstLine="29"/>
              <w:rPr>
                <w:rFonts w:ascii="ITC Avant Garde" w:hAnsi="ITC Avant Garde"/>
              </w:rPr>
            </w:pPr>
            <w:r w:rsidRPr="00C4102E">
              <w:rPr>
                <w:rFonts w:ascii="ITC Avant Garde" w:hAnsi="ITC Avant Garde"/>
              </w:rPr>
              <w:lastRenderedPageBreak/>
              <w:t>Escrito Cablevisión</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 xml:space="preserve">Escrito presentado por Cablevisión en la oficialía de partes de este Instituto el tres de noviembre de dos mil dieciséis, a través del cual solicitó </w:t>
            </w:r>
            <w:r w:rsidR="00276D3C" w:rsidRPr="00790693">
              <w:rPr>
                <w:rFonts w:ascii="ITC Avant Garde" w:hAnsi="ITC Avant Garde"/>
              </w:rPr>
              <w:t>al</w:t>
            </w:r>
            <w:r w:rsidRPr="00790693">
              <w:rPr>
                <w:rFonts w:ascii="ITC Avant Garde" w:hAnsi="ITC Avant Garde"/>
              </w:rPr>
              <w:t xml:space="preserve"> Instituto se abstuviera de solicitar al Servicio de Administración Tributaria la ejecución de la multa impuesta en la </w:t>
            </w:r>
            <w:r w:rsidR="000217D1" w:rsidRPr="00790693">
              <w:rPr>
                <w:rFonts w:ascii="ITC Avant Garde" w:hAnsi="ITC Avant Garde"/>
                <w:lang w:bidi="en-US"/>
              </w:rPr>
              <w:t>Resolución</w:t>
            </w:r>
            <w:r w:rsidRPr="00790693">
              <w:rPr>
                <w:rFonts w:ascii="ITC Avant Garde" w:hAnsi="ITC Avant Garde"/>
              </w:rPr>
              <w:t>.</w:t>
            </w:r>
          </w:p>
        </w:tc>
      </w:tr>
      <w:tr w:rsidR="00C4102E" w:rsidRPr="00C4102E" w:rsidTr="002F1555">
        <w:trPr>
          <w:tblHeader/>
        </w:trPr>
        <w:tc>
          <w:tcPr>
            <w:tcW w:w="3686" w:type="dxa"/>
          </w:tcPr>
          <w:p w:rsidR="00C4102E" w:rsidRPr="00C4102E" w:rsidRDefault="00C4102E" w:rsidP="002F1555">
            <w:pPr>
              <w:pStyle w:val="Glosario"/>
              <w:tabs>
                <w:tab w:val="clear" w:pos="2552"/>
              </w:tabs>
              <w:spacing w:before="0" w:line="276" w:lineRule="auto"/>
              <w:ind w:left="0" w:firstLine="0"/>
              <w:jc w:val="left"/>
            </w:pPr>
            <w:r w:rsidRPr="00C4102E">
              <w:t>Estatuto Orgánico</w:t>
            </w:r>
          </w:p>
        </w:tc>
        <w:tc>
          <w:tcPr>
            <w:tcW w:w="5142" w:type="dxa"/>
          </w:tcPr>
          <w:p w:rsidR="00C4102E" w:rsidRPr="00790693" w:rsidRDefault="00C4102E" w:rsidP="002F1555">
            <w:pPr>
              <w:pStyle w:val="Glosario"/>
              <w:tabs>
                <w:tab w:val="clear" w:pos="2552"/>
              </w:tabs>
              <w:spacing w:before="0" w:line="276" w:lineRule="auto"/>
              <w:ind w:left="9" w:firstLine="0"/>
            </w:pPr>
            <w:r w:rsidRPr="00790693">
              <w:t xml:space="preserve">Estatuto Orgánico del Instituto, </w:t>
            </w:r>
            <w:r w:rsidR="000217D1" w:rsidRPr="00790693">
              <w:t>p</w:t>
            </w:r>
            <w:r w:rsidRPr="00790693">
              <w:t>ublicado en el DOF el cuatro de septiembre de dos mil catorce, cuya última modificación fue publicad</w:t>
            </w:r>
            <w:r w:rsidR="000217D1" w:rsidRPr="00790693">
              <w:t>a</w:t>
            </w:r>
            <w:r w:rsidRPr="00790693">
              <w:t xml:space="preserve"> en el DOF el veinte de julio de dos mil diecisiete.</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rPr>
              <w:t>Expediente</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Los autos que conforman el expediente</w:t>
            </w:r>
            <w:r w:rsidR="00276D3C" w:rsidRPr="00790693">
              <w:rPr>
                <w:rFonts w:ascii="ITC Avant Garde" w:hAnsi="ITC Avant Garde"/>
              </w:rPr>
              <w:t xml:space="preserve"> número</w:t>
            </w:r>
            <w:r w:rsidRPr="00790693">
              <w:rPr>
                <w:rFonts w:ascii="ITC Avant Garde" w:hAnsi="ITC Avant Garde"/>
              </w:rPr>
              <w:t xml:space="preserve"> E-IFT/DGIPM/PMA/0001/2013.</w:t>
            </w:r>
          </w:p>
        </w:tc>
      </w:tr>
      <w:tr w:rsidR="00C4102E" w:rsidRPr="00C4102E" w:rsidTr="002F1555">
        <w:trPr>
          <w:tblHeader/>
        </w:trPr>
        <w:tc>
          <w:tcPr>
            <w:tcW w:w="3686" w:type="dxa"/>
          </w:tcPr>
          <w:p w:rsidR="00C4102E" w:rsidRPr="00C4102E" w:rsidRDefault="00C4102E" w:rsidP="002F1555">
            <w:pPr>
              <w:spacing w:after="0"/>
              <w:rPr>
                <w:rFonts w:ascii="ITC Avant Garde" w:hAnsi="ITC Avant Garde"/>
              </w:rPr>
            </w:pPr>
            <w:r w:rsidRPr="00C4102E">
              <w:rPr>
                <w:rFonts w:ascii="ITC Avant Garde" w:hAnsi="ITC Avant Garde"/>
              </w:rPr>
              <w:t>IFT o Instituto</w:t>
            </w:r>
          </w:p>
        </w:tc>
        <w:tc>
          <w:tcPr>
            <w:tcW w:w="5142" w:type="dxa"/>
          </w:tcPr>
          <w:p w:rsidR="00C4102E" w:rsidRPr="00790693" w:rsidRDefault="00C4102E" w:rsidP="002F1555">
            <w:pPr>
              <w:spacing w:after="0"/>
              <w:jc w:val="both"/>
              <w:rPr>
                <w:rFonts w:ascii="ITC Avant Garde" w:hAnsi="ITC Avant Garde"/>
              </w:rPr>
            </w:pPr>
            <w:r w:rsidRPr="00790693">
              <w:rPr>
                <w:rFonts w:ascii="ITC Avant Garde" w:hAnsi="ITC Avant Garde"/>
              </w:rPr>
              <w:t>Instituto Federal de Telecomunicaciones.</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rPr>
            </w:pPr>
            <w:r w:rsidRPr="00C4102E">
              <w:rPr>
                <w:rFonts w:ascii="ITC Avant Garde" w:hAnsi="ITC Avant Garde"/>
                <w:lang w:bidi="en-US"/>
              </w:rPr>
              <w:t>Juzgado Primero</w:t>
            </w:r>
          </w:p>
        </w:tc>
        <w:tc>
          <w:tcPr>
            <w:tcW w:w="5142" w:type="dxa"/>
          </w:tcPr>
          <w:p w:rsidR="001E09AE" w:rsidRPr="00790693" w:rsidRDefault="001E09AE" w:rsidP="002F1555">
            <w:pPr>
              <w:spacing w:after="0"/>
              <w:jc w:val="both"/>
              <w:rPr>
                <w:rFonts w:ascii="ITC Avant Garde" w:hAnsi="ITC Avant Garde"/>
                <w:lang w:bidi="en-US"/>
              </w:rPr>
            </w:pPr>
            <w:r w:rsidRPr="00790693">
              <w:rPr>
                <w:rFonts w:ascii="ITC Avant Garde" w:hAnsi="ITC Avant Garde"/>
              </w:rPr>
              <w:t xml:space="preserve">Juzgado Primero de Distrito en Materia Administrativa, Especializado en Competencia Económica, Radiodifusión y Telecomunicaciones, </w:t>
            </w:r>
            <w:r w:rsidRPr="00790693">
              <w:rPr>
                <w:rFonts w:ascii="ITC Avant Garde" w:hAnsi="ITC Avant Garde"/>
                <w:lang w:bidi="en-US"/>
              </w:rPr>
              <w:t>con residencia en el Distrito Federal y jurisdicción en toda la República.</w:t>
            </w:r>
          </w:p>
          <w:p w:rsidR="001E09AE" w:rsidRPr="00790693" w:rsidRDefault="001E09AE" w:rsidP="002F1555">
            <w:pPr>
              <w:spacing w:after="0"/>
              <w:jc w:val="both"/>
              <w:rPr>
                <w:rFonts w:ascii="ITC Avant Garde" w:hAnsi="ITC Avant Garde"/>
              </w:rPr>
            </w:pPr>
            <w:r w:rsidRPr="00790693">
              <w:rPr>
                <w:rFonts w:ascii="ITC Avant Garde" w:hAnsi="ITC Avant Garde"/>
                <w:lang w:bidi="en-US"/>
              </w:rPr>
              <w:t>Órgano que cambió su denominación a J</w:t>
            </w:r>
            <w:r w:rsidRPr="00790693">
              <w:rPr>
                <w:rFonts w:ascii="ITC Avant Garde" w:hAnsi="ITC Avant Garde"/>
              </w:rPr>
              <w:t xml:space="preserve">uzgado Primero de Distrito en Materia Administrativa, Especializado en Competencia Económica, Radiodifusión y Telecomunicaciones, </w:t>
            </w:r>
            <w:r w:rsidRPr="00790693">
              <w:rPr>
                <w:rFonts w:ascii="ITC Avant Garde" w:hAnsi="ITC Avant Garde"/>
                <w:lang w:bidi="en-US"/>
              </w:rPr>
              <w:t>con residencia en la Ciudad de México y jurisdicción en toda la República</w:t>
            </w:r>
            <w:r w:rsidR="00A7235E" w:rsidRPr="00790693">
              <w:rPr>
                <w:rFonts w:ascii="ITC Avant Garde" w:hAnsi="ITC Avant Garde"/>
                <w:lang w:bidi="en-US"/>
              </w:rPr>
              <w:t>,</w:t>
            </w:r>
            <w:r w:rsidRPr="00790693">
              <w:rPr>
                <w:rFonts w:ascii="ITC Avant Garde" w:hAnsi="ITC Avant Garde"/>
                <w:lang w:bidi="en-US"/>
              </w:rPr>
              <w:t xml:space="preserve"> en atención a los alcances de acuerdo publicado por el Consejo de la Judicatura Federal en el DOF el cinco de febrero de dos mil dieciséis.</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rPr>
            </w:pPr>
            <w:r w:rsidRPr="00C4102E">
              <w:rPr>
                <w:rFonts w:ascii="ITC Avant Garde" w:hAnsi="ITC Avant Garde"/>
                <w:lang w:bidi="en-US"/>
              </w:rPr>
              <w:lastRenderedPageBreak/>
              <w:t>Juzgado Segundo</w:t>
            </w:r>
          </w:p>
        </w:tc>
        <w:tc>
          <w:tcPr>
            <w:tcW w:w="5142" w:type="dxa"/>
          </w:tcPr>
          <w:p w:rsidR="001E09AE" w:rsidRPr="00790693" w:rsidRDefault="001E09AE" w:rsidP="002F1555">
            <w:pPr>
              <w:spacing w:after="0"/>
              <w:jc w:val="both"/>
              <w:rPr>
                <w:rFonts w:ascii="ITC Avant Garde" w:hAnsi="ITC Avant Garde"/>
                <w:lang w:bidi="en-US"/>
              </w:rPr>
            </w:pPr>
            <w:r w:rsidRPr="00790693">
              <w:rPr>
                <w:rFonts w:ascii="ITC Avant Garde" w:hAnsi="ITC Avant Garde"/>
                <w:lang w:bidi="en-US"/>
              </w:rPr>
              <w:t xml:space="preserve">Juzgado Segundo </w:t>
            </w:r>
            <w:r w:rsidRPr="00790693">
              <w:rPr>
                <w:rFonts w:ascii="ITC Avant Garde" w:hAnsi="ITC Avant Garde"/>
              </w:rPr>
              <w:t xml:space="preserve">de Distrito en Materia Administrativa Especializado en Competencia Económica, Radiodifusión y Telecomunicaciones, </w:t>
            </w:r>
            <w:r w:rsidRPr="00790693">
              <w:rPr>
                <w:rFonts w:ascii="ITC Avant Garde" w:hAnsi="ITC Avant Garde"/>
                <w:lang w:bidi="en-US"/>
              </w:rPr>
              <w:t>con residencia en el Distrito Federal y jurisdicción en toda la República.</w:t>
            </w:r>
          </w:p>
          <w:p w:rsidR="001E09AE" w:rsidRPr="00790693" w:rsidRDefault="001E09AE" w:rsidP="002F1555">
            <w:pPr>
              <w:spacing w:after="0"/>
              <w:jc w:val="both"/>
              <w:rPr>
                <w:rFonts w:ascii="ITC Avant Garde" w:hAnsi="ITC Avant Garde"/>
              </w:rPr>
            </w:pPr>
            <w:r w:rsidRPr="00790693">
              <w:rPr>
                <w:rFonts w:ascii="ITC Avant Garde" w:hAnsi="ITC Avant Garde"/>
                <w:lang w:bidi="en-US"/>
              </w:rPr>
              <w:t>Órgano que cambió su denominación a J</w:t>
            </w:r>
            <w:r w:rsidRPr="00790693">
              <w:rPr>
                <w:rFonts w:ascii="ITC Avant Garde" w:hAnsi="ITC Avant Garde"/>
              </w:rPr>
              <w:t xml:space="preserve">uzgado Segundo de Distrito en Materia Administrativa, Especializado en Competencia Económica, Radiodifusión y Telecomunicaciones, </w:t>
            </w:r>
            <w:r w:rsidRPr="00790693">
              <w:rPr>
                <w:rFonts w:ascii="ITC Avant Garde" w:hAnsi="ITC Avant Garde"/>
                <w:lang w:bidi="en-US"/>
              </w:rPr>
              <w:t>con residencia en la Ciudad de México y jurisdicción en toda la República</w:t>
            </w:r>
            <w:r w:rsidR="00A7235E" w:rsidRPr="00790693">
              <w:rPr>
                <w:rFonts w:ascii="ITC Avant Garde" w:hAnsi="ITC Avant Garde"/>
                <w:lang w:bidi="en-US"/>
              </w:rPr>
              <w:t>,</w:t>
            </w:r>
            <w:r w:rsidRPr="00790693">
              <w:rPr>
                <w:rFonts w:ascii="ITC Avant Garde" w:hAnsi="ITC Avant Garde"/>
                <w:lang w:bidi="en-US"/>
              </w:rPr>
              <w:t xml:space="preserve"> en atención a los alcances del acuerdo publicado por el Consejo de la Judicatura Federal en el DOF el cinco de febrero de dos mil dieciséis.</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bCs/>
              </w:rPr>
            </w:pPr>
            <w:r w:rsidRPr="00C4102E">
              <w:rPr>
                <w:rFonts w:ascii="ITC Avant Garde" w:hAnsi="ITC Avant Garde"/>
                <w:bCs/>
              </w:rPr>
              <w:t>LFCE</w:t>
            </w:r>
          </w:p>
        </w:tc>
        <w:tc>
          <w:tcPr>
            <w:tcW w:w="5142" w:type="dxa"/>
          </w:tcPr>
          <w:p w:rsidR="001E09AE" w:rsidRPr="00790693" w:rsidRDefault="001E09AE" w:rsidP="002F1555">
            <w:pPr>
              <w:spacing w:after="0"/>
              <w:jc w:val="both"/>
              <w:rPr>
                <w:rFonts w:ascii="ITC Avant Garde" w:hAnsi="ITC Avant Garde"/>
              </w:rPr>
            </w:pPr>
            <w:r w:rsidRPr="00790693">
              <w:rPr>
                <w:rFonts w:ascii="ITC Avant Garde" w:hAnsi="ITC Avant Garde"/>
              </w:rPr>
              <w:t xml:space="preserve">Ley Federal de Competencia Económica, publicada en el DOF el veinticuatro de diciembre de mil novecientos noventa y dos, reformada mediante decreto de veintiocho de junio de dos mil seis. </w:t>
            </w:r>
          </w:p>
          <w:p w:rsidR="001E09AE" w:rsidRPr="00790693" w:rsidRDefault="001E09AE" w:rsidP="002F1555">
            <w:pPr>
              <w:spacing w:after="0"/>
              <w:jc w:val="both"/>
              <w:rPr>
                <w:rFonts w:ascii="ITC Avant Garde" w:hAnsi="ITC Avant Garde"/>
                <w:bCs/>
              </w:rPr>
            </w:pPr>
            <w:r w:rsidRPr="00790693">
              <w:rPr>
                <w:rFonts w:ascii="ITC Avant Garde" w:hAnsi="ITC Avant Garde"/>
              </w:rPr>
              <w:t>Ley aplicable al presente procedimiento en términos del artículo Séptimo Transitorio, segundo párrafo del Decreto por el que se reforman y adicionan diversas disposiciones  de los artículos 6º., 7º., 27, 28, 73, 78, 94 y 105 de la Constitución Política de los Estados Unidos Mexicanos en materia de telecomunicaciones, publicado en el DOF el once de junio de dos mil trece.</w:t>
            </w:r>
          </w:p>
        </w:tc>
      </w:tr>
      <w:tr w:rsidR="001E09AE" w:rsidRPr="00680371" w:rsidTr="002F1555">
        <w:trPr>
          <w:tblHeader/>
        </w:trPr>
        <w:tc>
          <w:tcPr>
            <w:tcW w:w="3686" w:type="dxa"/>
          </w:tcPr>
          <w:p w:rsidR="001E09AE" w:rsidRPr="00897912" w:rsidRDefault="001E09AE" w:rsidP="002F1555">
            <w:pPr>
              <w:spacing w:after="0"/>
              <w:rPr>
                <w:rFonts w:ascii="ITC Avant Garde" w:hAnsi="ITC Avant Garde"/>
              </w:rPr>
            </w:pPr>
            <w:proofErr w:type="spellStart"/>
            <w:r w:rsidRPr="00897912">
              <w:rPr>
                <w:rFonts w:ascii="ITC Avant Garde" w:hAnsi="ITC Avant Garde"/>
              </w:rPr>
              <w:t>Megacable</w:t>
            </w:r>
            <w:proofErr w:type="spellEnd"/>
          </w:p>
        </w:tc>
        <w:tc>
          <w:tcPr>
            <w:tcW w:w="5142" w:type="dxa"/>
          </w:tcPr>
          <w:p w:rsidR="001E09AE" w:rsidRPr="00897912" w:rsidRDefault="00680371" w:rsidP="002F1555">
            <w:pPr>
              <w:spacing w:after="0"/>
              <w:jc w:val="both"/>
              <w:rPr>
                <w:rFonts w:ascii="ITC Avant Garde" w:hAnsi="ITC Avant Garde"/>
              </w:rPr>
            </w:pPr>
            <w:proofErr w:type="spellStart"/>
            <w:r w:rsidRPr="00897912">
              <w:rPr>
                <w:rFonts w:ascii="ITC Avant Garde" w:hAnsi="ITC Avant Garde"/>
              </w:rPr>
              <w:t>Megac</w:t>
            </w:r>
            <w:r w:rsidR="001E09AE" w:rsidRPr="00897912">
              <w:rPr>
                <w:rFonts w:ascii="ITC Avant Garde" w:hAnsi="ITC Avant Garde"/>
              </w:rPr>
              <w:t>able</w:t>
            </w:r>
            <w:proofErr w:type="spellEnd"/>
            <w:r w:rsidR="001E09AE" w:rsidRPr="00897912">
              <w:rPr>
                <w:rFonts w:ascii="ITC Avant Garde" w:hAnsi="ITC Avant Garde"/>
              </w:rPr>
              <w:t>, S.A. de C.V.</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rPr>
            </w:pPr>
            <w:r w:rsidRPr="00C4102E">
              <w:rPr>
                <w:rFonts w:ascii="ITC Avant Garde" w:hAnsi="ITC Avant Garde"/>
              </w:rPr>
              <w:lastRenderedPageBreak/>
              <w:t>PMA</w:t>
            </w:r>
          </w:p>
        </w:tc>
        <w:tc>
          <w:tcPr>
            <w:tcW w:w="5142" w:type="dxa"/>
          </w:tcPr>
          <w:p w:rsidR="001E09AE" w:rsidRPr="00C4102E" w:rsidRDefault="001E09AE" w:rsidP="002F1555">
            <w:pPr>
              <w:spacing w:after="0"/>
              <w:jc w:val="both"/>
              <w:rPr>
                <w:rFonts w:ascii="ITC Avant Garde" w:hAnsi="ITC Avant Garde"/>
              </w:rPr>
            </w:pPr>
            <w:r w:rsidRPr="00C4102E">
              <w:rPr>
                <w:rFonts w:ascii="ITC Avant Garde" w:hAnsi="ITC Avant Garde"/>
              </w:rPr>
              <w:t>Práctica monopólica absoluta, prevista en el artículo 9, fracción III, de la LFCE</w:t>
            </w:r>
            <w:r>
              <w:rPr>
                <w:rFonts w:ascii="ITC Avant Garde" w:hAnsi="ITC Avant Garde"/>
              </w:rPr>
              <w:t>,</w:t>
            </w:r>
            <w:r w:rsidRPr="00C4102E">
              <w:rPr>
                <w:rFonts w:ascii="ITC Avant Garde" w:hAnsi="ITC Avant Garde"/>
              </w:rPr>
              <w:t xml:space="preserve"> sancionada en la </w:t>
            </w:r>
            <w:r>
              <w:rPr>
                <w:rFonts w:ascii="ITC Avant Garde" w:hAnsi="ITC Avant Garde"/>
              </w:rPr>
              <w:t>Resolución y la Resolución en Cumplimiento</w:t>
            </w:r>
            <w:r w:rsidRPr="00C4102E">
              <w:rPr>
                <w:rFonts w:ascii="ITC Avant Garde" w:hAnsi="ITC Avant Garde"/>
              </w:rPr>
              <w:t>, consistente en la realización de contratos, convenios, arreglos o combinaciones entre competidores entre sí con el objeto de dividir, distribuir, asignar o imponer porciones o segmentos de los mercados de producción, distribución y comercialización de servicios de telefonía fija, televisión restringida y acceso a internet a consumidores finales en los Municipios del Estado de México.</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lang w:bidi="en-US"/>
              </w:rPr>
            </w:pPr>
            <w:r>
              <w:rPr>
                <w:rFonts w:ascii="ITC Avant Garde" w:hAnsi="ITC Avant Garde"/>
                <w:lang w:bidi="en-US"/>
              </w:rPr>
              <w:t>Primer</w:t>
            </w:r>
            <w:r w:rsidRPr="00C4102E">
              <w:rPr>
                <w:rFonts w:ascii="ITC Avant Garde" w:hAnsi="ITC Avant Garde"/>
                <w:lang w:bidi="en-US"/>
              </w:rPr>
              <w:t xml:space="preserve"> Tribunal Especializado</w:t>
            </w:r>
          </w:p>
        </w:tc>
        <w:tc>
          <w:tcPr>
            <w:tcW w:w="5142" w:type="dxa"/>
          </w:tcPr>
          <w:p w:rsidR="001E09AE" w:rsidRDefault="001E09AE" w:rsidP="002F1555">
            <w:pPr>
              <w:spacing w:after="0"/>
              <w:jc w:val="both"/>
              <w:rPr>
                <w:rFonts w:ascii="ITC Avant Garde" w:hAnsi="ITC Avant Garde"/>
                <w:lang w:bidi="en-US"/>
              </w:rPr>
            </w:pPr>
            <w:r>
              <w:rPr>
                <w:rFonts w:ascii="ITC Avant Garde" w:hAnsi="ITC Avant Garde"/>
                <w:lang w:bidi="en-US"/>
              </w:rPr>
              <w:t>Primer</w:t>
            </w:r>
            <w:r w:rsidRPr="00C4102E">
              <w:rPr>
                <w:rFonts w:ascii="ITC Avant Garde" w:hAnsi="ITC Avant Garde"/>
                <w:lang w:bidi="en-US"/>
              </w:rPr>
              <w:t xml:space="preserve"> Tribunal Colegiado de Circuito en Materia Administrativa Especializado en Competencia Económica, Radiodifusión y Telecomunicaciones con residencia en el Distrito Federal y jurisdicción en toda la República</w:t>
            </w:r>
            <w:r>
              <w:rPr>
                <w:rFonts w:ascii="ITC Avant Garde" w:hAnsi="ITC Avant Garde"/>
                <w:lang w:bidi="en-US"/>
              </w:rPr>
              <w:t>.</w:t>
            </w:r>
          </w:p>
          <w:p w:rsidR="001E09AE" w:rsidRPr="00C4102E" w:rsidRDefault="001E09AE" w:rsidP="002F1555">
            <w:pPr>
              <w:spacing w:after="0"/>
              <w:jc w:val="both"/>
              <w:rPr>
                <w:rFonts w:ascii="ITC Avant Garde" w:hAnsi="ITC Avant Garde"/>
                <w:lang w:bidi="en-US"/>
              </w:rPr>
            </w:pPr>
            <w:r>
              <w:rPr>
                <w:rFonts w:ascii="ITC Avant Garde" w:hAnsi="ITC Avant Garde"/>
                <w:lang w:bidi="en-US"/>
              </w:rPr>
              <w:t>Órgano que cambió su denominación a Primer</w:t>
            </w:r>
            <w:r w:rsidRPr="00C4102E">
              <w:rPr>
                <w:rFonts w:ascii="ITC Avant Garde" w:hAnsi="ITC Avant Garde"/>
                <w:lang w:bidi="en-US"/>
              </w:rPr>
              <w:t xml:space="preserve"> Tribunal Colegiado de Circuito en Materia Administrativa Especializado en Competencia Económica, Radiodifusión y Telecomunicaciones con residencia en </w:t>
            </w:r>
            <w:r>
              <w:rPr>
                <w:rFonts w:ascii="ITC Avant Garde" w:hAnsi="ITC Avant Garde"/>
                <w:lang w:bidi="en-US"/>
              </w:rPr>
              <w:t>la Ciudad de México</w:t>
            </w:r>
            <w:r w:rsidRPr="00C4102E">
              <w:rPr>
                <w:rFonts w:ascii="ITC Avant Garde" w:hAnsi="ITC Avant Garde"/>
                <w:lang w:bidi="en-US"/>
              </w:rPr>
              <w:t xml:space="preserve"> y jurisdicción en toda la República</w:t>
            </w:r>
            <w:r w:rsidR="00A7235E">
              <w:rPr>
                <w:rFonts w:ascii="ITC Avant Garde" w:hAnsi="ITC Avant Garde"/>
                <w:lang w:bidi="en-US"/>
              </w:rPr>
              <w:t>,</w:t>
            </w:r>
            <w:r>
              <w:rPr>
                <w:rFonts w:ascii="ITC Avant Garde" w:hAnsi="ITC Avant Garde"/>
                <w:lang w:bidi="en-US"/>
              </w:rPr>
              <w:t xml:space="preserve"> en atención a los alcances del acuerdo publicado por el Consejo de la Judicatura Federal en el DOF el cinco de febrero de dos mil dieciséis.</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rPr>
            </w:pPr>
            <w:r w:rsidRPr="00C4102E">
              <w:rPr>
                <w:rFonts w:ascii="ITC Avant Garde" w:hAnsi="ITC Avant Garde"/>
              </w:rPr>
              <w:lastRenderedPageBreak/>
              <w:t>Resolución</w:t>
            </w:r>
          </w:p>
        </w:tc>
        <w:tc>
          <w:tcPr>
            <w:tcW w:w="5142" w:type="dxa"/>
          </w:tcPr>
          <w:p w:rsidR="001E09AE" w:rsidRPr="00C4102E" w:rsidRDefault="001E09AE" w:rsidP="002F1555">
            <w:pPr>
              <w:tabs>
                <w:tab w:val="left" w:pos="927"/>
              </w:tabs>
              <w:spacing w:after="0"/>
              <w:jc w:val="both"/>
              <w:rPr>
                <w:rFonts w:ascii="ITC Avant Garde" w:hAnsi="ITC Avant Garde"/>
              </w:rPr>
            </w:pPr>
            <w:r w:rsidRPr="00C4102E">
              <w:rPr>
                <w:rFonts w:ascii="ITC Avant Garde" w:hAnsi="ITC Avant Garde"/>
              </w:rPr>
              <w:t xml:space="preserve">Emitida mediante acuerdo número P/IFT/EXT/170214/70, por el Pleno del Instituto en su III Sesión Extraordinaria, de fecha diecisiete de febrero de dos mil catorce dentro del Expediente, </w:t>
            </w:r>
            <w:r>
              <w:rPr>
                <w:rFonts w:ascii="ITC Avant Garde" w:hAnsi="ITC Avant Garde"/>
              </w:rPr>
              <w:t>en la que</w:t>
            </w:r>
            <w:r w:rsidRPr="00C4102E">
              <w:rPr>
                <w:rFonts w:ascii="ITC Avant Garde" w:hAnsi="ITC Avant Garde"/>
              </w:rPr>
              <w:t xml:space="preserve"> resolvió: (i) tener por no acreditada la práctica monopólica absoluta prevista en el artículo 9, fracción I, de la LFCE (ii) tener por acreditada la PMA en los Municipios del Estado de México; (iii) ordenar la supresión inmediata de la misma; (iv) ordenar la presentación de mecanismo con plazos para la eficaz supresión de la conducta sancionada; (v) apercibir</w:t>
            </w:r>
            <w:r w:rsidRPr="00C4102E" w:rsidDel="00416CFE">
              <w:rPr>
                <w:rFonts w:ascii="ITC Avant Garde" w:hAnsi="ITC Avant Garde"/>
              </w:rPr>
              <w:t xml:space="preserve"> </w:t>
            </w:r>
            <w:r w:rsidRPr="00C4102E">
              <w:rPr>
                <w:rFonts w:ascii="ITC Avant Garde" w:hAnsi="ITC Avant Garde"/>
              </w:rPr>
              <w:t xml:space="preserve">que, en caso de que no se presentaran los mecanismos con plazos al término del plazo establecido para tal efecto, el Instituto determinaría los términos y condiciones respecto a los cuales debía suprimirse la PMA; y, (vi) se impuso multa a Cablevisión y </w:t>
            </w:r>
            <w:proofErr w:type="spellStart"/>
            <w:r w:rsidRPr="00C4102E">
              <w:rPr>
                <w:rFonts w:ascii="ITC Avant Garde" w:hAnsi="ITC Avant Garde"/>
              </w:rPr>
              <w:t>Megacable</w:t>
            </w:r>
            <w:proofErr w:type="spellEnd"/>
            <w:r w:rsidRPr="00C4102E">
              <w:rPr>
                <w:rFonts w:ascii="ITC Avant Garde" w:hAnsi="ITC Avant Garde"/>
              </w:rPr>
              <w:t>.</w:t>
            </w:r>
            <w:r w:rsidRPr="00C4102E" w:rsidDel="00416CFE">
              <w:rPr>
                <w:rStyle w:val="Refdenotaalpie"/>
                <w:rFonts w:ascii="ITC Avant Garde" w:hAnsi="ITC Avant Garde"/>
              </w:rPr>
              <w:footnoteReference w:id="1"/>
            </w:r>
          </w:p>
        </w:tc>
      </w:tr>
      <w:tr w:rsidR="001E09AE" w:rsidRPr="00C4102E" w:rsidTr="002F1555">
        <w:trPr>
          <w:tblHeader/>
        </w:trPr>
        <w:tc>
          <w:tcPr>
            <w:tcW w:w="3686" w:type="dxa"/>
          </w:tcPr>
          <w:p w:rsidR="001E09AE" w:rsidRPr="00C4102E" w:rsidRDefault="001E09AE" w:rsidP="002F1555">
            <w:pPr>
              <w:spacing w:after="0"/>
              <w:ind w:firstLine="29"/>
              <w:jc w:val="both"/>
              <w:rPr>
                <w:rFonts w:ascii="ITC Avant Garde" w:hAnsi="ITC Avant Garde"/>
              </w:rPr>
            </w:pPr>
            <w:r w:rsidRPr="00C4102E">
              <w:rPr>
                <w:rFonts w:ascii="ITC Avant Garde" w:hAnsi="ITC Avant Garde"/>
                <w:lang w:bidi="en-US"/>
              </w:rPr>
              <w:t>Resolución en Cumplimiento</w:t>
            </w:r>
          </w:p>
        </w:tc>
        <w:tc>
          <w:tcPr>
            <w:tcW w:w="5142" w:type="dxa"/>
          </w:tcPr>
          <w:p w:rsidR="001E09AE" w:rsidRPr="00C4102E" w:rsidRDefault="001E09AE" w:rsidP="002F1555">
            <w:pPr>
              <w:spacing w:after="0"/>
              <w:jc w:val="both"/>
              <w:rPr>
                <w:rFonts w:ascii="ITC Avant Garde" w:hAnsi="ITC Avant Garde"/>
              </w:rPr>
            </w:pPr>
            <w:r w:rsidRPr="00C4102E">
              <w:rPr>
                <w:rFonts w:ascii="ITC Avant Garde" w:hAnsi="ITC Avant Garde"/>
              </w:rPr>
              <w:t xml:space="preserve">Emitida mediante acuerdo número </w:t>
            </w:r>
            <w:r>
              <w:rPr>
                <w:rFonts w:ascii="ITC Avant Garde" w:hAnsi="ITC Avant Garde"/>
                <w:color w:val="000000"/>
              </w:rPr>
              <w:t>P/IFT/EXT/011215</w:t>
            </w:r>
            <w:r w:rsidRPr="00C4102E">
              <w:rPr>
                <w:rFonts w:ascii="ITC Avant Garde" w:hAnsi="ITC Avant Garde"/>
                <w:color w:val="000000"/>
              </w:rPr>
              <w:t xml:space="preserve">/179 del </w:t>
            </w:r>
            <w:r w:rsidRPr="00C4102E">
              <w:rPr>
                <w:rFonts w:ascii="ITC Avant Garde" w:hAnsi="ITC Avant Garde"/>
              </w:rPr>
              <w:t>Pleno del Instituto en su  XLIX sesión extraordinaria, de fecha primero de diciembre de dos mil quince,</w:t>
            </w:r>
            <w:r>
              <w:rPr>
                <w:rFonts w:ascii="ITC Avant Garde" w:hAnsi="ITC Avant Garde"/>
              </w:rPr>
              <w:t xml:space="preserve"> en la que en estricto cumplimiento a lo ordenado en la Ejecutoria </w:t>
            </w:r>
            <w:proofErr w:type="spellStart"/>
            <w:r>
              <w:rPr>
                <w:rFonts w:ascii="ITC Avant Garde" w:hAnsi="ITC Avant Garde"/>
              </w:rPr>
              <w:t>Megacable</w:t>
            </w:r>
            <w:proofErr w:type="spellEnd"/>
            <w:r w:rsidRPr="00C4102E">
              <w:rPr>
                <w:rFonts w:ascii="ITC Avant Garde" w:hAnsi="ITC Avant Garde"/>
              </w:rPr>
              <w:t xml:space="preserve"> </w:t>
            </w:r>
            <w:r w:rsidR="00750A7C">
              <w:rPr>
                <w:rFonts w:ascii="ITC Avant Garde" w:hAnsi="ITC Avant Garde"/>
              </w:rPr>
              <w:t>resolvió: (i) tener por no</w:t>
            </w:r>
            <w:r w:rsidRPr="00C4102E">
              <w:rPr>
                <w:rFonts w:ascii="ITC Avant Garde" w:hAnsi="ITC Avant Garde"/>
              </w:rPr>
              <w:t xml:space="preserve"> acreditada la práctica monopólica absoluta prevista en el artículo 9, fracción I, de la LFCE; (ii) tener por acreditada la PMA en los Municipios del Estado de México; (iii) ordenar la supresión inmediata de la misma; (iv) ordenar la presentación de mecanismo con plazos para la eficaz supresión de la conducta sancionada; (v) apercibir</w:t>
            </w:r>
            <w:r w:rsidRPr="00C4102E" w:rsidDel="00416CFE">
              <w:rPr>
                <w:rFonts w:ascii="ITC Avant Garde" w:hAnsi="ITC Avant Garde"/>
              </w:rPr>
              <w:t xml:space="preserve"> </w:t>
            </w:r>
            <w:r w:rsidRPr="00C4102E">
              <w:rPr>
                <w:rFonts w:ascii="ITC Avant Garde" w:hAnsi="ITC Avant Garde"/>
              </w:rPr>
              <w:t xml:space="preserve">que, en caso de que no se presentaran el mecanismo con plazos al término del plazo establecido para tal efecto, el Instituto determinaría los términos y condiciones respecto a los cuales debía suprimirse la PMA; y, (vi) </w:t>
            </w:r>
            <w:r w:rsidR="00557B43">
              <w:rPr>
                <w:rFonts w:ascii="ITC Avant Garde" w:hAnsi="ITC Avant Garde"/>
              </w:rPr>
              <w:t xml:space="preserve">se impuso multa a </w:t>
            </w:r>
            <w:proofErr w:type="spellStart"/>
            <w:r w:rsidRPr="00C4102E">
              <w:rPr>
                <w:rFonts w:ascii="ITC Avant Garde" w:hAnsi="ITC Avant Garde"/>
              </w:rPr>
              <w:t>Megacable</w:t>
            </w:r>
            <w:proofErr w:type="spellEnd"/>
            <w:r w:rsidRPr="00C4102E">
              <w:rPr>
                <w:rFonts w:ascii="ITC Avant Garde" w:hAnsi="ITC Avant Garde"/>
              </w:rPr>
              <w:t>.</w:t>
            </w:r>
            <w:r w:rsidRPr="00C4102E" w:rsidDel="00416CFE">
              <w:rPr>
                <w:rStyle w:val="Refdenotaalpie"/>
                <w:rFonts w:ascii="ITC Avant Garde" w:hAnsi="ITC Avant Garde"/>
              </w:rPr>
              <w:footnoteReference w:id="2"/>
            </w:r>
          </w:p>
        </w:tc>
      </w:tr>
      <w:tr w:rsidR="001E09AE" w:rsidRPr="00C4102E" w:rsidTr="002F1555">
        <w:trPr>
          <w:tblHeader/>
        </w:trPr>
        <w:tc>
          <w:tcPr>
            <w:tcW w:w="3686" w:type="dxa"/>
          </w:tcPr>
          <w:p w:rsidR="001E09AE" w:rsidRPr="00C4102E" w:rsidRDefault="001E09AE" w:rsidP="002F1555">
            <w:pPr>
              <w:pStyle w:val="Glosario"/>
              <w:tabs>
                <w:tab w:val="clear" w:pos="2552"/>
                <w:tab w:val="center" w:pos="2099"/>
              </w:tabs>
              <w:spacing w:before="0" w:line="276" w:lineRule="auto"/>
              <w:ind w:left="0" w:firstLine="0"/>
              <w:jc w:val="left"/>
            </w:pPr>
            <w:r w:rsidRPr="00C4102E">
              <w:lastRenderedPageBreak/>
              <w:t>SAT</w:t>
            </w:r>
            <w:r w:rsidRPr="00C4102E">
              <w:tab/>
            </w:r>
          </w:p>
        </w:tc>
        <w:tc>
          <w:tcPr>
            <w:tcW w:w="5142" w:type="dxa"/>
          </w:tcPr>
          <w:p w:rsidR="001E09AE" w:rsidRPr="00C4102E" w:rsidRDefault="001E09AE" w:rsidP="002F1555">
            <w:pPr>
              <w:pStyle w:val="Glosario"/>
              <w:tabs>
                <w:tab w:val="clear" w:pos="2552"/>
              </w:tabs>
              <w:spacing w:before="0" w:line="276" w:lineRule="auto"/>
              <w:ind w:left="9" w:firstLine="0"/>
            </w:pPr>
            <w:r w:rsidRPr="00C4102E">
              <w:t>Servicio de Administración Tributaria.</w:t>
            </w:r>
          </w:p>
        </w:tc>
      </w:tr>
      <w:tr w:rsidR="001E09AE" w:rsidRPr="00C4102E" w:rsidTr="002F1555">
        <w:trPr>
          <w:tblHeader/>
        </w:trPr>
        <w:tc>
          <w:tcPr>
            <w:tcW w:w="3686" w:type="dxa"/>
          </w:tcPr>
          <w:p w:rsidR="001E09AE" w:rsidRPr="00C4102E" w:rsidRDefault="001E09AE" w:rsidP="002F1555">
            <w:pPr>
              <w:spacing w:after="0"/>
              <w:rPr>
                <w:rFonts w:ascii="ITC Avant Garde" w:hAnsi="ITC Avant Garde"/>
              </w:rPr>
            </w:pPr>
            <w:r w:rsidRPr="00C4102E">
              <w:rPr>
                <w:rFonts w:ascii="ITC Avant Garde" w:hAnsi="ITC Avant Garde"/>
                <w:lang w:bidi="en-US"/>
              </w:rPr>
              <w:t>Segundo Tribunal Especializado</w:t>
            </w:r>
          </w:p>
        </w:tc>
        <w:tc>
          <w:tcPr>
            <w:tcW w:w="5142" w:type="dxa"/>
          </w:tcPr>
          <w:p w:rsidR="001E09AE" w:rsidRDefault="001E09AE" w:rsidP="002F1555">
            <w:pPr>
              <w:spacing w:after="0"/>
              <w:jc w:val="both"/>
              <w:rPr>
                <w:rFonts w:ascii="ITC Avant Garde" w:hAnsi="ITC Avant Garde"/>
                <w:lang w:bidi="en-US"/>
              </w:rPr>
            </w:pPr>
            <w:r w:rsidRPr="00C4102E">
              <w:rPr>
                <w:rFonts w:ascii="ITC Avant Garde" w:hAnsi="ITC Avant Garde"/>
                <w:lang w:bidi="en-US"/>
              </w:rPr>
              <w:t>Segundo Tribunal Colegiado de Circuito en Materia Administrativa Especializado en Competencia Económica, Radiodifusión y Telecomunicaciones con residencia en el Distrito Federal y jurisdicción en toda la República</w:t>
            </w:r>
            <w:r>
              <w:rPr>
                <w:rFonts w:ascii="ITC Avant Garde" w:hAnsi="ITC Avant Garde"/>
                <w:lang w:bidi="en-US"/>
              </w:rPr>
              <w:t>.</w:t>
            </w:r>
          </w:p>
          <w:p w:rsidR="001E09AE" w:rsidRPr="00C4102E" w:rsidRDefault="001E09AE" w:rsidP="002F1555">
            <w:pPr>
              <w:spacing w:after="0"/>
              <w:jc w:val="both"/>
              <w:rPr>
                <w:rFonts w:ascii="ITC Avant Garde" w:hAnsi="ITC Avant Garde"/>
              </w:rPr>
            </w:pPr>
            <w:r>
              <w:rPr>
                <w:rFonts w:ascii="ITC Avant Garde" w:hAnsi="ITC Avant Garde"/>
                <w:lang w:bidi="en-US"/>
              </w:rPr>
              <w:t>Órgano que cambió su denominación a Segundo</w:t>
            </w:r>
            <w:r w:rsidRPr="00C4102E">
              <w:rPr>
                <w:rFonts w:ascii="ITC Avant Garde" w:hAnsi="ITC Avant Garde"/>
                <w:lang w:bidi="en-US"/>
              </w:rPr>
              <w:t xml:space="preserve"> Tribunal Colegiado de Circuito en Materia Administrativa Especializado en Competencia Económica, Radiodifusión y Telecomunicaciones con residencia en </w:t>
            </w:r>
            <w:r>
              <w:rPr>
                <w:rFonts w:ascii="ITC Avant Garde" w:hAnsi="ITC Avant Garde"/>
                <w:lang w:bidi="en-US"/>
              </w:rPr>
              <w:t>la Ciudad de México</w:t>
            </w:r>
            <w:r w:rsidRPr="00C4102E">
              <w:rPr>
                <w:rFonts w:ascii="ITC Avant Garde" w:hAnsi="ITC Avant Garde"/>
                <w:lang w:bidi="en-US"/>
              </w:rPr>
              <w:t xml:space="preserve"> y jurisdicción en toda la República</w:t>
            </w:r>
            <w:r w:rsidR="00A7235E">
              <w:rPr>
                <w:rFonts w:ascii="ITC Avant Garde" w:hAnsi="ITC Avant Garde"/>
                <w:lang w:bidi="en-US"/>
              </w:rPr>
              <w:t>,</w:t>
            </w:r>
            <w:r>
              <w:rPr>
                <w:rFonts w:ascii="ITC Avant Garde" w:hAnsi="ITC Avant Garde"/>
                <w:lang w:bidi="en-US"/>
              </w:rPr>
              <w:t xml:space="preserve"> en atención a los alcances del acuerdo publicado por el Consejo de la Judicatura Federal en el DOF el cinco de febrero de dos mil dieciséis</w:t>
            </w:r>
          </w:p>
        </w:tc>
      </w:tr>
      <w:tr w:rsidR="001E09AE" w:rsidRPr="00C4102E" w:rsidTr="002F1555">
        <w:trPr>
          <w:tblHeader/>
        </w:trPr>
        <w:tc>
          <w:tcPr>
            <w:tcW w:w="3686" w:type="dxa"/>
          </w:tcPr>
          <w:p w:rsidR="001E09AE" w:rsidRPr="00C4102E" w:rsidRDefault="001E09AE" w:rsidP="002F1555">
            <w:pPr>
              <w:pStyle w:val="Glosario"/>
              <w:tabs>
                <w:tab w:val="clear" w:pos="2552"/>
              </w:tabs>
              <w:spacing w:before="0" w:line="276" w:lineRule="auto"/>
              <w:ind w:left="0" w:firstLine="0"/>
              <w:jc w:val="left"/>
            </w:pPr>
            <w:r w:rsidRPr="00C4102E">
              <w:t>UCE</w:t>
            </w:r>
          </w:p>
        </w:tc>
        <w:tc>
          <w:tcPr>
            <w:tcW w:w="5142" w:type="dxa"/>
          </w:tcPr>
          <w:p w:rsidR="001E09AE" w:rsidRPr="00C4102E" w:rsidRDefault="001E09AE" w:rsidP="002F1555">
            <w:pPr>
              <w:pStyle w:val="Glosario"/>
              <w:tabs>
                <w:tab w:val="clear" w:pos="2552"/>
              </w:tabs>
              <w:spacing w:before="0" w:line="276" w:lineRule="auto"/>
              <w:ind w:left="9" w:firstLine="0"/>
            </w:pPr>
            <w:r w:rsidRPr="00C4102E">
              <w:t>Unidad de Competencia Económica del Instituto.</w:t>
            </w:r>
          </w:p>
        </w:tc>
      </w:tr>
    </w:tbl>
    <w:p w:rsidR="00CE640B" w:rsidRPr="002F1555" w:rsidRDefault="00C4102E" w:rsidP="002F1555">
      <w:pPr>
        <w:pStyle w:val="Ttulo2"/>
        <w:spacing w:after="240" w:line="360" w:lineRule="auto"/>
        <w:jc w:val="center"/>
        <w:rPr>
          <w:rFonts w:ascii="ITC Avant Garde" w:hAnsi="ITC Avant Garde"/>
          <w:b/>
          <w:color w:val="000000" w:themeColor="text1"/>
          <w:sz w:val="22"/>
          <w:szCs w:val="22"/>
        </w:rPr>
      </w:pPr>
      <w:r w:rsidRPr="002F1555">
        <w:rPr>
          <w:rFonts w:ascii="ITC Avant Garde" w:hAnsi="ITC Avant Garde"/>
          <w:b/>
          <w:color w:val="000000" w:themeColor="text1"/>
          <w:sz w:val="22"/>
          <w:szCs w:val="22"/>
        </w:rPr>
        <w:t xml:space="preserve">II. </w:t>
      </w:r>
      <w:r w:rsidR="00CE640B" w:rsidRPr="002F1555">
        <w:rPr>
          <w:rFonts w:ascii="ITC Avant Garde" w:hAnsi="ITC Avant Garde"/>
          <w:b/>
          <w:color w:val="000000" w:themeColor="text1"/>
          <w:sz w:val="22"/>
          <w:szCs w:val="22"/>
        </w:rPr>
        <w:t>ANTECEDENTES</w:t>
      </w:r>
    </w:p>
    <w:p w:rsidR="00690D28" w:rsidRPr="00C4102E" w:rsidRDefault="00F359F0" w:rsidP="00926AD0">
      <w:pPr>
        <w:numPr>
          <w:ilvl w:val="0"/>
          <w:numId w:val="4"/>
        </w:numPr>
        <w:spacing w:before="120" w:after="0"/>
        <w:ind w:left="0"/>
        <w:jc w:val="both"/>
        <w:rPr>
          <w:rFonts w:ascii="ITC Avant Garde" w:hAnsi="ITC Avant Garde"/>
        </w:rPr>
      </w:pPr>
      <w:r>
        <w:rPr>
          <w:rFonts w:ascii="ITC Avant Garde" w:hAnsi="ITC Avant Garde"/>
        </w:rPr>
        <w:t>El diecisiete de febrero de dos mil catorce el Pleno del Instituto emitió l</w:t>
      </w:r>
      <w:r w:rsidR="00F5241B" w:rsidRPr="00C4102E">
        <w:rPr>
          <w:rFonts w:ascii="ITC Avant Garde" w:hAnsi="ITC Avant Garde"/>
        </w:rPr>
        <w:t>a R</w:t>
      </w:r>
      <w:r w:rsidR="00690D28" w:rsidRPr="00C4102E">
        <w:rPr>
          <w:rFonts w:ascii="ITC Avant Garde" w:hAnsi="ITC Avant Garde"/>
        </w:rPr>
        <w:t>esolución</w:t>
      </w:r>
      <w:r w:rsidR="006B26F8">
        <w:rPr>
          <w:rFonts w:ascii="ITC Avant Garde" w:hAnsi="ITC Avant Garde"/>
        </w:rPr>
        <w:t xml:space="preserve"> </w:t>
      </w:r>
      <w:r w:rsidR="00F5241B" w:rsidRPr="00C4102E">
        <w:rPr>
          <w:rFonts w:ascii="ITC Avant Garde" w:hAnsi="ITC Avant Garde"/>
        </w:rPr>
        <w:t>en el E</w:t>
      </w:r>
      <w:r w:rsidR="00690D28" w:rsidRPr="00C4102E">
        <w:rPr>
          <w:rFonts w:ascii="ITC Avant Garde" w:hAnsi="ITC Avant Garde"/>
        </w:rPr>
        <w:t>xpediente</w:t>
      </w:r>
      <w:r w:rsidR="00F5241B" w:rsidRPr="00C4102E">
        <w:rPr>
          <w:rFonts w:ascii="ITC Avant Garde" w:hAnsi="ITC Avant Garde"/>
        </w:rPr>
        <w:t>.</w:t>
      </w:r>
    </w:p>
    <w:p w:rsidR="00B71BEC" w:rsidRPr="00C4102E" w:rsidRDefault="00690D28" w:rsidP="00926AD0">
      <w:pPr>
        <w:numPr>
          <w:ilvl w:val="0"/>
          <w:numId w:val="4"/>
        </w:numPr>
        <w:spacing w:before="120" w:after="0"/>
        <w:ind w:left="0"/>
        <w:jc w:val="both"/>
        <w:rPr>
          <w:rFonts w:ascii="ITC Avant Garde" w:hAnsi="ITC Avant Garde"/>
        </w:rPr>
      </w:pPr>
      <w:r w:rsidRPr="00C4102E">
        <w:rPr>
          <w:rFonts w:ascii="ITC Avant Garde" w:hAnsi="ITC Avant Garde"/>
          <w:b/>
        </w:rPr>
        <w:t xml:space="preserve"> </w:t>
      </w:r>
      <w:r w:rsidR="006B26F8">
        <w:rPr>
          <w:rFonts w:ascii="ITC Avant Garde" w:hAnsi="ITC Avant Garde"/>
          <w:lang w:bidi="en-US"/>
        </w:rPr>
        <w:t>E</w:t>
      </w:r>
      <w:r w:rsidR="006B26F8" w:rsidRPr="00C4102E">
        <w:rPr>
          <w:rFonts w:ascii="ITC Avant Garde" w:hAnsi="ITC Avant Garde"/>
          <w:lang w:bidi="en-US"/>
        </w:rPr>
        <w:t>l</w:t>
      </w:r>
      <w:r w:rsidR="00F359F0">
        <w:rPr>
          <w:rFonts w:ascii="ITC Avant Garde" w:hAnsi="ITC Avant Garde"/>
          <w:lang w:bidi="en-US"/>
        </w:rPr>
        <w:t xml:space="preserve"> veintiséis de agosto de dos mil catorce el</w:t>
      </w:r>
      <w:r w:rsidR="006B26F8" w:rsidRPr="00C4102E">
        <w:rPr>
          <w:rFonts w:ascii="ITC Avant Garde" w:hAnsi="ITC Avant Garde"/>
          <w:lang w:bidi="en-US"/>
        </w:rPr>
        <w:t xml:space="preserve"> Juzgado Segundo</w:t>
      </w:r>
      <w:r w:rsidR="006B26F8" w:rsidRPr="00346771">
        <w:rPr>
          <w:rFonts w:ascii="ITC Avant Garde" w:hAnsi="ITC Avant Garde"/>
        </w:rPr>
        <w:t xml:space="preserve"> dictó</w:t>
      </w:r>
      <w:r w:rsidR="006B26F8">
        <w:rPr>
          <w:rFonts w:ascii="ITC Avant Garde" w:hAnsi="ITC Avant Garde"/>
          <w:lang w:bidi="en-US"/>
        </w:rPr>
        <w:t xml:space="preserve"> l</w:t>
      </w:r>
      <w:r w:rsidR="00F5241B" w:rsidRPr="00C4102E">
        <w:rPr>
          <w:rFonts w:ascii="ITC Avant Garde" w:hAnsi="ITC Avant Garde"/>
          <w:lang w:bidi="en-US"/>
        </w:rPr>
        <w:t>a sentencia</w:t>
      </w:r>
      <w:r w:rsidR="006B26F8">
        <w:rPr>
          <w:rFonts w:ascii="ITC Avant Garde" w:hAnsi="ITC Avant Garde"/>
          <w:lang w:bidi="en-US"/>
        </w:rPr>
        <w:t xml:space="preserve"> correspondiente</w:t>
      </w:r>
      <w:r w:rsidR="00F5241B" w:rsidRPr="00C4102E">
        <w:rPr>
          <w:rFonts w:ascii="ITC Avant Garde" w:hAnsi="ITC Avant Garde"/>
          <w:lang w:bidi="en-US"/>
        </w:rPr>
        <w:t xml:space="preserve"> </w:t>
      </w:r>
      <w:r w:rsidR="006B26F8">
        <w:rPr>
          <w:rFonts w:ascii="ITC Avant Garde" w:hAnsi="ITC Avant Garde"/>
          <w:lang w:bidi="en-US"/>
        </w:rPr>
        <w:t>a</w:t>
      </w:r>
      <w:r w:rsidR="00F5241B" w:rsidRPr="00C4102E">
        <w:rPr>
          <w:rFonts w:ascii="ITC Avant Garde" w:hAnsi="ITC Avant Garde"/>
          <w:lang w:bidi="en-US"/>
        </w:rPr>
        <w:t>l Amparo Cablevisión.</w:t>
      </w:r>
    </w:p>
    <w:p w:rsidR="00690D28" w:rsidRPr="00C4102E" w:rsidRDefault="006B26F8" w:rsidP="00926AD0">
      <w:pPr>
        <w:numPr>
          <w:ilvl w:val="0"/>
          <w:numId w:val="4"/>
        </w:numPr>
        <w:spacing w:before="120" w:after="0"/>
        <w:ind w:left="0"/>
        <w:jc w:val="both"/>
        <w:rPr>
          <w:rFonts w:ascii="ITC Avant Garde" w:hAnsi="ITC Avant Garde"/>
        </w:rPr>
      </w:pPr>
      <w:r>
        <w:rPr>
          <w:rFonts w:ascii="ITC Avant Garde" w:hAnsi="ITC Avant Garde"/>
        </w:rPr>
        <w:t>E</w:t>
      </w:r>
      <w:r w:rsidRPr="00C4102E">
        <w:rPr>
          <w:rFonts w:ascii="ITC Avant Garde" w:hAnsi="ITC Avant Garde"/>
        </w:rPr>
        <w:t>l</w:t>
      </w:r>
      <w:r w:rsidR="00F359F0">
        <w:rPr>
          <w:rFonts w:ascii="ITC Avant Garde" w:hAnsi="ITC Avant Garde"/>
        </w:rPr>
        <w:t xml:space="preserve"> once de febrero de dos mil quince el</w:t>
      </w:r>
      <w:r w:rsidRPr="00C4102E">
        <w:rPr>
          <w:rFonts w:ascii="ITC Avant Garde" w:hAnsi="ITC Avant Garde"/>
        </w:rPr>
        <w:t xml:space="preserve"> Juzgado Primero</w:t>
      </w:r>
      <w:r w:rsidRPr="00C4102E" w:rsidDel="006B26F8">
        <w:rPr>
          <w:rFonts w:ascii="ITC Avant Garde" w:hAnsi="ITC Avant Garde"/>
        </w:rPr>
        <w:t xml:space="preserve"> </w:t>
      </w:r>
      <w:r>
        <w:rPr>
          <w:rFonts w:ascii="ITC Avant Garde" w:hAnsi="ITC Avant Garde"/>
        </w:rPr>
        <w:t xml:space="preserve">dictó la sentencia correspondiente </w:t>
      </w:r>
      <w:r w:rsidR="00F359F0">
        <w:rPr>
          <w:rFonts w:ascii="ITC Avant Garde" w:hAnsi="ITC Avant Garde"/>
        </w:rPr>
        <w:t>a</w:t>
      </w:r>
      <w:r w:rsidR="00F5241B" w:rsidRPr="00C4102E">
        <w:rPr>
          <w:rFonts w:ascii="ITC Avant Garde" w:hAnsi="ITC Avant Garde"/>
        </w:rPr>
        <w:t xml:space="preserve">l Amparo </w:t>
      </w:r>
      <w:proofErr w:type="spellStart"/>
      <w:r w:rsidR="00F5241B" w:rsidRPr="00C4102E">
        <w:rPr>
          <w:rFonts w:ascii="ITC Avant Garde" w:hAnsi="ITC Avant Garde"/>
        </w:rPr>
        <w:t>Megacable</w:t>
      </w:r>
      <w:proofErr w:type="spellEnd"/>
      <w:r w:rsidR="00F5241B" w:rsidRPr="00C4102E">
        <w:rPr>
          <w:rFonts w:ascii="ITC Avant Garde" w:hAnsi="ITC Avant Garde"/>
        </w:rPr>
        <w:t xml:space="preserve">. </w:t>
      </w:r>
    </w:p>
    <w:p w:rsidR="00204481" w:rsidRPr="00C4102E" w:rsidRDefault="00F359F0" w:rsidP="00926AD0">
      <w:pPr>
        <w:numPr>
          <w:ilvl w:val="0"/>
          <w:numId w:val="4"/>
        </w:numPr>
        <w:spacing w:before="120" w:after="0"/>
        <w:ind w:left="0"/>
        <w:jc w:val="both"/>
        <w:rPr>
          <w:rFonts w:ascii="ITC Avant Garde" w:hAnsi="ITC Avant Garde"/>
          <w:lang w:bidi="en-US"/>
        </w:rPr>
      </w:pPr>
      <w:r>
        <w:rPr>
          <w:rFonts w:ascii="ITC Avant Garde" w:hAnsi="ITC Avant Garde"/>
          <w:lang w:bidi="en-US"/>
        </w:rPr>
        <w:t>E</w:t>
      </w:r>
      <w:r w:rsidR="00F5241B" w:rsidRPr="00C4102E">
        <w:rPr>
          <w:rFonts w:ascii="ITC Avant Garde" w:hAnsi="ITC Avant Garde"/>
          <w:lang w:bidi="en-US"/>
        </w:rPr>
        <w:t>l</w:t>
      </w:r>
      <w:r>
        <w:rPr>
          <w:rFonts w:ascii="ITC Avant Garde" w:hAnsi="ITC Avant Garde"/>
          <w:lang w:bidi="en-US"/>
        </w:rPr>
        <w:t xml:space="preserve"> ocho de octubre de dos mil quince el</w:t>
      </w:r>
      <w:r w:rsidR="00F5241B" w:rsidRPr="00C4102E">
        <w:rPr>
          <w:rFonts w:ascii="ITC Avant Garde" w:hAnsi="ITC Avant Garde"/>
          <w:lang w:bidi="en-US"/>
        </w:rPr>
        <w:t xml:space="preserve"> Segundo Tribunal Especializado</w:t>
      </w:r>
      <w:r>
        <w:rPr>
          <w:rFonts w:ascii="ITC Avant Garde" w:hAnsi="ITC Avant Garde"/>
          <w:lang w:bidi="en-US"/>
        </w:rPr>
        <w:t xml:space="preserve"> dictó l</w:t>
      </w:r>
      <w:r w:rsidRPr="00C4102E">
        <w:rPr>
          <w:rFonts w:ascii="ITC Avant Garde" w:hAnsi="ITC Avant Garde"/>
          <w:lang w:bidi="en-US"/>
        </w:rPr>
        <w:t xml:space="preserve">a Ejecutoria </w:t>
      </w:r>
      <w:proofErr w:type="spellStart"/>
      <w:r w:rsidRPr="00C4102E">
        <w:rPr>
          <w:rFonts w:ascii="ITC Avant Garde" w:hAnsi="ITC Avant Garde"/>
          <w:lang w:bidi="en-US"/>
        </w:rPr>
        <w:t>Megacable</w:t>
      </w:r>
      <w:proofErr w:type="spellEnd"/>
      <w:r>
        <w:rPr>
          <w:rFonts w:ascii="ITC Avant Garde" w:hAnsi="ITC Avant Garde"/>
          <w:lang w:bidi="en-US"/>
        </w:rPr>
        <w:t>.</w:t>
      </w:r>
      <w:r w:rsidR="00690D28" w:rsidRPr="00C4102E">
        <w:rPr>
          <w:rFonts w:ascii="ITC Avant Garde" w:hAnsi="ITC Avant Garde"/>
          <w:szCs w:val="20"/>
          <w:lang w:bidi="en-US"/>
        </w:rPr>
        <w:t xml:space="preserve"> </w:t>
      </w:r>
    </w:p>
    <w:p w:rsidR="008B2F9E" w:rsidRPr="00C4102E" w:rsidRDefault="008B2F9E" w:rsidP="00926AD0">
      <w:pPr>
        <w:numPr>
          <w:ilvl w:val="0"/>
          <w:numId w:val="4"/>
        </w:numPr>
        <w:spacing w:before="120" w:after="0"/>
        <w:ind w:left="0"/>
        <w:jc w:val="both"/>
        <w:rPr>
          <w:rFonts w:ascii="ITC Avant Garde" w:hAnsi="ITC Avant Garde"/>
          <w:lang w:bidi="en-US"/>
        </w:rPr>
      </w:pPr>
      <w:r w:rsidRPr="00C4102E">
        <w:rPr>
          <w:rFonts w:ascii="ITC Avant Garde" w:hAnsi="ITC Avant Garde"/>
          <w:lang w:bidi="en-US"/>
        </w:rPr>
        <w:t>El veinte de octubre de dos mil quince el Pleno del Instituto</w:t>
      </w:r>
      <w:r w:rsidR="00F359F0">
        <w:rPr>
          <w:rFonts w:ascii="ITC Avant Garde" w:hAnsi="ITC Avant Garde"/>
          <w:lang w:bidi="en-US"/>
        </w:rPr>
        <w:t xml:space="preserve"> dictó un acuerdo</w:t>
      </w:r>
      <w:r w:rsidRPr="00C4102E">
        <w:rPr>
          <w:rFonts w:ascii="ITC Avant Garde" w:hAnsi="ITC Avant Garde"/>
          <w:lang w:bidi="en-US"/>
        </w:rPr>
        <w:t xml:space="preserve"> </w:t>
      </w:r>
      <w:r w:rsidR="0032029B" w:rsidRPr="00C4102E">
        <w:rPr>
          <w:rFonts w:ascii="ITC Avant Garde" w:hAnsi="ITC Avant Garde"/>
          <w:lang w:bidi="en-US"/>
        </w:rPr>
        <w:t xml:space="preserve">en cumplimiento a la Ejecutoria </w:t>
      </w:r>
      <w:proofErr w:type="spellStart"/>
      <w:r w:rsidR="0032029B" w:rsidRPr="00C4102E">
        <w:rPr>
          <w:rFonts w:ascii="ITC Avant Garde" w:hAnsi="ITC Avant Garde"/>
          <w:lang w:bidi="en-US"/>
        </w:rPr>
        <w:t>Megacable</w:t>
      </w:r>
      <w:proofErr w:type="spellEnd"/>
      <w:r w:rsidR="0032029B" w:rsidRPr="00C4102E" w:rsidDel="0032029B">
        <w:rPr>
          <w:rFonts w:ascii="ITC Avant Garde" w:hAnsi="ITC Avant Garde"/>
          <w:lang w:bidi="en-US"/>
        </w:rPr>
        <w:t xml:space="preserve"> </w:t>
      </w:r>
      <w:r w:rsidR="00F5241B" w:rsidRPr="00C4102E">
        <w:rPr>
          <w:rFonts w:ascii="ITC Avant Garde" w:hAnsi="ITC Avant Garde"/>
          <w:lang w:bidi="en-US"/>
        </w:rPr>
        <w:t xml:space="preserve">por medio de la cual </w:t>
      </w:r>
      <w:r w:rsidRPr="00C4102E">
        <w:rPr>
          <w:rFonts w:ascii="ITC Avant Garde" w:hAnsi="ITC Avant Garde"/>
          <w:lang w:bidi="en-US"/>
        </w:rPr>
        <w:t xml:space="preserve">dejó </w:t>
      </w:r>
      <w:r w:rsidR="006F3683" w:rsidRPr="00C4102E">
        <w:rPr>
          <w:rFonts w:ascii="ITC Avant Garde" w:hAnsi="ITC Avant Garde"/>
          <w:lang w:bidi="en-US"/>
        </w:rPr>
        <w:t xml:space="preserve">insubsistente </w:t>
      </w:r>
      <w:r w:rsidR="006F3683">
        <w:rPr>
          <w:rFonts w:ascii="ITC Avant Garde" w:hAnsi="ITC Avant Garde"/>
          <w:lang w:bidi="en-US"/>
        </w:rPr>
        <w:t>para</w:t>
      </w:r>
      <w:r w:rsidR="00D536AD" w:rsidRPr="00C4102E">
        <w:rPr>
          <w:rFonts w:ascii="ITC Avant Garde" w:hAnsi="ITC Avant Garde"/>
          <w:lang w:bidi="en-US"/>
        </w:rPr>
        <w:t xml:space="preserve"> </w:t>
      </w:r>
      <w:proofErr w:type="spellStart"/>
      <w:r w:rsidR="00D536AD" w:rsidRPr="00C4102E">
        <w:rPr>
          <w:rFonts w:ascii="ITC Avant Garde" w:hAnsi="ITC Avant Garde"/>
          <w:lang w:bidi="en-US"/>
        </w:rPr>
        <w:t>Megacable</w:t>
      </w:r>
      <w:proofErr w:type="spellEnd"/>
      <w:r w:rsidR="00D536AD" w:rsidRPr="00C4102E">
        <w:rPr>
          <w:rFonts w:ascii="ITC Avant Garde" w:hAnsi="ITC Avant Garde"/>
          <w:lang w:bidi="en-US"/>
        </w:rPr>
        <w:t xml:space="preserve"> </w:t>
      </w:r>
      <w:r w:rsidRPr="00C4102E">
        <w:rPr>
          <w:rFonts w:ascii="ITC Avant Garde" w:hAnsi="ITC Avant Garde"/>
          <w:lang w:bidi="en-US"/>
        </w:rPr>
        <w:t>la Resolución</w:t>
      </w:r>
      <w:r w:rsidR="00F5241B" w:rsidRPr="00C4102E">
        <w:rPr>
          <w:rFonts w:ascii="ITC Avant Garde" w:hAnsi="ITC Avant Garde"/>
          <w:lang w:bidi="en-US"/>
        </w:rPr>
        <w:t xml:space="preserve"> </w:t>
      </w:r>
      <w:r w:rsidR="00D536AD">
        <w:rPr>
          <w:rFonts w:ascii="ITC Avant Garde" w:hAnsi="ITC Avant Garde"/>
          <w:lang w:bidi="en-US"/>
        </w:rPr>
        <w:t>dictada en el Expediente</w:t>
      </w:r>
      <w:r w:rsidR="00852B42" w:rsidRPr="00C4102E">
        <w:rPr>
          <w:rFonts w:ascii="ITC Avant Garde" w:hAnsi="ITC Avant Garde"/>
          <w:lang w:bidi="en-US"/>
        </w:rPr>
        <w:t>.</w:t>
      </w:r>
    </w:p>
    <w:p w:rsidR="008B2F9E" w:rsidRDefault="00F359F0" w:rsidP="00926AD0">
      <w:pPr>
        <w:numPr>
          <w:ilvl w:val="0"/>
          <w:numId w:val="4"/>
        </w:numPr>
        <w:spacing w:before="120" w:after="0"/>
        <w:ind w:left="0"/>
        <w:jc w:val="both"/>
        <w:rPr>
          <w:rFonts w:ascii="ITC Avant Garde" w:hAnsi="ITC Avant Garde"/>
        </w:rPr>
      </w:pPr>
      <w:r>
        <w:rPr>
          <w:rFonts w:ascii="ITC Avant Garde" w:hAnsi="ITC Avant Garde"/>
          <w:lang w:bidi="en-US"/>
        </w:rPr>
        <w:t>El primero de diciembre de dos mil quince el Pleno del Instituto emitió l</w:t>
      </w:r>
      <w:r w:rsidR="00173E9B" w:rsidRPr="00C4102E">
        <w:rPr>
          <w:rFonts w:ascii="ITC Avant Garde" w:hAnsi="ITC Avant Garde"/>
          <w:lang w:bidi="en-US"/>
        </w:rPr>
        <w:t>a</w:t>
      </w:r>
      <w:r w:rsidR="00173E9B" w:rsidRPr="00C4102E">
        <w:rPr>
          <w:rFonts w:ascii="ITC Avant Garde" w:hAnsi="ITC Avant Garde"/>
          <w:b/>
          <w:lang w:bidi="en-US"/>
        </w:rPr>
        <w:t xml:space="preserve"> </w:t>
      </w:r>
      <w:r w:rsidR="00F5241B" w:rsidRPr="00C4102E">
        <w:rPr>
          <w:rFonts w:ascii="ITC Avant Garde" w:hAnsi="ITC Avant Garde"/>
          <w:lang w:bidi="en-US"/>
        </w:rPr>
        <w:t>R</w:t>
      </w:r>
      <w:r w:rsidR="00173E9B" w:rsidRPr="00C4102E">
        <w:rPr>
          <w:rFonts w:ascii="ITC Avant Garde" w:hAnsi="ITC Avant Garde"/>
          <w:lang w:bidi="en-US"/>
        </w:rPr>
        <w:t xml:space="preserve">esolución </w:t>
      </w:r>
      <w:r w:rsidR="00F5241B" w:rsidRPr="00C4102E">
        <w:rPr>
          <w:rFonts w:ascii="ITC Avant Garde" w:hAnsi="ITC Avant Garde"/>
          <w:lang w:bidi="en-US"/>
        </w:rPr>
        <w:t>en Cumplimiento.</w:t>
      </w:r>
    </w:p>
    <w:p w:rsidR="0067737F" w:rsidRPr="00346771" w:rsidRDefault="006F3683" w:rsidP="00926AD0">
      <w:pPr>
        <w:numPr>
          <w:ilvl w:val="0"/>
          <w:numId w:val="4"/>
        </w:numPr>
        <w:spacing w:before="120" w:after="0"/>
        <w:ind w:left="0"/>
        <w:jc w:val="both"/>
        <w:rPr>
          <w:rFonts w:ascii="ITC Avant Garde" w:hAnsi="ITC Avant Garde"/>
        </w:rPr>
      </w:pPr>
      <w:r w:rsidRPr="00346771">
        <w:rPr>
          <w:rFonts w:ascii="ITC Avant Garde" w:hAnsi="ITC Avant Garde"/>
        </w:rPr>
        <w:lastRenderedPageBreak/>
        <w:t>El veintiocho</w:t>
      </w:r>
      <w:r w:rsidR="00F359F0" w:rsidRPr="00346771">
        <w:rPr>
          <w:rFonts w:ascii="ITC Avant Garde" w:hAnsi="ITC Avant Garde"/>
        </w:rPr>
        <w:t xml:space="preserve"> de enero de dos mil dieciséis el Primer Tribunal Especializado dictó la </w:t>
      </w:r>
      <w:r w:rsidR="00F5241B" w:rsidRPr="00346771">
        <w:rPr>
          <w:rFonts w:ascii="ITC Avant Garde" w:hAnsi="ITC Avant Garde"/>
        </w:rPr>
        <w:t>E</w:t>
      </w:r>
      <w:r w:rsidR="00173E9B" w:rsidRPr="00346771">
        <w:rPr>
          <w:rFonts w:ascii="ITC Avant Garde" w:hAnsi="ITC Avant Garde"/>
        </w:rPr>
        <w:t xml:space="preserve">jecutoria </w:t>
      </w:r>
      <w:r w:rsidR="00F5241B" w:rsidRPr="00346771">
        <w:rPr>
          <w:rFonts w:ascii="ITC Avant Garde" w:hAnsi="ITC Avant Garde"/>
        </w:rPr>
        <w:t xml:space="preserve">Cablevisión </w:t>
      </w:r>
      <w:r w:rsidR="00C0525C" w:rsidRPr="00346771">
        <w:rPr>
          <w:rFonts w:ascii="ITC Avant Garde" w:hAnsi="ITC Avant Garde"/>
          <w:lang w:bidi="en-US"/>
        </w:rPr>
        <w:t>55/2014</w:t>
      </w:r>
      <w:r w:rsidR="00C6333C" w:rsidRPr="00346771">
        <w:rPr>
          <w:rFonts w:ascii="ITC Avant Garde" w:hAnsi="ITC Avant Garde"/>
          <w:lang w:bidi="en-US"/>
        </w:rPr>
        <w:t>.</w:t>
      </w:r>
      <w:r w:rsidR="0067737F" w:rsidRPr="00346771">
        <w:rPr>
          <w:rFonts w:ascii="ITC Avant Garde" w:hAnsi="ITC Avant Garde"/>
          <w:lang w:bidi="en-US"/>
        </w:rPr>
        <w:t xml:space="preserve"> </w:t>
      </w:r>
      <w:r w:rsidR="0067737F" w:rsidRPr="00346771">
        <w:rPr>
          <w:rFonts w:ascii="ITC Avant Garde" w:hAnsi="ITC Avant Garde"/>
        </w:rPr>
        <w:t xml:space="preserve">En la ejecutoria referida, el Primer Tribunal Especializado consideró que: </w:t>
      </w:r>
    </w:p>
    <w:p w:rsidR="0067737F" w:rsidRPr="00C4102E" w:rsidRDefault="0067737F" w:rsidP="00926AD0">
      <w:pPr>
        <w:pStyle w:val="Prrafodelista"/>
        <w:spacing w:before="120" w:after="0"/>
        <w:ind w:left="0"/>
        <w:contextualSpacing w:val="0"/>
        <w:jc w:val="both"/>
        <w:rPr>
          <w:rFonts w:ascii="ITC Avant Garde" w:hAnsi="ITC Avant Garde"/>
        </w:rPr>
      </w:pPr>
      <w:r w:rsidRPr="00C4102E">
        <w:rPr>
          <w:rFonts w:ascii="ITC Avant Garde" w:hAnsi="ITC Avant Garde"/>
          <w:b/>
        </w:rPr>
        <w:t>i)</w:t>
      </w:r>
      <w:r w:rsidRPr="00C4102E">
        <w:rPr>
          <w:rFonts w:ascii="ITC Avant Garde" w:hAnsi="ITC Avant Garde"/>
        </w:rPr>
        <w:t xml:space="preserve"> Se actualizó la causal de improcedencia prevista en el artículo 61, fracción XXI de la Ley de Amparo, respecto de la cual</w:t>
      </w:r>
      <w:r w:rsidR="003649FE">
        <w:rPr>
          <w:rFonts w:ascii="ITC Avant Garde" w:hAnsi="ITC Avant Garde"/>
        </w:rPr>
        <w:t xml:space="preserve"> deriva el Acuerdo de Mecanismo</w:t>
      </w:r>
      <w:r w:rsidRPr="00C4102E">
        <w:rPr>
          <w:rFonts w:ascii="ITC Avant Garde" w:hAnsi="ITC Avant Garde"/>
        </w:rPr>
        <w:t xml:space="preserve"> puesto que había quedado totalmente revocada al igual que sus efectos, por virtud de la sentencia del toca R.A. 32/2015 del Segundo Tribunal Especializado.</w:t>
      </w:r>
      <w:r w:rsidRPr="00C4102E">
        <w:rPr>
          <w:rStyle w:val="Refdenotaalpie"/>
          <w:rFonts w:ascii="ITC Avant Garde" w:hAnsi="ITC Avant Garde"/>
        </w:rPr>
        <w:footnoteReference w:id="3"/>
      </w:r>
    </w:p>
    <w:p w:rsidR="0067737F" w:rsidRPr="00D408ED" w:rsidRDefault="0067737F" w:rsidP="00926AD0">
      <w:pPr>
        <w:pStyle w:val="Prrafodelista"/>
        <w:spacing w:before="120" w:after="0"/>
        <w:ind w:left="0"/>
        <w:contextualSpacing w:val="0"/>
        <w:jc w:val="both"/>
        <w:rPr>
          <w:rFonts w:ascii="ITC Avant Garde" w:hAnsi="ITC Avant Garde"/>
        </w:rPr>
      </w:pPr>
      <w:r w:rsidRPr="00C4102E">
        <w:rPr>
          <w:rFonts w:ascii="ITC Avant Garde" w:hAnsi="ITC Avant Garde"/>
          <w:b/>
        </w:rPr>
        <w:t>ii)</w:t>
      </w:r>
      <w:r w:rsidRPr="00C4102E">
        <w:rPr>
          <w:rFonts w:ascii="ITC Avant Garde" w:hAnsi="ITC Avant Garde"/>
        </w:rPr>
        <w:t xml:space="preserve"> El procedimiento </w:t>
      </w:r>
      <w:r w:rsidR="00433C4F">
        <w:rPr>
          <w:rFonts w:ascii="ITC Avant Garde" w:hAnsi="ITC Avant Garde"/>
        </w:rPr>
        <w:t>que culminó con la</w:t>
      </w:r>
      <w:r w:rsidRPr="00C4102E">
        <w:rPr>
          <w:rFonts w:ascii="ITC Avant Garde" w:hAnsi="ITC Avant Garde"/>
        </w:rPr>
        <w:t xml:space="preserve"> sanción impuest</w:t>
      </w:r>
      <w:r w:rsidR="00433C4F">
        <w:rPr>
          <w:rFonts w:ascii="ITC Avant Garde" w:hAnsi="ITC Avant Garde"/>
        </w:rPr>
        <w:t>a</w:t>
      </w:r>
      <w:r w:rsidRPr="00C4102E">
        <w:rPr>
          <w:rFonts w:ascii="ITC Avant Garde" w:hAnsi="ITC Avant Garde"/>
        </w:rPr>
        <w:t xml:space="preserve"> a los agentes económicos</w:t>
      </w:r>
      <w:r w:rsidR="00433C4F">
        <w:rPr>
          <w:rFonts w:ascii="ITC Avant Garde" w:hAnsi="ITC Avant Garde"/>
        </w:rPr>
        <w:t xml:space="preserve"> en la Resolución</w:t>
      </w:r>
      <w:r w:rsidRPr="00C4102E">
        <w:rPr>
          <w:rFonts w:ascii="ITC Avant Garde" w:hAnsi="ITC Avant Garde"/>
        </w:rPr>
        <w:t xml:space="preserve">, no </w:t>
      </w:r>
      <w:r w:rsidR="00D536AD">
        <w:rPr>
          <w:rFonts w:ascii="ITC Avant Garde" w:hAnsi="ITC Avant Garde"/>
        </w:rPr>
        <w:t xml:space="preserve">se </w:t>
      </w:r>
      <w:r w:rsidR="002D5B2A">
        <w:rPr>
          <w:rFonts w:ascii="ITC Avant Garde" w:hAnsi="ITC Avant Garde"/>
        </w:rPr>
        <w:t>siguió</w:t>
      </w:r>
      <w:r w:rsidRPr="00C4102E">
        <w:rPr>
          <w:rFonts w:ascii="ITC Avant Garde" w:hAnsi="ITC Avant Garde"/>
        </w:rPr>
        <w:t xml:space="preserve"> de manera independiente para cada uno de los agentes económicos investigados, sino conjuntamente. A la letra, </w:t>
      </w:r>
      <w:r w:rsidR="002D5B2A">
        <w:rPr>
          <w:rFonts w:ascii="ITC Avant Garde" w:hAnsi="ITC Avant Garde"/>
        </w:rPr>
        <w:t>est</w:t>
      </w:r>
      <w:r w:rsidRPr="00C4102E">
        <w:rPr>
          <w:rFonts w:ascii="ITC Avant Garde" w:hAnsi="ITC Avant Garde"/>
        </w:rPr>
        <w:t xml:space="preserve">a ejecutoria </w:t>
      </w:r>
      <w:r w:rsidR="002D5B2A">
        <w:rPr>
          <w:rFonts w:ascii="ITC Avant Garde" w:hAnsi="ITC Avant Garde"/>
        </w:rPr>
        <w:t>señala</w:t>
      </w:r>
      <w:r w:rsidR="00D408ED">
        <w:rPr>
          <w:rFonts w:ascii="ITC Avant Garde" w:hAnsi="ITC Avant Garde"/>
        </w:rPr>
        <w:t xml:space="preserve"> </w:t>
      </w:r>
      <w:proofErr w:type="spellStart"/>
      <w:r w:rsidR="00D408ED">
        <w:rPr>
          <w:rFonts w:ascii="ITC Avant Garde" w:hAnsi="ITC Avant Garde"/>
        </w:rPr>
        <w:t>que</w:t>
      </w:r>
      <w:r w:rsidR="004A6599" w:rsidRPr="00D408ED">
        <w:rPr>
          <w:rFonts w:ascii="ITC Avant Garde" w:hAnsi="ITC Avant Garde"/>
          <w:i/>
          <w:sz w:val="20"/>
        </w:rPr>
        <w:t>“</w:t>
      </w:r>
      <w:r w:rsidRPr="00D408ED">
        <w:rPr>
          <w:rFonts w:ascii="ITC Avant Garde" w:hAnsi="ITC Avant Garde"/>
          <w:i/>
          <w:sz w:val="20"/>
        </w:rPr>
        <w:t>Se</w:t>
      </w:r>
      <w:proofErr w:type="spellEnd"/>
      <w:r w:rsidRPr="00D408ED">
        <w:rPr>
          <w:rFonts w:ascii="ITC Avant Garde" w:hAnsi="ITC Avant Garde"/>
          <w:i/>
          <w:sz w:val="20"/>
        </w:rPr>
        <w:t xml:space="preserve"> considera que el procedimiento no se siguió de manera independiente para cada uno de los agentes económicos investigados, sino conjuntamente, partiendo de la base que a éstos se les consideró probables responsables de la conducta descrita en el artículo 9, fracción III, de la LFCE </w:t>
      </w:r>
      <w:r w:rsidRPr="00D408ED">
        <w:rPr>
          <w:rFonts w:ascii="ITC Avant Garde" w:hAnsi="ITC Avant Garde"/>
          <w:sz w:val="20"/>
        </w:rPr>
        <w:t>(…)</w:t>
      </w:r>
      <w:r w:rsidR="004A6599" w:rsidRPr="00D408ED">
        <w:rPr>
          <w:rFonts w:ascii="ITC Avant Garde" w:hAnsi="ITC Avant Garde"/>
          <w:sz w:val="20"/>
        </w:rPr>
        <w:t>”</w:t>
      </w:r>
      <w:r w:rsidRPr="00D408ED">
        <w:rPr>
          <w:rFonts w:ascii="ITC Avant Garde" w:hAnsi="ITC Avant Garde"/>
          <w:i/>
          <w:sz w:val="20"/>
        </w:rPr>
        <w:t>.</w:t>
      </w:r>
      <w:r w:rsidRPr="00C4102E">
        <w:rPr>
          <w:rStyle w:val="Refdenotaalpie"/>
          <w:rFonts w:ascii="ITC Avant Garde" w:hAnsi="ITC Avant Garde"/>
          <w:i/>
          <w:sz w:val="20"/>
        </w:rPr>
        <w:footnoteReference w:id="4"/>
      </w:r>
    </w:p>
    <w:p w:rsidR="0067737F" w:rsidRPr="00C4102E" w:rsidRDefault="0067737F" w:rsidP="00926AD0">
      <w:pPr>
        <w:spacing w:before="120" w:after="0"/>
        <w:jc w:val="both"/>
        <w:rPr>
          <w:rFonts w:ascii="ITC Avant Garde" w:hAnsi="ITC Avant Garde"/>
        </w:rPr>
      </w:pPr>
      <w:r w:rsidRPr="00C4102E">
        <w:rPr>
          <w:rFonts w:ascii="ITC Avant Garde" w:hAnsi="ITC Avant Garde"/>
          <w:b/>
        </w:rPr>
        <w:t xml:space="preserve">iii) </w:t>
      </w:r>
      <w:r w:rsidRPr="00C4102E">
        <w:rPr>
          <w:rFonts w:ascii="ITC Avant Garde" w:hAnsi="ITC Avant Garde"/>
        </w:rPr>
        <w:t xml:space="preserve">Lo resuelto en Ejecutoria </w:t>
      </w:r>
      <w:proofErr w:type="spellStart"/>
      <w:r w:rsidRPr="00C4102E">
        <w:rPr>
          <w:rFonts w:ascii="ITC Avant Garde" w:hAnsi="ITC Avant Garde"/>
        </w:rPr>
        <w:t>Megacable</w:t>
      </w:r>
      <w:proofErr w:type="spellEnd"/>
      <w:r w:rsidRPr="00C4102E">
        <w:rPr>
          <w:rFonts w:ascii="ITC Avant Garde" w:hAnsi="ITC Avant Garde"/>
        </w:rPr>
        <w:t xml:space="preserve"> impacta </w:t>
      </w:r>
      <w:r w:rsidRPr="00346771">
        <w:rPr>
          <w:rFonts w:ascii="ITC Avant Garde" w:hAnsi="ITC Avant Garde"/>
          <w:i/>
        </w:rPr>
        <w:t>“</w:t>
      </w:r>
      <w:r w:rsidRPr="00E108E3">
        <w:rPr>
          <w:rFonts w:ascii="ITC Avant Garde" w:hAnsi="ITC Avant Garde"/>
        </w:rPr>
        <w:t>(…)</w:t>
      </w:r>
      <w:r w:rsidRPr="00346771">
        <w:rPr>
          <w:rFonts w:ascii="ITC Avant Garde" w:hAnsi="ITC Avant Garde"/>
          <w:i/>
        </w:rPr>
        <w:t xml:space="preserve"> </w:t>
      </w:r>
      <w:r w:rsidRPr="001B0BA8">
        <w:rPr>
          <w:rFonts w:ascii="ITC Avant Garde" w:hAnsi="ITC Avant Garde"/>
          <w:i/>
          <w:sz w:val="20"/>
          <w:szCs w:val="20"/>
        </w:rPr>
        <w:t>de manera sustancial la resolución en el procedimiento correspondiente, lo que evidencia que la resolución reclamada en el juicio de amparo del cual deriva el recurso de revisión de mérito y sus efectos, quedan totalmente revocados, toda vez que ese acto no podría considerarse subsistente respecto de ninguno de los agentes económicos considerados presuntamente responsables de las prácticas monopólicas absolutas</w:t>
      </w:r>
      <w:r w:rsidRPr="00346771">
        <w:rPr>
          <w:rFonts w:ascii="ITC Avant Garde" w:hAnsi="ITC Avant Garde"/>
          <w:i/>
        </w:rPr>
        <w:t xml:space="preserve"> </w:t>
      </w:r>
      <w:r w:rsidRPr="00E108E3">
        <w:rPr>
          <w:rFonts w:ascii="ITC Avant Garde" w:hAnsi="ITC Avant Garde"/>
        </w:rPr>
        <w:t>(…)</w:t>
      </w:r>
      <w:r w:rsidRPr="00346771">
        <w:rPr>
          <w:rFonts w:ascii="ITC Avant Garde" w:hAnsi="ITC Avant Garde"/>
          <w:i/>
        </w:rPr>
        <w:t>”</w:t>
      </w:r>
      <w:r w:rsidR="002D5B2A">
        <w:rPr>
          <w:rFonts w:ascii="ITC Avant Garde" w:hAnsi="ITC Avant Garde"/>
        </w:rPr>
        <w:t>,</w:t>
      </w:r>
      <w:r w:rsidRPr="00C4102E">
        <w:rPr>
          <w:rStyle w:val="Refdenotaalpie"/>
          <w:rFonts w:ascii="ITC Avant Garde" w:hAnsi="ITC Avant Garde"/>
        </w:rPr>
        <w:footnoteReference w:id="5"/>
      </w:r>
      <w:r w:rsidR="002D5B2A">
        <w:rPr>
          <w:rFonts w:ascii="ITC Avant Garde" w:hAnsi="ITC Avant Garde"/>
        </w:rPr>
        <w:t xml:space="preserve"> y;</w:t>
      </w:r>
    </w:p>
    <w:p w:rsidR="002C1A2C" w:rsidRPr="00C4102E" w:rsidRDefault="0067737F" w:rsidP="00926AD0">
      <w:pPr>
        <w:spacing w:before="120" w:after="0"/>
        <w:jc w:val="both"/>
        <w:rPr>
          <w:rFonts w:ascii="ITC Avant Garde" w:hAnsi="ITC Avant Garde"/>
        </w:rPr>
      </w:pPr>
      <w:r w:rsidRPr="00C4102E">
        <w:rPr>
          <w:rFonts w:ascii="ITC Avant Garde" w:hAnsi="ITC Avant Garde"/>
          <w:b/>
        </w:rPr>
        <w:t xml:space="preserve">iv) </w:t>
      </w:r>
      <w:r w:rsidRPr="00C4102E">
        <w:rPr>
          <w:rFonts w:ascii="ITC Avant Garde" w:hAnsi="ITC Avant Garde"/>
        </w:rPr>
        <w:t>Derivado del</w:t>
      </w:r>
      <w:r w:rsidR="002D5B2A">
        <w:rPr>
          <w:rFonts w:ascii="ITC Avant Garde" w:hAnsi="ITC Avant Garde"/>
        </w:rPr>
        <w:t xml:space="preserve"> contenido del</w:t>
      </w:r>
      <w:r w:rsidRPr="00C4102E">
        <w:rPr>
          <w:rFonts w:ascii="ITC Avant Garde" w:hAnsi="ITC Avant Garde"/>
        </w:rPr>
        <w:t xml:space="preserve"> numeral anterior, el Segundo Tribunal Especializado consideró que Cablevisión </w:t>
      </w:r>
      <w:r w:rsidRPr="00346771">
        <w:rPr>
          <w:rFonts w:ascii="ITC Avant Garde" w:hAnsi="ITC Avant Garde"/>
          <w:i/>
        </w:rPr>
        <w:t>“</w:t>
      </w:r>
      <w:r w:rsidRPr="00E108E3">
        <w:rPr>
          <w:rFonts w:ascii="ITC Avant Garde" w:hAnsi="ITC Avant Garde"/>
        </w:rPr>
        <w:t>(…)</w:t>
      </w:r>
      <w:r w:rsidRPr="00346771">
        <w:rPr>
          <w:rFonts w:ascii="ITC Avant Garde" w:hAnsi="ITC Avant Garde"/>
          <w:i/>
        </w:rPr>
        <w:t xml:space="preserve"> </w:t>
      </w:r>
      <w:r w:rsidRPr="001B0BA8">
        <w:rPr>
          <w:rFonts w:ascii="ITC Avant Garde" w:hAnsi="ITC Avant Garde"/>
          <w:i/>
          <w:sz w:val="20"/>
          <w:szCs w:val="20"/>
        </w:rPr>
        <w:t>ya no podría obtener la reparación constitucional a que alude el artículo 77 de la Ley de Amparo, es decir, la restitución en el pleno goce de sus derechos o garantías violados, restableciendo las cosas al estado que guardaban antes de la violación, pues la decisión que combate ha dejado de surtir eficacia jurídica, dada las obligaciones impuestas</w:t>
      </w:r>
      <w:r w:rsidRPr="00346771">
        <w:rPr>
          <w:rFonts w:ascii="ITC Avant Garde" w:hAnsi="ITC Avant Garde"/>
          <w:i/>
        </w:rPr>
        <w:t xml:space="preserve"> </w:t>
      </w:r>
      <w:r w:rsidRPr="00E108E3">
        <w:rPr>
          <w:rFonts w:ascii="ITC Avant Garde" w:hAnsi="ITC Avant Garde"/>
        </w:rPr>
        <w:t>(…)</w:t>
      </w:r>
      <w:r w:rsidRPr="00346771">
        <w:rPr>
          <w:rFonts w:ascii="ITC Avant Garde" w:hAnsi="ITC Avant Garde"/>
          <w:i/>
        </w:rPr>
        <w:t>”</w:t>
      </w:r>
      <w:r w:rsidRPr="00C4102E">
        <w:rPr>
          <w:rStyle w:val="Refdenotaalpie"/>
          <w:rFonts w:ascii="ITC Avant Garde" w:hAnsi="ITC Avant Garde"/>
        </w:rPr>
        <w:footnoteReference w:id="6"/>
      </w:r>
      <w:r w:rsidRPr="00C4102E">
        <w:rPr>
          <w:rFonts w:ascii="ITC Avant Garde" w:hAnsi="ITC Avant Garde"/>
        </w:rPr>
        <w:t xml:space="preserve"> en la Ejecutoria </w:t>
      </w:r>
      <w:proofErr w:type="spellStart"/>
      <w:r w:rsidRPr="00C4102E">
        <w:rPr>
          <w:rFonts w:ascii="ITC Avant Garde" w:hAnsi="ITC Avant Garde"/>
        </w:rPr>
        <w:t>Megacable</w:t>
      </w:r>
      <w:proofErr w:type="spellEnd"/>
      <w:r w:rsidR="001B0BA8">
        <w:rPr>
          <w:rFonts w:ascii="ITC Avant Garde" w:hAnsi="ITC Avant Garde"/>
        </w:rPr>
        <w:t>.</w:t>
      </w:r>
    </w:p>
    <w:p w:rsidR="00C92A20" w:rsidRPr="00C4102E" w:rsidRDefault="00F5241B" w:rsidP="00926AD0">
      <w:pPr>
        <w:pStyle w:val="Prrafodelista"/>
        <w:numPr>
          <w:ilvl w:val="0"/>
          <w:numId w:val="4"/>
        </w:numPr>
        <w:spacing w:before="120" w:after="0"/>
        <w:ind w:left="0"/>
        <w:contextualSpacing w:val="0"/>
        <w:jc w:val="both"/>
        <w:rPr>
          <w:rFonts w:ascii="ITC Avant Garde" w:eastAsia="Calibri" w:hAnsi="ITC Avant Garde" w:cs="Times New Roman"/>
          <w:iCs/>
          <w:sz w:val="20"/>
        </w:rPr>
      </w:pPr>
      <w:r w:rsidRPr="00C4102E">
        <w:rPr>
          <w:rFonts w:ascii="ITC Avant Garde" w:eastAsia="Calibri" w:hAnsi="ITC Avant Garde" w:cs="Times New Roman"/>
          <w:iCs/>
        </w:rPr>
        <w:t>El</w:t>
      </w:r>
      <w:r w:rsidR="00F359F0">
        <w:rPr>
          <w:rFonts w:ascii="ITC Avant Garde" w:eastAsia="Calibri" w:hAnsi="ITC Avant Garde" w:cs="Times New Roman"/>
          <w:iCs/>
        </w:rPr>
        <w:t xml:space="preserve"> dieciocho de mayo de dos mil dieciséis el Pleno del Instituto emitió </w:t>
      </w:r>
      <w:r w:rsidR="00374B3E">
        <w:rPr>
          <w:rFonts w:ascii="ITC Avant Garde" w:eastAsia="Calibri" w:hAnsi="ITC Avant Garde" w:cs="Times New Roman"/>
          <w:iCs/>
        </w:rPr>
        <w:t xml:space="preserve">el </w:t>
      </w:r>
      <w:r w:rsidR="00374B3E" w:rsidRPr="00C4102E">
        <w:rPr>
          <w:rFonts w:ascii="ITC Avant Garde" w:eastAsia="Calibri" w:hAnsi="ITC Avant Garde" w:cs="Times New Roman"/>
          <w:iCs/>
        </w:rPr>
        <w:t>Acuerdo</w:t>
      </w:r>
      <w:r w:rsidR="0047313E" w:rsidRPr="00C4102E">
        <w:rPr>
          <w:rFonts w:ascii="ITC Avant Garde" w:eastAsia="Calibri" w:hAnsi="ITC Avant Garde" w:cs="Times New Roman"/>
          <w:iCs/>
        </w:rPr>
        <w:t xml:space="preserve"> </w:t>
      </w:r>
      <w:r w:rsidRPr="00C4102E">
        <w:rPr>
          <w:rFonts w:ascii="ITC Avant Garde" w:eastAsia="Calibri" w:hAnsi="ITC Avant Garde" w:cs="Times New Roman"/>
          <w:iCs/>
        </w:rPr>
        <w:t>de Mecanismo</w:t>
      </w:r>
      <w:r w:rsidR="0047313E" w:rsidRPr="00C4102E">
        <w:rPr>
          <w:rFonts w:ascii="ITC Avant Garde" w:hAnsi="ITC Avant Garde"/>
        </w:rPr>
        <w:t>.</w:t>
      </w:r>
    </w:p>
    <w:p w:rsidR="0047313E" w:rsidRPr="00C4102E" w:rsidRDefault="00193CC4" w:rsidP="00926AD0">
      <w:pPr>
        <w:pStyle w:val="Prrafodelista"/>
        <w:numPr>
          <w:ilvl w:val="0"/>
          <w:numId w:val="4"/>
        </w:numPr>
        <w:spacing w:before="120" w:after="0"/>
        <w:ind w:left="0"/>
        <w:contextualSpacing w:val="0"/>
        <w:jc w:val="both"/>
        <w:rPr>
          <w:rFonts w:ascii="ITC Avant Garde" w:hAnsi="ITC Avant Garde"/>
        </w:rPr>
      </w:pPr>
      <w:r>
        <w:rPr>
          <w:rFonts w:ascii="ITC Avant Garde" w:hAnsi="ITC Avant Garde"/>
        </w:rPr>
        <w:t xml:space="preserve">Cablevisión pidió el </w:t>
      </w:r>
      <w:r w:rsidR="0047313E" w:rsidRPr="00C4102E">
        <w:rPr>
          <w:rFonts w:ascii="ITC Avant Garde" w:hAnsi="ITC Avant Garde"/>
        </w:rPr>
        <w:t xml:space="preserve">amparo </w:t>
      </w:r>
      <w:r w:rsidR="00F52F6E" w:rsidRPr="00C4102E">
        <w:rPr>
          <w:rFonts w:ascii="ITC Avant Garde" w:hAnsi="ITC Avant Garde"/>
        </w:rPr>
        <w:t xml:space="preserve">en </w:t>
      </w:r>
      <w:r w:rsidR="00F5241B" w:rsidRPr="00C4102E">
        <w:rPr>
          <w:rFonts w:ascii="ITC Avant Garde" w:hAnsi="ITC Avant Garde"/>
        </w:rPr>
        <w:t>contra del Acuerdo de Mecanismo</w:t>
      </w:r>
      <w:r w:rsidR="00F52F6E" w:rsidRPr="00C4102E">
        <w:rPr>
          <w:rFonts w:ascii="ITC Avant Garde" w:hAnsi="ITC Avant Garde"/>
        </w:rPr>
        <w:t xml:space="preserve">, mismo que </w:t>
      </w:r>
      <w:r w:rsidR="0047313E" w:rsidRPr="00C4102E">
        <w:rPr>
          <w:rFonts w:ascii="ITC Avant Garde" w:hAnsi="ITC Avant Garde"/>
        </w:rPr>
        <w:t xml:space="preserve">quedó radicado bajo el número 85/2016 </w:t>
      </w:r>
      <w:r>
        <w:rPr>
          <w:rFonts w:ascii="ITC Avant Garde" w:hAnsi="ITC Avant Garde"/>
        </w:rPr>
        <w:t>del índice</w:t>
      </w:r>
      <w:r w:rsidRPr="00C4102E">
        <w:rPr>
          <w:rFonts w:ascii="ITC Avant Garde" w:hAnsi="ITC Avant Garde"/>
        </w:rPr>
        <w:t xml:space="preserve"> </w:t>
      </w:r>
      <w:r>
        <w:rPr>
          <w:rFonts w:ascii="ITC Avant Garde" w:hAnsi="ITC Avant Garde"/>
        </w:rPr>
        <w:t>d</w:t>
      </w:r>
      <w:r w:rsidR="0047313E" w:rsidRPr="00C4102E">
        <w:rPr>
          <w:rFonts w:ascii="ITC Avant Garde" w:hAnsi="ITC Avant Garde"/>
        </w:rPr>
        <w:t>el Juzgado Primero.</w:t>
      </w:r>
    </w:p>
    <w:p w:rsidR="00193CC4" w:rsidRDefault="00193CC4" w:rsidP="00926AD0">
      <w:pPr>
        <w:pStyle w:val="Prrafodelista"/>
        <w:numPr>
          <w:ilvl w:val="0"/>
          <w:numId w:val="4"/>
        </w:numPr>
        <w:spacing w:before="120" w:after="0"/>
        <w:ind w:left="0"/>
        <w:contextualSpacing w:val="0"/>
        <w:jc w:val="both"/>
        <w:rPr>
          <w:rFonts w:ascii="ITC Avant Garde" w:hAnsi="ITC Avant Garde"/>
        </w:rPr>
      </w:pPr>
      <w:r>
        <w:rPr>
          <w:rFonts w:ascii="ITC Avant Garde" w:hAnsi="ITC Avant Garde"/>
        </w:rPr>
        <w:t>E</w:t>
      </w:r>
      <w:r w:rsidR="00F5241B" w:rsidRPr="00C4102E">
        <w:rPr>
          <w:rFonts w:ascii="ITC Avant Garde" w:hAnsi="ITC Avant Garde"/>
        </w:rPr>
        <w:t xml:space="preserve">l </w:t>
      </w:r>
      <w:r>
        <w:rPr>
          <w:rFonts w:ascii="ITC Avant Garde" w:hAnsi="ITC Avant Garde"/>
        </w:rPr>
        <w:t xml:space="preserve">trece de diciembre de dos mil dieciséis el </w:t>
      </w:r>
      <w:r w:rsidR="0047313E" w:rsidRPr="00C4102E">
        <w:rPr>
          <w:rFonts w:ascii="ITC Avant Garde" w:hAnsi="ITC Avant Garde"/>
        </w:rPr>
        <w:t>Juzgado Primero</w:t>
      </w:r>
      <w:r>
        <w:rPr>
          <w:rFonts w:ascii="ITC Avant Garde" w:hAnsi="ITC Avant Garde"/>
        </w:rPr>
        <w:t xml:space="preserve"> emitió la sentencia correspondiente </w:t>
      </w:r>
      <w:r w:rsidR="002D5B2A">
        <w:rPr>
          <w:rFonts w:ascii="ITC Avant Garde" w:hAnsi="ITC Avant Garde"/>
        </w:rPr>
        <w:t>a</w:t>
      </w:r>
      <w:r>
        <w:rPr>
          <w:rFonts w:ascii="ITC Avant Garde" w:hAnsi="ITC Avant Garde"/>
        </w:rPr>
        <w:t xml:space="preserve">l Amparo 85/2016. </w:t>
      </w:r>
      <w:r w:rsidR="00F5241B" w:rsidRPr="00C4102E">
        <w:rPr>
          <w:rFonts w:ascii="ITC Avant Garde" w:hAnsi="ITC Avant Garde"/>
        </w:rPr>
        <w:t xml:space="preserve"> </w:t>
      </w:r>
    </w:p>
    <w:p w:rsidR="00143806" w:rsidRPr="00346771" w:rsidRDefault="0090636F" w:rsidP="00926AD0">
      <w:pPr>
        <w:numPr>
          <w:ilvl w:val="0"/>
          <w:numId w:val="4"/>
        </w:numPr>
        <w:spacing w:before="120" w:after="0"/>
        <w:ind w:left="0"/>
        <w:jc w:val="both"/>
        <w:rPr>
          <w:rFonts w:ascii="ITC Avant Garde" w:hAnsi="ITC Avant Garde"/>
          <w:bCs/>
        </w:rPr>
      </w:pPr>
      <w:r w:rsidRPr="00C4102E">
        <w:rPr>
          <w:rFonts w:ascii="ITC Avant Garde" w:hAnsi="ITC Avant Garde"/>
        </w:rPr>
        <w:lastRenderedPageBreak/>
        <w:t>El</w:t>
      </w:r>
      <w:r w:rsidR="009F4451">
        <w:rPr>
          <w:rFonts w:ascii="ITC Avant Garde" w:hAnsi="ITC Avant Garde"/>
        </w:rPr>
        <w:t xml:space="preserve"> seis de diciembre de dos mil dieciséis la Titular de la UCE emitió el</w:t>
      </w:r>
      <w:r w:rsidRPr="00C4102E">
        <w:rPr>
          <w:rFonts w:ascii="ITC Avant Garde" w:hAnsi="ITC Avant Garde"/>
        </w:rPr>
        <w:t xml:space="preserve"> A</w:t>
      </w:r>
      <w:r w:rsidR="00D86A40" w:rsidRPr="00C4102E">
        <w:rPr>
          <w:rFonts w:ascii="ITC Avant Garde" w:hAnsi="ITC Avant Garde"/>
        </w:rPr>
        <w:t xml:space="preserve">cuerdo </w:t>
      </w:r>
      <w:r w:rsidRPr="00C4102E">
        <w:rPr>
          <w:rFonts w:ascii="ITC Avant Garde" w:hAnsi="ITC Avant Garde"/>
        </w:rPr>
        <w:t xml:space="preserve">Cablevisión, por el cual se </w:t>
      </w:r>
      <w:r w:rsidR="00D86A40" w:rsidRPr="00C4102E">
        <w:rPr>
          <w:rFonts w:ascii="ITC Avant Garde" w:hAnsi="ITC Avant Garde"/>
        </w:rPr>
        <w:t xml:space="preserve">dio contestación al </w:t>
      </w:r>
      <w:r w:rsidRPr="00C4102E">
        <w:rPr>
          <w:rFonts w:ascii="ITC Avant Garde" w:hAnsi="ITC Avant Garde"/>
        </w:rPr>
        <w:t>Escrito Cablevisión.</w:t>
      </w:r>
      <w:r w:rsidR="00143806" w:rsidRPr="00C4102E">
        <w:rPr>
          <w:rStyle w:val="Refdenotaalpie"/>
          <w:rFonts w:ascii="ITC Avant Garde" w:hAnsi="ITC Avant Garde"/>
        </w:rPr>
        <w:footnoteReference w:id="7"/>
      </w:r>
      <w:r w:rsidR="00143806" w:rsidRPr="00C4102E">
        <w:rPr>
          <w:rFonts w:ascii="ITC Avant Garde" w:hAnsi="ITC Avant Garde"/>
        </w:rPr>
        <w:t xml:space="preserve"> </w:t>
      </w:r>
    </w:p>
    <w:p w:rsidR="009F4451" w:rsidRDefault="009F4451" w:rsidP="00926AD0">
      <w:pPr>
        <w:pStyle w:val="Prrafodelista"/>
        <w:numPr>
          <w:ilvl w:val="0"/>
          <w:numId w:val="4"/>
        </w:numPr>
        <w:spacing w:before="120" w:after="0"/>
        <w:ind w:left="0"/>
        <w:contextualSpacing w:val="0"/>
        <w:jc w:val="both"/>
        <w:rPr>
          <w:rFonts w:ascii="ITC Avant Garde" w:hAnsi="ITC Avant Garde"/>
        </w:rPr>
      </w:pPr>
      <w:r>
        <w:rPr>
          <w:rFonts w:ascii="ITC Avant Garde" w:hAnsi="ITC Avant Garde"/>
        </w:rPr>
        <w:t xml:space="preserve">El diecisiete de agosto de dos mil diecisiete el Primer Tribunal Especializado dictó </w:t>
      </w:r>
      <w:r w:rsidRPr="00C4102E">
        <w:rPr>
          <w:rFonts w:ascii="ITC Avant Garde" w:hAnsi="ITC Avant Garde"/>
        </w:rPr>
        <w:t>la Ejecutoria Cablevisión 7/2017, la cual ordenó dejar insubsistente el Acuerdo de Mecanismo.</w:t>
      </w:r>
    </w:p>
    <w:p w:rsidR="0067737F" w:rsidRPr="00346771" w:rsidRDefault="0067737F" w:rsidP="00926AD0">
      <w:pPr>
        <w:pStyle w:val="Prrafodelista"/>
        <w:numPr>
          <w:ilvl w:val="0"/>
          <w:numId w:val="4"/>
        </w:numPr>
        <w:spacing w:before="120" w:after="0"/>
        <w:ind w:left="0"/>
        <w:contextualSpacing w:val="0"/>
        <w:jc w:val="both"/>
        <w:rPr>
          <w:rFonts w:ascii="ITC Avant Garde" w:hAnsi="ITC Avant Garde"/>
        </w:rPr>
      </w:pPr>
      <w:r>
        <w:rPr>
          <w:rFonts w:ascii="ITC Avant Garde" w:hAnsi="ITC Avant Garde"/>
        </w:rPr>
        <w:t xml:space="preserve"> </w:t>
      </w:r>
      <w:r w:rsidR="009F4451" w:rsidRPr="00346771">
        <w:rPr>
          <w:rFonts w:ascii="ITC Avant Garde" w:hAnsi="ITC Avant Garde"/>
          <w:bCs/>
        </w:rPr>
        <w:t>El trece de septiembre de dos mil diecisiete el Primer Tribunal Especializado dictó l</w:t>
      </w:r>
      <w:r w:rsidR="00D86A40" w:rsidRPr="00346771">
        <w:rPr>
          <w:rFonts w:ascii="ITC Avant Garde" w:hAnsi="ITC Avant Garde"/>
          <w:bCs/>
        </w:rPr>
        <w:t xml:space="preserve">a </w:t>
      </w:r>
      <w:r w:rsidR="001631AA" w:rsidRPr="00346771">
        <w:rPr>
          <w:rFonts w:ascii="ITC Avant Garde" w:hAnsi="ITC Avant Garde"/>
          <w:bCs/>
        </w:rPr>
        <w:t>Ejecutoria Cablevisión 106/2017</w:t>
      </w:r>
      <w:r w:rsidR="00866041" w:rsidRPr="00346771">
        <w:rPr>
          <w:rFonts w:ascii="ITC Avant Garde" w:hAnsi="ITC Avant Garde"/>
          <w:bCs/>
        </w:rPr>
        <w:t>.</w:t>
      </w:r>
      <w:r w:rsidRPr="00346771">
        <w:rPr>
          <w:rFonts w:ascii="ITC Avant Garde" w:hAnsi="ITC Avant Garde"/>
          <w:bCs/>
        </w:rPr>
        <w:t xml:space="preserve"> </w:t>
      </w:r>
      <w:r>
        <w:rPr>
          <w:rFonts w:ascii="ITC Avant Garde" w:hAnsi="ITC Avant Garde"/>
        </w:rPr>
        <w:t>En la ejecutoria referida</w:t>
      </w:r>
      <w:r w:rsidRPr="00346771">
        <w:rPr>
          <w:rFonts w:ascii="ITC Avant Garde" w:hAnsi="ITC Avant Garde"/>
        </w:rPr>
        <w:t xml:space="preserve"> el </w:t>
      </w:r>
      <w:r w:rsidRPr="00346771">
        <w:rPr>
          <w:rFonts w:ascii="ITC Avant Garde" w:hAnsi="ITC Avant Garde"/>
          <w:lang w:bidi="en-US"/>
        </w:rPr>
        <w:t>Primer Tribunal Especializado</w:t>
      </w:r>
      <w:r w:rsidRPr="00346771">
        <w:rPr>
          <w:rFonts w:ascii="ITC Avant Garde" w:hAnsi="ITC Avant Garde"/>
        </w:rPr>
        <w:t xml:space="preserve"> consideró lo siguiente:</w:t>
      </w:r>
    </w:p>
    <w:p w:rsidR="0067737F" w:rsidRPr="00374B3E" w:rsidRDefault="0067737F" w:rsidP="00926AD0">
      <w:pPr>
        <w:spacing w:before="120" w:after="0"/>
        <w:jc w:val="both"/>
        <w:rPr>
          <w:rFonts w:ascii="ITC Avant Garde" w:hAnsi="ITC Avant Garde"/>
        </w:rPr>
      </w:pPr>
      <w:r w:rsidRPr="00C4102E">
        <w:rPr>
          <w:rFonts w:ascii="ITC Avant Garde" w:hAnsi="ITC Avant Garde"/>
          <w:b/>
        </w:rPr>
        <w:t xml:space="preserve">i) </w:t>
      </w:r>
      <w:r w:rsidRPr="00C4102E">
        <w:rPr>
          <w:rFonts w:ascii="ITC Avant Garde" w:hAnsi="ITC Avant Garde"/>
        </w:rPr>
        <w:t xml:space="preserve">En el amparo en revisión 55/2014 se constató la completa inexistencia del acto reclamado en el juicio, consistente en la </w:t>
      </w:r>
      <w:r w:rsidR="00433C4F">
        <w:rPr>
          <w:rFonts w:ascii="ITC Avant Garde" w:hAnsi="ITC Avant Garde"/>
        </w:rPr>
        <w:t>Resolución</w:t>
      </w:r>
      <w:r w:rsidRPr="00C4102E">
        <w:rPr>
          <w:rFonts w:ascii="ITC Avant Garde" w:hAnsi="ITC Avant Garde"/>
        </w:rPr>
        <w:t xml:space="preserve">. A la letra, en la ejecutoria referida se </w:t>
      </w:r>
      <w:r w:rsidR="00D408ED" w:rsidRPr="00C4102E">
        <w:rPr>
          <w:rFonts w:ascii="ITC Avant Garde" w:hAnsi="ITC Avant Garde"/>
        </w:rPr>
        <w:t>estableció:</w:t>
      </w:r>
      <w:r w:rsidR="00D408ED">
        <w:rPr>
          <w:rFonts w:ascii="ITC Avant Garde" w:hAnsi="ITC Avant Garde"/>
          <w:i/>
          <w:sz w:val="20"/>
        </w:rPr>
        <w:t xml:space="preserve"> </w:t>
      </w:r>
      <w:r w:rsidR="00D408ED" w:rsidRPr="00C4102E">
        <w:rPr>
          <w:rFonts w:ascii="ITC Avant Garde" w:hAnsi="ITC Avant Garde"/>
          <w:i/>
          <w:sz w:val="20"/>
        </w:rPr>
        <w:t>“En</w:t>
      </w:r>
      <w:r w:rsidRPr="00C4102E">
        <w:rPr>
          <w:rFonts w:ascii="ITC Avant Garde" w:hAnsi="ITC Avant Garde"/>
          <w:i/>
          <w:sz w:val="20"/>
        </w:rPr>
        <w:t xml:space="preserve"> la diversa determinación asumida por este órgano jurisdiccional en el amparo en revisión 55/2014 </w:t>
      </w:r>
      <w:r w:rsidRPr="00C4102E">
        <w:rPr>
          <w:rFonts w:ascii="ITC Avant Garde" w:hAnsi="ITC Avant Garde"/>
          <w:b/>
          <w:i/>
          <w:sz w:val="20"/>
          <w:u w:val="single"/>
        </w:rPr>
        <w:t xml:space="preserve">se constató la completa inexistencia </w:t>
      </w:r>
      <w:r w:rsidRPr="00C4102E">
        <w:rPr>
          <w:rFonts w:ascii="ITC Avant Garde" w:hAnsi="ITC Avant Garde"/>
          <w:i/>
          <w:sz w:val="20"/>
        </w:rPr>
        <w:t xml:space="preserve">del acto reclamado en el juicio consistente en </w:t>
      </w:r>
      <w:r w:rsidRPr="00C4102E">
        <w:rPr>
          <w:rFonts w:ascii="ITC Avant Garde" w:hAnsi="ITC Avant Garde"/>
          <w:b/>
          <w:i/>
          <w:sz w:val="20"/>
          <w:u w:val="single"/>
        </w:rPr>
        <w:t>la resolución P/IFT/EXT/170214/70</w:t>
      </w:r>
      <w:r w:rsidRPr="00C4102E">
        <w:rPr>
          <w:rFonts w:ascii="ITC Avant Garde" w:hAnsi="ITC Avant Garde"/>
          <w:i/>
          <w:sz w:val="20"/>
        </w:rPr>
        <w:t>, dictada el diecisiete de febrero de dos mil catorce en el expediente E-IFT/DGIPM/PMA/0001/2013</w:t>
      </w:r>
      <w:r w:rsidR="00433C4F">
        <w:rPr>
          <w:rFonts w:ascii="ITC Avant Garde" w:hAnsi="ITC Avant Garde"/>
          <w:i/>
          <w:sz w:val="20"/>
        </w:rPr>
        <w:t>”</w:t>
      </w:r>
      <w:r w:rsidRPr="00C4102E">
        <w:rPr>
          <w:rFonts w:ascii="ITC Avant Garde" w:hAnsi="ITC Avant Garde"/>
          <w:i/>
          <w:sz w:val="20"/>
        </w:rPr>
        <w:t>.</w:t>
      </w:r>
      <w:r w:rsidRPr="00C4102E">
        <w:rPr>
          <w:rStyle w:val="Refdenotaalpie"/>
          <w:rFonts w:ascii="ITC Avant Garde" w:hAnsi="ITC Avant Garde"/>
          <w:i/>
          <w:sz w:val="20"/>
        </w:rPr>
        <w:footnoteReference w:id="8"/>
      </w:r>
      <w:r w:rsidRPr="00C4102E">
        <w:rPr>
          <w:rFonts w:ascii="ITC Avant Garde" w:hAnsi="ITC Avant Garde"/>
          <w:i/>
          <w:sz w:val="20"/>
        </w:rPr>
        <w:t xml:space="preserve"> </w:t>
      </w:r>
      <w:r w:rsidRPr="00374B3E">
        <w:rPr>
          <w:rFonts w:ascii="ITC Avant Garde" w:hAnsi="ITC Avant Garde"/>
        </w:rPr>
        <w:t>[Énfasis añadido]</w:t>
      </w:r>
    </w:p>
    <w:p w:rsidR="0067737F" w:rsidRPr="00C4102E" w:rsidRDefault="0067737F" w:rsidP="00926AD0">
      <w:pPr>
        <w:spacing w:before="120" w:after="0"/>
        <w:jc w:val="both"/>
        <w:rPr>
          <w:rFonts w:ascii="ITC Avant Garde" w:hAnsi="ITC Avant Garde"/>
        </w:rPr>
      </w:pPr>
      <w:r w:rsidRPr="00C4102E">
        <w:rPr>
          <w:rFonts w:ascii="ITC Avant Garde" w:hAnsi="ITC Avant Garde"/>
          <w:b/>
        </w:rPr>
        <w:t>ii)</w:t>
      </w:r>
      <w:r w:rsidRPr="00C4102E">
        <w:rPr>
          <w:rFonts w:ascii="ITC Avant Garde" w:hAnsi="ITC Avant Garde"/>
        </w:rPr>
        <w:t xml:space="preserve"> En términos de lo señalado en la</w:t>
      </w:r>
      <w:r w:rsidRPr="00C4102E">
        <w:rPr>
          <w:rFonts w:ascii="ITC Avant Garde" w:hAnsi="ITC Avant Garde"/>
          <w:b/>
        </w:rPr>
        <w:t xml:space="preserve"> </w:t>
      </w:r>
      <w:r w:rsidRPr="00C4102E">
        <w:rPr>
          <w:rFonts w:ascii="ITC Avant Garde" w:hAnsi="ITC Avant Garde"/>
        </w:rPr>
        <w:t xml:space="preserve">Ejecutoria Cablevisión 55/2014, se determinó que al configurarse la causal de improcedencia prevista en el artículo 61, fracción XXI, de la Ley de Amparo, la Resolución </w:t>
      </w:r>
      <w:r w:rsidRPr="00E108E3">
        <w:rPr>
          <w:rFonts w:ascii="ITC Avant Garde" w:hAnsi="ITC Avant Garde"/>
        </w:rPr>
        <w:t>“</w:t>
      </w:r>
      <w:r w:rsidR="00433C4F" w:rsidRPr="00346771">
        <w:rPr>
          <w:rFonts w:ascii="ITC Avant Garde" w:hAnsi="ITC Avant Garde"/>
        </w:rPr>
        <w:t xml:space="preserve">(…) </w:t>
      </w:r>
      <w:r w:rsidRPr="00374B3E">
        <w:rPr>
          <w:rFonts w:ascii="ITC Avant Garde" w:hAnsi="ITC Avant Garde"/>
          <w:i/>
          <w:sz w:val="20"/>
          <w:szCs w:val="20"/>
        </w:rPr>
        <w:t xml:space="preserve">quedó totalmente revocada al igual que sus efectos, con motivo de que el Segundo Tribunal Especializado otorgó el amparo al resolver el recurso de revisión R.A. 32/2015 interpuesto por </w:t>
      </w:r>
      <w:proofErr w:type="spellStart"/>
      <w:r w:rsidRPr="00374B3E">
        <w:rPr>
          <w:rFonts w:ascii="ITC Avant Garde" w:hAnsi="ITC Avant Garde"/>
          <w:i/>
          <w:sz w:val="20"/>
          <w:szCs w:val="20"/>
        </w:rPr>
        <w:t>Megacable</w:t>
      </w:r>
      <w:proofErr w:type="spellEnd"/>
      <w:r w:rsidRPr="00346771">
        <w:rPr>
          <w:rFonts w:ascii="ITC Avant Garde" w:hAnsi="ITC Avant Garde"/>
          <w:i/>
        </w:rPr>
        <w:t>”</w:t>
      </w:r>
      <w:r w:rsidRPr="00C4102E">
        <w:rPr>
          <w:rFonts w:ascii="ITC Avant Garde" w:hAnsi="ITC Avant Garde"/>
        </w:rPr>
        <w:t>.</w:t>
      </w:r>
      <w:r w:rsidRPr="00C4102E">
        <w:rPr>
          <w:rStyle w:val="Refdenotaalpie"/>
          <w:rFonts w:ascii="ITC Avant Garde" w:hAnsi="ITC Avant Garde"/>
        </w:rPr>
        <w:footnoteReference w:id="9"/>
      </w:r>
    </w:p>
    <w:p w:rsidR="0067737F" w:rsidRPr="00C4102E" w:rsidRDefault="0067737F" w:rsidP="00926AD0">
      <w:pPr>
        <w:spacing w:before="120" w:after="0"/>
        <w:jc w:val="both"/>
        <w:rPr>
          <w:rFonts w:ascii="ITC Avant Garde" w:hAnsi="ITC Avant Garde"/>
        </w:rPr>
      </w:pPr>
      <w:r w:rsidRPr="00C4102E">
        <w:rPr>
          <w:rFonts w:ascii="ITC Avant Garde" w:hAnsi="ITC Avant Garde"/>
          <w:b/>
        </w:rPr>
        <w:t xml:space="preserve">iii) </w:t>
      </w:r>
      <w:r w:rsidRPr="00C4102E">
        <w:rPr>
          <w:rFonts w:ascii="ITC Avant Garde" w:hAnsi="ITC Avant Garde"/>
        </w:rPr>
        <w:t>El procedimiento no se siguió de manera independiente para cada uno de los agentes económicos emplazados, sino conjuntamente. Por ello, no podía considerarse subsistente por alguno de los agentes económicos considerados probablemente responsables.</w:t>
      </w:r>
      <w:r w:rsidRPr="00C4102E">
        <w:rPr>
          <w:rStyle w:val="Refdenotaalpie"/>
          <w:rFonts w:ascii="ITC Avant Garde" w:hAnsi="ITC Avant Garde"/>
        </w:rPr>
        <w:footnoteReference w:id="10"/>
      </w:r>
    </w:p>
    <w:p w:rsidR="0067737F" w:rsidRPr="00C4102E" w:rsidRDefault="0067737F" w:rsidP="00926AD0">
      <w:pPr>
        <w:spacing w:before="120" w:after="0"/>
        <w:jc w:val="both"/>
        <w:rPr>
          <w:rFonts w:ascii="ITC Avant Garde" w:hAnsi="ITC Avant Garde"/>
        </w:rPr>
      </w:pPr>
      <w:r w:rsidRPr="00C4102E">
        <w:rPr>
          <w:rFonts w:ascii="ITC Avant Garde" w:hAnsi="ITC Avant Garde"/>
          <w:b/>
        </w:rPr>
        <w:t xml:space="preserve">iv) </w:t>
      </w:r>
      <w:r w:rsidRPr="00C4102E">
        <w:rPr>
          <w:rFonts w:ascii="ITC Avant Garde" w:hAnsi="ITC Avant Garde"/>
        </w:rPr>
        <w:t xml:space="preserve">Cablevisión no podría obtener la reparación constitucional a que alude el artículo 77 de la Ley de Amparo, </w:t>
      </w:r>
      <w:r w:rsidRPr="00346771">
        <w:rPr>
          <w:rFonts w:ascii="ITC Avant Garde" w:hAnsi="ITC Avant Garde"/>
          <w:i/>
        </w:rPr>
        <w:t>“</w:t>
      </w:r>
      <w:r w:rsidRPr="00E108E3">
        <w:rPr>
          <w:rFonts w:ascii="ITC Avant Garde" w:hAnsi="ITC Avant Garde"/>
        </w:rPr>
        <w:t xml:space="preserve">(…) </w:t>
      </w:r>
      <w:r w:rsidRPr="00374B3E">
        <w:rPr>
          <w:rFonts w:ascii="ITC Avant Garde" w:hAnsi="ITC Avant Garde"/>
          <w:i/>
          <w:sz w:val="20"/>
          <w:szCs w:val="20"/>
        </w:rPr>
        <w:t>pues la decisión que combatió había dejado de surtir eficacia, dadas las obligaciones impuestas al Pleno del IFT en la diversa revisión R.A. 32/2015 del índice</w:t>
      </w:r>
      <w:r w:rsidRPr="00346771">
        <w:rPr>
          <w:rFonts w:ascii="ITC Avant Garde" w:hAnsi="ITC Avant Garde"/>
          <w:i/>
        </w:rPr>
        <w:t xml:space="preserve"> </w:t>
      </w:r>
      <w:r w:rsidRPr="00E108E3">
        <w:rPr>
          <w:rFonts w:ascii="ITC Avant Garde" w:hAnsi="ITC Avant Garde"/>
        </w:rPr>
        <w:t>(…)”</w:t>
      </w:r>
      <w:r w:rsidRPr="00C4102E">
        <w:rPr>
          <w:rStyle w:val="Refdenotaalpie"/>
          <w:rFonts w:ascii="ITC Avant Garde" w:hAnsi="ITC Avant Garde"/>
        </w:rPr>
        <w:footnoteReference w:id="11"/>
      </w:r>
      <w:r w:rsidRPr="00C4102E">
        <w:rPr>
          <w:rFonts w:ascii="ITC Avant Garde" w:hAnsi="ITC Avant Garde"/>
        </w:rPr>
        <w:t xml:space="preserve"> del Segundo Tribunal Especializado.</w:t>
      </w:r>
    </w:p>
    <w:p w:rsidR="0067737F" w:rsidRPr="00C4102E" w:rsidRDefault="0067737F" w:rsidP="00926AD0">
      <w:pPr>
        <w:spacing w:before="120" w:after="0"/>
        <w:jc w:val="both"/>
        <w:rPr>
          <w:rFonts w:ascii="ITC Avant Garde" w:hAnsi="ITC Avant Garde"/>
        </w:rPr>
      </w:pPr>
      <w:r w:rsidRPr="00C4102E">
        <w:rPr>
          <w:rFonts w:ascii="ITC Avant Garde" w:hAnsi="ITC Avant Garde"/>
          <w:b/>
        </w:rPr>
        <w:lastRenderedPageBreak/>
        <w:t xml:space="preserve">v) </w:t>
      </w:r>
      <w:r w:rsidRPr="00C4102E">
        <w:rPr>
          <w:rFonts w:ascii="ITC Avant Garde" w:hAnsi="ITC Avant Garde"/>
        </w:rPr>
        <w:t xml:space="preserve">En la Ejecutoria Cablevisión 55/2014, se estimó configurada una causa juzgada derivada de la Ejecutoria </w:t>
      </w:r>
      <w:proofErr w:type="spellStart"/>
      <w:r w:rsidRPr="00C4102E">
        <w:rPr>
          <w:rFonts w:ascii="ITC Avant Garde" w:hAnsi="ITC Avant Garde"/>
        </w:rPr>
        <w:t>Megacable</w:t>
      </w:r>
      <w:proofErr w:type="spellEnd"/>
      <w:r w:rsidRPr="00C4102E">
        <w:rPr>
          <w:rFonts w:ascii="ITC Avant Garde" w:hAnsi="ITC Avant Garde"/>
        </w:rPr>
        <w:t>.</w:t>
      </w:r>
      <w:r w:rsidRPr="00C4102E">
        <w:rPr>
          <w:rStyle w:val="Refdenotaalpie"/>
          <w:rFonts w:ascii="ITC Avant Garde" w:hAnsi="ITC Avant Garde"/>
        </w:rPr>
        <w:footnoteReference w:id="12"/>
      </w:r>
    </w:p>
    <w:p w:rsidR="00D86A40" w:rsidRPr="00C4102E" w:rsidRDefault="0067737F" w:rsidP="00926AD0">
      <w:pPr>
        <w:spacing w:before="120" w:after="0"/>
        <w:jc w:val="both"/>
        <w:rPr>
          <w:rFonts w:ascii="ITC Avant Garde" w:hAnsi="ITC Avant Garde"/>
          <w:bCs/>
        </w:rPr>
      </w:pPr>
      <w:r w:rsidRPr="00C4102E">
        <w:rPr>
          <w:rFonts w:ascii="ITC Avant Garde" w:hAnsi="ITC Avant Garde"/>
          <w:b/>
        </w:rPr>
        <w:t xml:space="preserve">vi)  </w:t>
      </w:r>
      <w:r w:rsidRPr="00C4102E">
        <w:rPr>
          <w:rFonts w:ascii="ITC Avant Garde" w:hAnsi="ITC Avant Garde"/>
        </w:rPr>
        <w:t xml:space="preserve">La Ejecutoria </w:t>
      </w:r>
      <w:proofErr w:type="spellStart"/>
      <w:r w:rsidRPr="00C4102E">
        <w:rPr>
          <w:rFonts w:ascii="ITC Avant Garde" w:hAnsi="ITC Avant Garde"/>
        </w:rPr>
        <w:t>Megacable</w:t>
      </w:r>
      <w:proofErr w:type="spellEnd"/>
      <w:r w:rsidRPr="00C4102E">
        <w:rPr>
          <w:rFonts w:ascii="ITC Avant Garde" w:hAnsi="ITC Avant Garde"/>
        </w:rPr>
        <w:t xml:space="preserve"> impactó </w:t>
      </w:r>
      <w:r w:rsidRPr="00346771">
        <w:rPr>
          <w:rFonts w:ascii="ITC Avant Garde" w:hAnsi="ITC Avant Garde"/>
          <w:i/>
        </w:rPr>
        <w:t>“</w:t>
      </w:r>
      <w:r w:rsidR="00433C4F" w:rsidRPr="00346771">
        <w:rPr>
          <w:rFonts w:ascii="ITC Avant Garde" w:hAnsi="ITC Avant Garde"/>
        </w:rPr>
        <w:t xml:space="preserve">(…) </w:t>
      </w:r>
      <w:r w:rsidRPr="00374B3E">
        <w:rPr>
          <w:rFonts w:ascii="ITC Avant Garde" w:hAnsi="ITC Avant Garde"/>
          <w:i/>
          <w:sz w:val="20"/>
          <w:szCs w:val="20"/>
        </w:rPr>
        <w:t xml:space="preserve">de manera sustancial la resolución en el procedimiento administrativo seguido conjuntamente a los agentes económicos </w:t>
      </w:r>
      <w:proofErr w:type="spellStart"/>
      <w:r w:rsidRPr="00374B3E">
        <w:rPr>
          <w:rFonts w:ascii="ITC Avant Garde" w:hAnsi="ITC Avant Garde"/>
          <w:i/>
          <w:sz w:val="20"/>
          <w:szCs w:val="20"/>
        </w:rPr>
        <w:t>Megacable</w:t>
      </w:r>
      <w:proofErr w:type="spellEnd"/>
      <w:r w:rsidRPr="00374B3E">
        <w:rPr>
          <w:rFonts w:ascii="ITC Avant Garde" w:hAnsi="ITC Avant Garde"/>
          <w:i/>
          <w:sz w:val="20"/>
          <w:szCs w:val="20"/>
        </w:rPr>
        <w:t xml:space="preserve"> y Cablevisión, por lo que quedaron vinculados por aquella sentencia en la que se tomaron decisiones precisas, claras e indubitables que constituyen elementos necesarios para determinar jurídicamente la decisión del fondo del objeto del conflicto”.</w:t>
      </w:r>
      <w:r w:rsidRPr="00374B3E">
        <w:rPr>
          <w:rStyle w:val="Refdenotaalpie"/>
          <w:rFonts w:ascii="ITC Avant Garde" w:hAnsi="ITC Avant Garde"/>
          <w:i/>
          <w:sz w:val="20"/>
          <w:szCs w:val="20"/>
        </w:rPr>
        <w:footnoteReference w:id="13"/>
      </w:r>
      <w:r w:rsidRPr="00374B3E">
        <w:rPr>
          <w:rFonts w:ascii="ITC Avant Garde" w:hAnsi="ITC Avant Garde"/>
          <w:i/>
          <w:sz w:val="20"/>
          <w:szCs w:val="20"/>
        </w:rPr>
        <w:t xml:space="preserve"> Estimar lo contrario “implicaría que la autoridad no esté en posibilidad, en su caso, de construir su acusación por los hechos atribuidos a los agentes económicos involucrados en la práctica monopólica imputada</w:t>
      </w:r>
      <w:r w:rsidRPr="00346771">
        <w:rPr>
          <w:rFonts w:ascii="ITC Avant Garde" w:hAnsi="ITC Avant Garde"/>
          <w:i/>
        </w:rPr>
        <w:t xml:space="preserve"> </w:t>
      </w:r>
      <w:r w:rsidRPr="00E108E3">
        <w:rPr>
          <w:rFonts w:ascii="ITC Avant Garde" w:hAnsi="ITC Avant Garde"/>
        </w:rPr>
        <w:t xml:space="preserve">(…) </w:t>
      </w:r>
      <w:r w:rsidRPr="00374B3E">
        <w:rPr>
          <w:rFonts w:ascii="ITC Avant Garde" w:hAnsi="ITC Avant Garde"/>
          <w:i/>
          <w:sz w:val="20"/>
          <w:szCs w:val="20"/>
        </w:rPr>
        <w:t>dado que no podría subsistir o actualizarse dicha conducta de manera unilateral o segmentada, sino que necesariamente se requiere para su construcción del acuerdo concertación entre competidores para segmentar el mercado</w:t>
      </w:r>
      <w:r w:rsidRPr="00346771">
        <w:rPr>
          <w:rFonts w:ascii="ITC Avant Garde" w:hAnsi="ITC Avant Garde"/>
          <w:i/>
        </w:rPr>
        <w:t>”</w:t>
      </w:r>
      <w:r w:rsidR="00433C4F">
        <w:rPr>
          <w:rFonts w:ascii="ITC Avant Garde" w:hAnsi="ITC Avant Garde"/>
        </w:rPr>
        <w:t>.</w:t>
      </w:r>
      <w:r w:rsidRPr="00C4102E">
        <w:rPr>
          <w:rStyle w:val="Refdenotaalpie"/>
          <w:rFonts w:ascii="ITC Avant Garde" w:hAnsi="ITC Avant Garde"/>
        </w:rPr>
        <w:footnoteReference w:id="14"/>
      </w:r>
    </w:p>
    <w:p w:rsidR="002C1A2C" w:rsidRPr="00C4102E" w:rsidRDefault="009F4451" w:rsidP="00926AD0">
      <w:pPr>
        <w:pStyle w:val="Prrafodelista"/>
        <w:numPr>
          <w:ilvl w:val="0"/>
          <w:numId w:val="4"/>
        </w:numPr>
        <w:spacing w:before="120" w:after="0"/>
        <w:ind w:left="0"/>
        <w:contextualSpacing w:val="0"/>
        <w:jc w:val="both"/>
        <w:rPr>
          <w:rFonts w:ascii="ITC Avant Garde" w:hAnsi="ITC Avant Garde"/>
          <w:b/>
        </w:rPr>
      </w:pPr>
      <w:r>
        <w:rPr>
          <w:rFonts w:ascii="ITC Avant Garde" w:hAnsi="ITC Avant Garde"/>
        </w:rPr>
        <w:t>El</w:t>
      </w:r>
      <w:r w:rsidR="002C1A2C" w:rsidRPr="00C4102E">
        <w:rPr>
          <w:rFonts w:ascii="ITC Avant Garde" w:hAnsi="ITC Avant Garde"/>
        </w:rPr>
        <w:t xml:space="preserve"> veintiuno </w:t>
      </w:r>
      <w:r w:rsidR="00C3525A" w:rsidRPr="00C4102E">
        <w:rPr>
          <w:rFonts w:ascii="ITC Avant Garde" w:hAnsi="ITC Avant Garde"/>
        </w:rPr>
        <w:t xml:space="preserve">y veintidós </w:t>
      </w:r>
      <w:r w:rsidR="002C1A2C" w:rsidRPr="00C4102E">
        <w:rPr>
          <w:rFonts w:ascii="ITC Avant Garde" w:hAnsi="ITC Avant Garde"/>
        </w:rPr>
        <w:t>de noviembre de dos mil diecisiete la Titular de la UCE</w:t>
      </w:r>
      <w:r>
        <w:rPr>
          <w:rFonts w:ascii="ITC Avant Garde" w:hAnsi="ITC Avant Garde"/>
        </w:rPr>
        <w:t xml:space="preserve"> dictó acuerdos</w:t>
      </w:r>
      <w:r w:rsidR="002C1A2C" w:rsidRPr="00C4102E">
        <w:rPr>
          <w:rFonts w:ascii="ITC Avant Garde" w:hAnsi="ITC Avant Garde"/>
        </w:rPr>
        <w:t xml:space="preserve"> dentro del Expediente, mediante </w:t>
      </w:r>
      <w:r w:rsidR="00C3525A" w:rsidRPr="00C4102E">
        <w:rPr>
          <w:rFonts w:ascii="ITC Avant Garde" w:hAnsi="ITC Avant Garde"/>
        </w:rPr>
        <w:t xml:space="preserve">los cuales </w:t>
      </w:r>
      <w:r w:rsidR="007F658F" w:rsidRPr="00C4102E">
        <w:rPr>
          <w:rFonts w:ascii="ITC Avant Garde" w:hAnsi="ITC Avant Garde"/>
        </w:rPr>
        <w:t xml:space="preserve">respectivamente se (i) </w:t>
      </w:r>
      <w:r w:rsidR="00C3525A" w:rsidRPr="00C4102E">
        <w:rPr>
          <w:rFonts w:ascii="ITC Avant Garde" w:hAnsi="ITC Avant Garde"/>
        </w:rPr>
        <w:t xml:space="preserve">dio cumplimiento a la Ejecutoria Cablevisión 106/2017, </w:t>
      </w:r>
      <w:r w:rsidR="002C1A2C" w:rsidRPr="00C4102E">
        <w:rPr>
          <w:rFonts w:ascii="ITC Avant Garde" w:hAnsi="ITC Avant Garde"/>
        </w:rPr>
        <w:t>dej</w:t>
      </w:r>
      <w:r w:rsidR="00C3525A" w:rsidRPr="00C4102E">
        <w:rPr>
          <w:rFonts w:ascii="ITC Avant Garde" w:hAnsi="ITC Avant Garde"/>
        </w:rPr>
        <w:t>ando</w:t>
      </w:r>
      <w:r w:rsidR="002C1A2C" w:rsidRPr="00C4102E">
        <w:rPr>
          <w:rFonts w:ascii="ITC Avant Garde" w:hAnsi="ITC Avant Garde"/>
        </w:rPr>
        <w:t xml:space="preserve"> insubsistente el </w:t>
      </w:r>
      <w:r w:rsidR="00C3525A" w:rsidRPr="00C4102E">
        <w:rPr>
          <w:rFonts w:ascii="ITC Avant Garde" w:hAnsi="ITC Avant Garde"/>
        </w:rPr>
        <w:t>Acuerdo Cablevisión</w:t>
      </w:r>
      <w:r w:rsidR="007F658F" w:rsidRPr="00C4102E">
        <w:rPr>
          <w:rFonts w:ascii="ITC Avant Garde" w:hAnsi="ITC Avant Garde"/>
        </w:rPr>
        <w:t xml:space="preserve"> y (ii) se acordó de conformidad el Escrito Cablevisión, informando </w:t>
      </w:r>
      <w:r w:rsidR="002C1A2C" w:rsidRPr="00C4102E">
        <w:rPr>
          <w:rFonts w:ascii="ITC Avant Garde" w:hAnsi="ITC Avant Garde"/>
        </w:rPr>
        <w:t xml:space="preserve">que </w:t>
      </w:r>
      <w:r w:rsidR="007F658F" w:rsidRPr="00C4102E">
        <w:rPr>
          <w:rFonts w:ascii="ITC Avant Garde" w:hAnsi="ITC Avant Garde"/>
        </w:rPr>
        <w:t>el</w:t>
      </w:r>
      <w:r w:rsidR="002C1A2C" w:rsidRPr="00C4102E">
        <w:rPr>
          <w:rFonts w:ascii="ITC Avant Garde" w:hAnsi="ITC Avant Garde"/>
        </w:rPr>
        <w:t xml:space="preserve"> Instituto se abstendrá de solicitar al </w:t>
      </w:r>
      <w:r w:rsidR="00866041" w:rsidRPr="00C4102E">
        <w:rPr>
          <w:rFonts w:ascii="ITC Avant Garde" w:hAnsi="ITC Avant Garde"/>
        </w:rPr>
        <w:t>SAT</w:t>
      </w:r>
      <w:r w:rsidR="007F658F" w:rsidRPr="00C4102E">
        <w:rPr>
          <w:rFonts w:ascii="ITC Avant Garde" w:hAnsi="ITC Avant Garde"/>
        </w:rPr>
        <w:t xml:space="preserve"> </w:t>
      </w:r>
      <w:r w:rsidR="002C1A2C" w:rsidRPr="00C4102E">
        <w:rPr>
          <w:rFonts w:ascii="ITC Avant Garde" w:hAnsi="ITC Avant Garde"/>
        </w:rPr>
        <w:t xml:space="preserve">la ejecución de la </w:t>
      </w:r>
      <w:r w:rsidR="007F658F" w:rsidRPr="00C4102E">
        <w:rPr>
          <w:rFonts w:ascii="ITC Avant Garde" w:hAnsi="ITC Avant Garde"/>
        </w:rPr>
        <w:t xml:space="preserve">multa impuesta en la Resolución, dándole vista a este último con los acuerdos antes señalados. </w:t>
      </w:r>
    </w:p>
    <w:p w:rsidR="002E3F37" w:rsidRPr="00346771" w:rsidRDefault="00F52F6E" w:rsidP="00926AD0">
      <w:pPr>
        <w:pStyle w:val="Prrafodelista"/>
        <w:numPr>
          <w:ilvl w:val="0"/>
          <w:numId w:val="4"/>
        </w:numPr>
        <w:spacing w:before="120" w:after="0"/>
        <w:ind w:left="0"/>
        <w:contextualSpacing w:val="0"/>
        <w:jc w:val="both"/>
        <w:rPr>
          <w:rFonts w:ascii="ITC Avant Garde" w:hAnsi="ITC Avant Garde"/>
          <w:b/>
        </w:rPr>
      </w:pPr>
      <w:r w:rsidRPr="00C4102E">
        <w:rPr>
          <w:rFonts w:ascii="ITC Avant Garde" w:hAnsi="ITC Avant Garde"/>
        </w:rPr>
        <w:t>El veintiocho de noviembre de dos mil diecisiete</w:t>
      </w:r>
      <w:r w:rsidR="009F492E">
        <w:rPr>
          <w:rFonts w:ascii="ITC Avant Garde" w:hAnsi="ITC Avant Garde"/>
        </w:rPr>
        <w:t xml:space="preserve"> el Juzgado Primero dictó un acuerdo</w:t>
      </w:r>
      <w:r w:rsidRPr="00C4102E">
        <w:rPr>
          <w:rFonts w:ascii="ITC Avant Garde" w:hAnsi="ITC Avant Garde"/>
        </w:rPr>
        <w:t xml:space="preserve">, </w:t>
      </w:r>
      <w:r w:rsidR="009F492E">
        <w:rPr>
          <w:rFonts w:ascii="ITC Avant Garde" w:hAnsi="ITC Avant Garde"/>
        </w:rPr>
        <w:t xml:space="preserve">mediante </w:t>
      </w:r>
      <w:r w:rsidR="00546E3E" w:rsidRPr="00C4102E">
        <w:rPr>
          <w:rFonts w:ascii="ITC Avant Garde" w:hAnsi="ITC Avant Garde"/>
        </w:rPr>
        <w:t>el cual requir</w:t>
      </w:r>
      <w:r w:rsidR="009F492E">
        <w:rPr>
          <w:rFonts w:ascii="ITC Avant Garde" w:hAnsi="ITC Avant Garde"/>
        </w:rPr>
        <w:t>ió</w:t>
      </w:r>
      <w:r w:rsidR="00546E3E" w:rsidRPr="00C4102E">
        <w:rPr>
          <w:rFonts w:ascii="ITC Avant Garde" w:hAnsi="ITC Avant Garde"/>
        </w:rPr>
        <w:t xml:space="preserve"> al Pleno del IFT, </w:t>
      </w:r>
      <w:r w:rsidR="009F492E">
        <w:rPr>
          <w:rFonts w:ascii="ITC Avant Garde" w:hAnsi="ITC Avant Garde"/>
        </w:rPr>
        <w:t>dar</w:t>
      </w:r>
      <w:r w:rsidR="009F492E" w:rsidRPr="00C4102E">
        <w:rPr>
          <w:rFonts w:ascii="ITC Avant Garde" w:hAnsi="ITC Avant Garde"/>
        </w:rPr>
        <w:t xml:space="preserve"> </w:t>
      </w:r>
      <w:r w:rsidR="00546E3E" w:rsidRPr="00C4102E">
        <w:rPr>
          <w:rFonts w:ascii="ITC Avant Garde" w:hAnsi="ITC Avant Garde"/>
        </w:rPr>
        <w:t xml:space="preserve">cumplimiento </w:t>
      </w:r>
      <w:r w:rsidR="009F492E">
        <w:rPr>
          <w:rFonts w:ascii="ITC Avant Garde" w:hAnsi="ITC Avant Garde"/>
        </w:rPr>
        <w:t>a</w:t>
      </w:r>
      <w:r w:rsidR="009F492E" w:rsidRPr="00C4102E">
        <w:rPr>
          <w:rFonts w:ascii="ITC Avant Garde" w:hAnsi="ITC Avant Garde"/>
        </w:rPr>
        <w:t xml:space="preserve"> </w:t>
      </w:r>
      <w:r w:rsidR="00546E3E" w:rsidRPr="00C4102E">
        <w:rPr>
          <w:rFonts w:ascii="ITC Avant Garde" w:hAnsi="ITC Avant Garde"/>
        </w:rPr>
        <w:t>la Ejecutoria Cablevisión</w:t>
      </w:r>
      <w:r w:rsidR="00C0525C" w:rsidRPr="00C4102E">
        <w:rPr>
          <w:rFonts w:ascii="ITC Avant Garde" w:hAnsi="ITC Avant Garde"/>
        </w:rPr>
        <w:t xml:space="preserve"> 7/2017</w:t>
      </w:r>
      <w:r w:rsidR="00546E3E" w:rsidRPr="00C4102E">
        <w:rPr>
          <w:rFonts w:ascii="ITC Avant Garde" w:hAnsi="ITC Avant Garde"/>
        </w:rPr>
        <w:t xml:space="preserve">, a fin de dejar sin </w:t>
      </w:r>
      <w:r w:rsidR="003649FE">
        <w:rPr>
          <w:rFonts w:ascii="ITC Avant Garde" w:hAnsi="ITC Avant Garde"/>
        </w:rPr>
        <w:t>efectos el Acuerdo de Mecanismo</w:t>
      </w:r>
      <w:r w:rsidR="00546E3E" w:rsidRPr="00C4102E">
        <w:rPr>
          <w:rFonts w:ascii="ITC Avant Garde" w:hAnsi="ITC Avant Garde"/>
        </w:rPr>
        <w:t xml:space="preserve">. </w:t>
      </w:r>
    </w:p>
    <w:p w:rsidR="00630D53" w:rsidRPr="00346771" w:rsidRDefault="00FB2428" w:rsidP="00926AD0">
      <w:pPr>
        <w:pStyle w:val="Prrafodelista"/>
        <w:spacing w:before="120" w:after="0"/>
        <w:ind w:left="0"/>
        <w:contextualSpacing w:val="0"/>
        <w:jc w:val="both"/>
        <w:rPr>
          <w:rFonts w:ascii="ITC Avant Garde" w:hAnsi="ITC Avant Garde"/>
        </w:rPr>
      </w:pPr>
      <w:r>
        <w:rPr>
          <w:rFonts w:ascii="ITC Avant Garde" w:hAnsi="ITC Avant Garde"/>
        </w:rPr>
        <w:t xml:space="preserve">Las ejecutorias citadas en los antecedentes Séptimo y Decimotercero guardan </w:t>
      </w:r>
      <w:r w:rsidR="00D536AD">
        <w:rPr>
          <w:rFonts w:ascii="ITC Avant Garde" w:hAnsi="ITC Avant Garde"/>
        </w:rPr>
        <w:t xml:space="preserve">estrecha </w:t>
      </w:r>
      <w:r>
        <w:rPr>
          <w:rFonts w:ascii="ITC Avant Garde" w:hAnsi="ITC Avant Garde"/>
        </w:rPr>
        <w:t>relación con la Ejecutoria Cablevisión 7/2017</w:t>
      </w:r>
      <w:r w:rsidR="00944097">
        <w:rPr>
          <w:rFonts w:ascii="ITC Avant Garde" w:hAnsi="ITC Avant Garde"/>
        </w:rPr>
        <w:t>,</w:t>
      </w:r>
      <w:r>
        <w:rPr>
          <w:rFonts w:ascii="ITC Avant Garde" w:hAnsi="ITC Avant Garde"/>
        </w:rPr>
        <w:t xml:space="preserve"> en virtud de que las primeras también se emitieron </w:t>
      </w:r>
      <w:r w:rsidR="00944097">
        <w:rPr>
          <w:rFonts w:ascii="ITC Avant Garde" w:hAnsi="ITC Avant Garde"/>
        </w:rPr>
        <w:t xml:space="preserve">como producto de amparos </w:t>
      </w:r>
      <w:r w:rsidR="00D536AD">
        <w:rPr>
          <w:rFonts w:ascii="ITC Avant Garde" w:hAnsi="ITC Avant Garde"/>
        </w:rPr>
        <w:t xml:space="preserve">interpuestos </w:t>
      </w:r>
      <w:r w:rsidR="00944097">
        <w:rPr>
          <w:rFonts w:ascii="ITC Avant Garde" w:hAnsi="ITC Avant Garde"/>
        </w:rPr>
        <w:t xml:space="preserve">contra </w:t>
      </w:r>
      <w:r>
        <w:rPr>
          <w:rFonts w:ascii="ITC Avant Garde" w:hAnsi="ITC Avant Garde"/>
        </w:rPr>
        <w:t>actos contenidos en el Expediente.</w:t>
      </w:r>
    </w:p>
    <w:p w:rsidR="00CE640B" w:rsidRPr="002F1555" w:rsidRDefault="00CE640B" w:rsidP="002F1555">
      <w:pPr>
        <w:pStyle w:val="Ttulo2"/>
        <w:spacing w:after="240"/>
        <w:jc w:val="center"/>
        <w:rPr>
          <w:rFonts w:ascii="ITC Avant Garde" w:hAnsi="ITC Avant Garde"/>
          <w:b/>
          <w:color w:val="000000" w:themeColor="text1"/>
          <w:sz w:val="22"/>
          <w:szCs w:val="22"/>
        </w:rPr>
      </w:pPr>
      <w:r w:rsidRPr="002F1555">
        <w:rPr>
          <w:rFonts w:ascii="ITC Avant Garde" w:hAnsi="ITC Avant Garde"/>
          <w:b/>
          <w:color w:val="000000" w:themeColor="text1"/>
          <w:sz w:val="22"/>
          <w:szCs w:val="22"/>
        </w:rPr>
        <w:t>II</w:t>
      </w:r>
      <w:r w:rsidR="00C4102E" w:rsidRPr="002F1555">
        <w:rPr>
          <w:rFonts w:ascii="ITC Avant Garde" w:hAnsi="ITC Avant Garde"/>
          <w:b/>
          <w:color w:val="000000" w:themeColor="text1"/>
          <w:sz w:val="22"/>
          <w:szCs w:val="22"/>
        </w:rPr>
        <w:t>I</w:t>
      </w:r>
      <w:r w:rsidRPr="002F1555">
        <w:rPr>
          <w:rFonts w:ascii="ITC Avant Garde" w:hAnsi="ITC Avant Garde"/>
          <w:b/>
          <w:color w:val="000000" w:themeColor="text1"/>
          <w:sz w:val="22"/>
          <w:szCs w:val="22"/>
        </w:rPr>
        <w:t>. CONSIDERANDO</w:t>
      </w:r>
    </w:p>
    <w:p w:rsidR="00C4102E" w:rsidRPr="00C4102E" w:rsidRDefault="00C4102E" w:rsidP="00926AD0">
      <w:pPr>
        <w:numPr>
          <w:ilvl w:val="0"/>
          <w:numId w:val="6"/>
        </w:numPr>
        <w:spacing w:before="120" w:after="0"/>
        <w:jc w:val="both"/>
        <w:rPr>
          <w:rFonts w:ascii="ITC Avant Garde" w:hAnsi="ITC Avant Garde"/>
        </w:rPr>
      </w:pPr>
      <w:r w:rsidRPr="00C4102E">
        <w:rPr>
          <w:rFonts w:ascii="ITC Avant Garde" w:hAnsi="ITC Avant Garde"/>
        </w:rPr>
        <w:t xml:space="preserve">El Expediente se tramita de conformidad con la </w:t>
      </w:r>
      <w:r w:rsidR="0067737F">
        <w:rPr>
          <w:rFonts w:ascii="ITC Avant Garde" w:hAnsi="ITC Avant Garde"/>
        </w:rPr>
        <w:t>normatividad</w:t>
      </w:r>
      <w:r w:rsidRPr="00C4102E">
        <w:rPr>
          <w:rFonts w:ascii="ITC Avant Garde" w:hAnsi="ITC Avant Garde"/>
        </w:rPr>
        <w:t xml:space="preserve"> aplicable al momento de su inicio, lo que corresponde a la LFCE y el Reglamento de la </w:t>
      </w:r>
      <w:r w:rsidR="0067737F">
        <w:rPr>
          <w:rFonts w:ascii="ITC Avant Garde" w:hAnsi="ITC Avant Garde"/>
        </w:rPr>
        <w:t>LFCE</w:t>
      </w:r>
      <w:r w:rsidRPr="00C4102E">
        <w:rPr>
          <w:rFonts w:ascii="ITC Avant Garde" w:hAnsi="ITC Avant Garde"/>
        </w:rPr>
        <w:t>.</w:t>
      </w:r>
      <w:r w:rsidRPr="00C4102E">
        <w:rPr>
          <w:rStyle w:val="Refdenotaalpie"/>
          <w:rFonts w:ascii="ITC Avant Garde" w:eastAsia="Times New Roman" w:hAnsi="ITC Avant Garde" w:cs="Courier New"/>
          <w:lang w:eastAsia="es-MX"/>
        </w:rPr>
        <w:t xml:space="preserve"> </w:t>
      </w:r>
      <w:r w:rsidRPr="00C4102E">
        <w:rPr>
          <w:rStyle w:val="Refdenotaalpie"/>
          <w:rFonts w:ascii="ITC Avant Garde" w:eastAsia="Times New Roman" w:hAnsi="ITC Avant Garde" w:cs="Courier New"/>
          <w:lang w:eastAsia="es-MX"/>
        </w:rPr>
        <w:footnoteReference w:id="15"/>
      </w:r>
    </w:p>
    <w:p w:rsidR="00D86FD7" w:rsidRPr="00C4102E" w:rsidRDefault="00D86FD7" w:rsidP="00926AD0">
      <w:pPr>
        <w:numPr>
          <w:ilvl w:val="0"/>
          <w:numId w:val="6"/>
        </w:numPr>
        <w:spacing w:before="120" w:after="0"/>
        <w:jc w:val="both"/>
        <w:rPr>
          <w:rFonts w:ascii="ITC Avant Garde" w:hAnsi="ITC Avant Garde"/>
        </w:rPr>
      </w:pPr>
      <w:r w:rsidRPr="00C4102E">
        <w:rPr>
          <w:rFonts w:ascii="ITC Avant Garde" w:hAnsi="ITC Avant Garde"/>
        </w:rPr>
        <w:t>En la Ejecutoria Cablevisión 7/</w:t>
      </w:r>
      <w:r w:rsidR="006F3683" w:rsidRPr="00C4102E">
        <w:rPr>
          <w:rFonts w:ascii="ITC Avant Garde" w:hAnsi="ITC Avant Garde"/>
        </w:rPr>
        <w:t>2017,</w:t>
      </w:r>
      <w:r w:rsidR="006F3683">
        <w:rPr>
          <w:rFonts w:ascii="ITC Avant Garde" w:hAnsi="ITC Avant Garde"/>
        </w:rPr>
        <w:t xml:space="preserve"> </w:t>
      </w:r>
      <w:r w:rsidR="006F3683" w:rsidRPr="00C4102E">
        <w:rPr>
          <w:rFonts w:ascii="ITC Avant Garde" w:hAnsi="ITC Avant Garde"/>
        </w:rPr>
        <w:t>resolución</w:t>
      </w:r>
      <w:r w:rsidR="00630D53" w:rsidRPr="00C4102E">
        <w:rPr>
          <w:rFonts w:ascii="ITC Avant Garde" w:hAnsi="ITC Avant Garde"/>
        </w:rPr>
        <w:t xml:space="preserve"> a la que se da cumplimiento mediante el presente acuerdo,</w:t>
      </w:r>
      <w:r w:rsidRPr="00C4102E">
        <w:rPr>
          <w:rFonts w:ascii="ITC Avant Garde" w:hAnsi="ITC Avant Garde"/>
        </w:rPr>
        <w:t xml:space="preserve"> el Primer Tribunal Especializado</w:t>
      </w:r>
      <w:r w:rsidR="00E2691A" w:rsidRPr="00C4102E">
        <w:rPr>
          <w:rFonts w:ascii="ITC Avant Garde" w:hAnsi="ITC Avant Garde"/>
        </w:rPr>
        <w:t xml:space="preserve"> </w:t>
      </w:r>
      <w:r w:rsidR="00BD4178" w:rsidRPr="00C4102E">
        <w:rPr>
          <w:rFonts w:ascii="ITC Avant Garde" w:hAnsi="ITC Avant Garde"/>
        </w:rPr>
        <w:t>estableció</w:t>
      </w:r>
      <w:r w:rsidR="00E2691A" w:rsidRPr="00C4102E">
        <w:rPr>
          <w:rFonts w:ascii="ITC Avant Garde" w:hAnsi="ITC Avant Garde"/>
        </w:rPr>
        <w:t xml:space="preserve"> los siguientes razonamientos para llegar a su conclusión</w:t>
      </w:r>
      <w:r w:rsidRPr="00C4102E">
        <w:rPr>
          <w:rFonts w:ascii="ITC Avant Garde" w:hAnsi="ITC Avant Garde"/>
        </w:rPr>
        <w:t>:</w:t>
      </w:r>
    </w:p>
    <w:p w:rsidR="00EA57CD" w:rsidRPr="003649FE" w:rsidRDefault="00EA57CD" w:rsidP="00926AD0">
      <w:pPr>
        <w:spacing w:before="120" w:after="0"/>
        <w:jc w:val="both"/>
        <w:rPr>
          <w:rFonts w:ascii="ITC Avant Garde" w:hAnsi="ITC Avant Garde"/>
        </w:rPr>
      </w:pPr>
      <w:r w:rsidRPr="00C4102E">
        <w:rPr>
          <w:rFonts w:ascii="ITC Avant Garde" w:hAnsi="ITC Avant Garde"/>
          <w:b/>
        </w:rPr>
        <w:t xml:space="preserve">i) </w:t>
      </w:r>
      <w:r w:rsidRPr="00C4102E">
        <w:rPr>
          <w:rFonts w:ascii="ITC Avant Garde" w:hAnsi="ITC Avant Garde"/>
        </w:rPr>
        <w:t xml:space="preserve">Se constató la inexistencia de la </w:t>
      </w:r>
      <w:r w:rsidR="00630D53">
        <w:rPr>
          <w:rFonts w:ascii="ITC Avant Garde" w:hAnsi="ITC Avant Garde"/>
        </w:rPr>
        <w:t>Resolución</w:t>
      </w:r>
      <w:r w:rsidRPr="00C4102E">
        <w:rPr>
          <w:rFonts w:ascii="ITC Avant Garde" w:hAnsi="ITC Avant Garde"/>
        </w:rPr>
        <w:t>.  L</w:t>
      </w:r>
      <w:r w:rsidR="0058670B">
        <w:rPr>
          <w:rFonts w:ascii="ITC Avant Garde" w:hAnsi="ITC Avant Garde"/>
        </w:rPr>
        <w:t>a inexistencia referida se expresó en los siguientes términos</w:t>
      </w:r>
      <w:r w:rsidR="0066348E" w:rsidRPr="00C4102E">
        <w:rPr>
          <w:rFonts w:ascii="ITC Avant Garde" w:hAnsi="ITC Avant Garde"/>
        </w:rPr>
        <w:t>:</w:t>
      </w:r>
      <w:r w:rsidR="00D00399">
        <w:rPr>
          <w:rFonts w:ascii="ITC Avant Garde" w:hAnsi="ITC Avant Garde"/>
        </w:rPr>
        <w:t xml:space="preserve"> </w:t>
      </w:r>
      <w:r w:rsidR="004A6599" w:rsidRPr="003649FE">
        <w:rPr>
          <w:rFonts w:ascii="ITC Avant Garde" w:hAnsi="ITC Avant Garde"/>
        </w:rPr>
        <w:t>“</w:t>
      </w:r>
      <w:r w:rsidR="0066348E" w:rsidRPr="003649FE">
        <w:rPr>
          <w:rFonts w:ascii="ITC Avant Garde" w:hAnsi="ITC Avant Garde"/>
        </w:rPr>
        <w:t>(…)</w:t>
      </w:r>
      <w:r w:rsidR="0066348E" w:rsidRPr="00C4102E">
        <w:rPr>
          <w:rFonts w:ascii="ITC Avant Garde" w:hAnsi="ITC Avant Garde"/>
          <w:i/>
          <w:sz w:val="20"/>
        </w:rPr>
        <w:t xml:space="preserve"> se </w:t>
      </w:r>
      <w:r w:rsidR="0066348E" w:rsidRPr="00C4102E">
        <w:rPr>
          <w:rFonts w:ascii="ITC Avant Garde" w:hAnsi="ITC Avant Garde"/>
          <w:b/>
          <w:i/>
          <w:sz w:val="20"/>
          <w:u w:val="single"/>
        </w:rPr>
        <w:t>constató la completa inexistencia</w:t>
      </w:r>
      <w:r w:rsidR="0066348E" w:rsidRPr="00C4102E">
        <w:rPr>
          <w:rFonts w:ascii="ITC Avant Garde" w:hAnsi="ITC Avant Garde"/>
          <w:i/>
          <w:sz w:val="20"/>
        </w:rPr>
        <w:t xml:space="preserve"> del acto reclamado en dicho juicio, consistente en la resolución </w:t>
      </w:r>
      <w:r w:rsidR="0066348E" w:rsidRPr="00C4102E">
        <w:rPr>
          <w:rFonts w:ascii="ITC Avant Garde" w:hAnsi="ITC Avant Garde"/>
          <w:b/>
          <w:i/>
          <w:sz w:val="20"/>
        </w:rPr>
        <w:t>-P/IFT/EXT/170214/70-</w:t>
      </w:r>
      <w:r w:rsidR="0066348E" w:rsidRPr="00C4102E">
        <w:rPr>
          <w:rFonts w:ascii="ITC Avant Garde" w:hAnsi="ITC Avant Garde"/>
          <w:i/>
          <w:sz w:val="20"/>
        </w:rPr>
        <w:t xml:space="preserve"> de diecisiete de febrero de dos mil </w:t>
      </w:r>
      <w:r w:rsidR="0066348E" w:rsidRPr="00C4102E">
        <w:rPr>
          <w:rFonts w:ascii="ITC Avant Garde" w:hAnsi="ITC Avant Garde"/>
          <w:i/>
          <w:sz w:val="20"/>
        </w:rPr>
        <w:lastRenderedPageBreak/>
        <w:t xml:space="preserve">catorce, emitida en el expediente </w:t>
      </w:r>
      <w:r w:rsidR="0066348E" w:rsidRPr="00C4102E">
        <w:rPr>
          <w:rFonts w:ascii="ITC Avant Garde" w:hAnsi="ITC Avant Garde"/>
          <w:b/>
          <w:i/>
          <w:sz w:val="20"/>
        </w:rPr>
        <w:t>E-IFT/DGIPM/PMA/0001/2013</w:t>
      </w:r>
      <w:r w:rsidR="0066348E" w:rsidRPr="00C4102E">
        <w:rPr>
          <w:rFonts w:ascii="ITC Avant Garde" w:hAnsi="ITC Avant Garde"/>
          <w:i/>
          <w:sz w:val="20"/>
        </w:rPr>
        <w:t xml:space="preserve">, al considerarse que se había actualizado la causal de improcedencia prevista en el artículo 61, fracción XXI, de la Ley de Amparo </w:t>
      </w:r>
      <w:r w:rsidR="0066348E" w:rsidRPr="003649FE">
        <w:rPr>
          <w:rFonts w:ascii="ITC Avant Garde" w:hAnsi="ITC Avant Garde"/>
        </w:rPr>
        <w:t>(…)</w:t>
      </w:r>
      <w:r w:rsidR="004A6599" w:rsidRPr="003649FE">
        <w:rPr>
          <w:rFonts w:ascii="ITC Avant Garde" w:hAnsi="ITC Avant Garde"/>
        </w:rPr>
        <w:t>”</w:t>
      </w:r>
      <w:r w:rsidR="00BD4178" w:rsidRPr="003649FE">
        <w:rPr>
          <w:rFonts w:ascii="ITC Avant Garde" w:hAnsi="ITC Avant Garde"/>
        </w:rPr>
        <w:t>.</w:t>
      </w:r>
      <w:r w:rsidR="0066348E" w:rsidRPr="003649FE">
        <w:rPr>
          <w:rStyle w:val="Refdenotaalpie"/>
          <w:rFonts w:ascii="ITC Avant Garde" w:hAnsi="ITC Avant Garde"/>
        </w:rPr>
        <w:footnoteReference w:id="16"/>
      </w:r>
      <w:r w:rsidR="00BD4178" w:rsidRPr="003649FE">
        <w:rPr>
          <w:rFonts w:ascii="ITC Avant Garde" w:hAnsi="ITC Avant Garde"/>
        </w:rPr>
        <w:t xml:space="preserve"> [Énfasis añadido]</w:t>
      </w:r>
      <w:r w:rsidR="00D86FD7" w:rsidRPr="003649FE">
        <w:rPr>
          <w:rFonts w:ascii="ITC Avant Garde" w:hAnsi="ITC Avant Garde"/>
        </w:rPr>
        <w:t xml:space="preserve"> </w:t>
      </w:r>
    </w:p>
    <w:p w:rsidR="000B7C2E" w:rsidRPr="00C4102E" w:rsidRDefault="000B7C2E" w:rsidP="00926AD0">
      <w:pPr>
        <w:spacing w:before="120" w:after="0"/>
        <w:jc w:val="both"/>
        <w:rPr>
          <w:rFonts w:ascii="ITC Avant Garde" w:hAnsi="ITC Avant Garde"/>
        </w:rPr>
      </w:pPr>
      <w:r w:rsidRPr="00C4102E">
        <w:rPr>
          <w:rFonts w:ascii="ITC Avant Garde" w:hAnsi="ITC Avant Garde"/>
          <w:b/>
        </w:rPr>
        <w:t xml:space="preserve">ii) </w:t>
      </w:r>
      <w:r w:rsidR="00630D53">
        <w:rPr>
          <w:rFonts w:ascii="ITC Avant Garde" w:hAnsi="ITC Avant Garde"/>
        </w:rPr>
        <w:t>En el mismo sentido,</w:t>
      </w:r>
      <w:r w:rsidRPr="00C4102E">
        <w:rPr>
          <w:rFonts w:ascii="ITC Avant Garde" w:hAnsi="ITC Avant Garde"/>
        </w:rPr>
        <w:t xml:space="preserve"> </w:t>
      </w:r>
      <w:r w:rsidRPr="006F3683">
        <w:rPr>
          <w:rFonts w:ascii="ITC Avant Garde" w:hAnsi="ITC Avant Garde"/>
        </w:rPr>
        <w:t>“(…)</w:t>
      </w:r>
      <w:r w:rsidRPr="006F3683">
        <w:rPr>
          <w:rFonts w:ascii="ITC Avant Garde" w:hAnsi="ITC Avant Garde"/>
          <w:i/>
        </w:rPr>
        <w:t xml:space="preserve"> </w:t>
      </w:r>
      <w:r w:rsidRPr="006F3683">
        <w:rPr>
          <w:rFonts w:ascii="ITC Avant Garde" w:hAnsi="ITC Avant Garde"/>
          <w:i/>
          <w:sz w:val="20"/>
          <w:szCs w:val="20"/>
        </w:rPr>
        <w:t>el procedimiento de sanción impuesto a los agentes económicos –</w:t>
      </w:r>
      <w:proofErr w:type="spellStart"/>
      <w:r w:rsidRPr="006F3683">
        <w:rPr>
          <w:rFonts w:ascii="ITC Avant Garde" w:hAnsi="ITC Avant Garde"/>
          <w:i/>
          <w:sz w:val="20"/>
          <w:szCs w:val="20"/>
        </w:rPr>
        <w:t>Megacable</w:t>
      </w:r>
      <w:proofErr w:type="spellEnd"/>
      <w:r w:rsidRPr="006F3683">
        <w:rPr>
          <w:rFonts w:ascii="ITC Avant Garde" w:hAnsi="ITC Avant Garde"/>
          <w:i/>
          <w:sz w:val="20"/>
          <w:szCs w:val="20"/>
        </w:rPr>
        <w:t xml:space="preserve"> y Cablevisión</w:t>
      </w:r>
      <w:r w:rsidRPr="006F3683">
        <w:rPr>
          <w:rFonts w:ascii="ITC Avant Garde" w:hAnsi="ITC Avant Garde"/>
          <w:i/>
        </w:rPr>
        <w:t xml:space="preserve"> </w:t>
      </w:r>
      <w:r w:rsidRPr="003649FE">
        <w:rPr>
          <w:rFonts w:ascii="ITC Avant Garde" w:hAnsi="ITC Avant Garde"/>
        </w:rPr>
        <w:t>(…)-</w:t>
      </w:r>
      <w:r w:rsidRPr="006F3683">
        <w:rPr>
          <w:rFonts w:ascii="ITC Avant Garde" w:hAnsi="ITC Avant Garde"/>
          <w:i/>
        </w:rPr>
        <w:t xml:space="preserve"> </w:t>
      </w:r>
      <w:r w:rsidRPr="006F3683">
        <w:rPr>
          <w:rFonts w:ascii="ITC Avant Garde" w:hAnsi="ITC Avant Garde"/>
          <w:i/>
          <w:sz w:val="20"/>
          <w:szCs w:val="20"/>
        </w:rPr>
        <w:t xml:space="preserve">no se había seguido de manera independiente para cada uno de los agentes económicos investigados, sino conjuntamente, por lo que la resolución </w:t>
      </w:r>
      <w:r w:rsidRPr="006F3683">
        <w:rPr>
          <w:rFonts w:ascii="ITC Avant Garde" w:hAnsi="ITC Avant Garde"/>
          <w:b/>
          <w:i/>
          <w:sz w:val="20"/>
          <w:szCs w:val="20"/>
        </w:rPr>
        <w:t xml:space="preserve">P/IFT/EXT/170214/70- </w:t>
      </w:r>
      <w:r w:rsidRPr="006F3683">
        <w:rPr>
          <w:rFonts w:ascii="ITC Avant Garde" w:hAnsi="ITC Avant Garde"/>
          <w:i/>
          <w:sz w:val="20"/>
          <w:szCs w:val="20"/>
        </w:rPr>
        <w:t xml:space="preserve"> no podía considerarse subsistente respe</w:t>
      </w:r>
      <w:r w:rsidR="00E63079" w:rsidRPr="006F3683">
        <w:rPr>
          <w:rFonts w:ascii="ITC Avant Garde" w:hAnsi="ITC Avant Garde"/>
          <w:i/>
          <w:sz w:val="20"/>
          <w:szCs w:val="20"/>
        </w:rPr>
        <w:t>cto de ninguno de los agentes e</w:t>
      </w:r>
      <w:r w:rsidRPr="006F3683">
        <w:rPr>
          <w:rFonts w:ascii="ITC Avant Garde" w:hAnsi="ITC Avant Garde"/>
          <w:i/>
          <w:sz w:val="20"/>
          <w:szCs w:val="20"/>
        </w:rPr>
        <w:t>c</w:t>
      </w:r>
      <w:r w:rsidR="00E63079" w:rsidRPr="006F3683">
        <w:rPr>
          <w:rFonts w:ascii="ITC Avant Garde" w:hAnsi="ITC Avant Garde"/>
          <w:i/>
          <w:sz w:val="20"/>
          <w:szCs w:val="20"/>
        </w:rPr>
        <w:t>o</w:t>
      </w:r>
      <w:r w:rsidRPr="006F3683">
        <w:rPr>
          <w:rFonts w:ascii="ITC Avant Garde" w:hAnsi="ITC Avant Garde"/>
          <w:i/>
          <w:sz w:val="20"/>
          <w:szCs w:val="20"/>
        </w:rPr>
        <w:t xml:space="preserve">nómicos considerados presuntamente responsables de las prácticas monopólicas absolutas y, por tanto, la </w:t>
      </w:r>
      <w:r w:rsidR="00E63079" w:rsidRPr="006F3683">
        <w:rPr>
          <w:rFonts w:ascii="ITC Avant Garde" w:hAnsi="ITC Avant Garde"/>
          <w:i/>
          <w:sz w:val="20"/>
          <w:szCs w:val="20"/>
        </w:rPr>
        <w:t>a</w:t>
      </w:r>
      <w:r w:rsidRPr="006F3683">
        <w:rPr>
          <w:rFonts w:ascii="ITC Avant Garde" w:hAnsi="ITC Avant Garde"/>
          <w:i/>
          <w:sz w:val="20"/>
          <w:szCs w:val="20"/>
        </w:rPr>
        <w:t xml:space="preserve">hora quejosa/recurrente ya no podría obtener la reparación constitucional a que alude el artículo 77 de la Ley de Amparo, dada </w:t>
      </w:r>
      <w:r w:rsidRPr="001B0BA8">
        <w:rPr>
          <w:rFonts w:ascii="ITC Avant Garde" w:hAnsi="ITC Avant Garde"/>
        </w:rPr>
        <w:t>[sic]</w:t>
      </w:r>
      <w:r w:rsidRPr="006F3683">
        <w:rPr>
          <w:rFonts w:ascii="ITC Avant Garde" w:hAnsi="ITC Avant Garde"/>
          <w:i/>
          <w:sz w:val="20"/>
          <w:szCs w:val="20"/>
        </w:rPr>
        <w:t xml:space="preserve"> las obligaciones impuestas</w:t>
      </w:r>
      <w:r w:rsidRPr="006F3683">
        <w:rPr>
          <w:rFonts w:ascii="ITC Avant Garde" w:hAnsi="ITC Avant Garde"/>
          <w:i/>
        </w:rPr>
        <w:t xml:space="preserve"> </w:t>
      </w:r>
      <w:r w:rsidRPr="006F3683">
        <w:rPr>
          <w:rFonts w:ascii="ITC Avant Garde" w:hAnsi="ITC Avant Garde"/>
        </w:rPr>
        <w:t>(…)”</w:t>
      </w:r>
      <w:r w:rsidRPr="00C4102E">
        <w:rPr>
          <w:rStyle w:val="Refdenotaalpie"/>
          <w:rFonts w:ascii="ITC Avant Garde" w:hAnsi="ITC Avant Garde"/>
        </w:rPr>
        <w:footnoteReference w:id="17"/>
      </w:r>
      <w:r w:rsidRPr="00C4102E">
        <w:rPr>
          <w:rFonts w:ascii="ITC Avant Garde" w:hAnsi="ITC Avant Garde"/>
        </w:rPr>
        <w:t xml:space="preserve"> </w:t>
      </w:r>
      <w:r w:rsidR="00BD4178" w:rsidRPr="00C4102E">
        <w:rPr>
          <w:rFonts w:ascii="ITC Avant Garde" w:hAnsi="ITC Avant Garde"/>
        </w:rPr>
        <w:t xml:space="preserve">en la </w:t>
      </w:r>
      <w:r w:rsidRPr="00C4102E">
        <w:rPr>
          <w:rFonts w:ascii="ITC Avant Garde" w:hAnsi="ITC Avant Garde"/>
        </w:rPr>
        <w:t xml:space="preserve">Ejecutoria </w:t>
      </w:r>
      <w:proofErr w:type="spellStart"/>
      <w:r w:rsidRPr="00C4102E">
        <w:rPr>
          <w:rFonts w:ascii="ITC Avant Garde" w:hAnsi="ITC Avant Garde"/>
        </w:rPr>
        <w:t>Megacable</w:t>
      </w:r>
      <w:proofErr w:type="spellEnd"/>
      <w:r w:rsidRPr="00C4102E">
        <w:rPr>
          <w:rFonts w:ascii="ITC Avant Garde" w:hAnsi="ITC Avant Garde"/>
        </w:rPr>
        <w:t>.</w:t>
      </w:r>
    </w:p>
    <w:p w:rsidR="00254CA4" w:rsidRPr="00374B3E" w:rsidRDefault="00254CA4" w:rsidP="00926AD0">
      <w:pPr>
        <w:spacing w:before="120" w:after="0"/>
        <w:jc w:val="both"/>
        <w:rPr>
          <w:rFonts w:ascii="ITC Avant Garde" w:hAnsi="ITC Avant Garde"/>
        </w:rPr>
      </w:pPr>
      <w:r w:rsidRPr="00C4102E">
        <w:rPr>
          <w:rFonts w:ascii="ITC Avant Garde" w:hAnsi="ITC Avant Garde"/>
          <w:b/>
        </w:rPr>
        <w:t xml:space="preserve">iii) </w:t>
      </w:r>
      <w:r w:rsidRPr="00C4102E">
        <w:rPr>
          <w:rFonts w:ascii="ITC Avant Garde" w:hAnsi="ITC Avant Garde"/>
        </w:rPr>
        <w:t xml:space="preserve">La Ejecutoria </w:t>
      </w:r>
      <w:proofErr w:type="spellStart"/>
      <w:r w:rsidRPr="00C4102E">
        <w:rPr>
          <w:rFonts w:ascii="ITC Avant Garde" w:hAnsi="ITC Avant Garde"/>
        </w:rPr>
        <w:t>Megacable</w:t>
      </w:r>
      <w:proofErr w:type="spellEnd"/>
      <w:r w:rsidRPr="00C4102E">
        <w:rPr>
          <w:rFonts w:ascii="ITC Avant Garde" w:hAnsi="ITC Avant Garde"/>
        </w:rPr>
        <w:t xml:space="preserve"> impactó </w:t>
      </w:r>
      <w:r w:rsidRPr="006F3683">
        <w:rPr>
          <w:rFonts w:ascii="ITC Avant Garde" w:hAnsi="ITC Avant Garde"/>
        </w:rPr>
        <w:t>“(…)</w:t>
      </w:r>
      <w:r w:rsidRPr="006F3683">
        <w:rPr>
          <w:rFonts w:ascii="ITC Avant Garde" w:hAnsi="ITC Avant Garde"/>
          <w:i/>
        </w:rPr>
        <w:t xml:space="preserve"> </w:t>
      </w:r>
      <w:r w:rsidRPr="006F3683">
        <w:rPr>
          <w:rFonts w:ascii="ITC Avant Garde" w:hAnsi="ITC Avant Garde"/>
          <w:i/>
          <w:sz w:val="20"/>
          <w:szCs w:val="20"/>
        </w:rPr>
        <w:t>de manera sustancial la resolución en el procedimiento administrativo seguido conjuntamente a los agentes económicos, por lo que sustancialmente quedaron vinculados con la sentencia ejecutoriada de este último, en la que se tomaron decisiones, precisas, claras e indubitables que constituyen elementos necesarios para determinar jurídicamente la decisión del objeto del conflicto</w:t>
      </w:r>
      <w:r w:rsidRPr="006F3683">
        <w:rPr>
          <w:rFonts w:ascii="ITC Avant Garde" w:hAnsi="ITC Avant Garde"/>
          <w:i/>
        </w:rPr>
        <w:t xml:space="preserve"> </w:t>
      </w:r>
      <w:r w:rsidRPr="00374B3E">
        <w:rPr>
          <w:rFonts w:ascii="ITC Avant Garde" w:hAnsi="ITC Avant Garde"/>
        </w:rPr>
        <w:t>(…)”.</w:t>
      </w:r>
      <w:r w:rsidRPr="00374B3E">
        <w:rPr>
          <w:rStyle w:val="Refdenotaalpie"/>
          <w:rFonts w:ascii="ITC Avant Garde" w:hAnsi="ITC Avant Garde"/>
        </w:rPr>
        <w:footnoteReference w:id="18"/>
      </w:r>
    </w:p>
    <w:p w:rsidR="00F601C8" w:rsidRPr="00F601C8" w:rsidRDefault="00254CA4" w:rsidP="00926AD0">
      <w:pPr>
        <w:spacing w:before="120" w:after="0"/>
        <w:jc w:val="both"/>
        <w:rPr>
          <w:rFonts w:ascii="ITC Avant Garde" w:hAnsi="ITC Avant Garde"/>
          <w:i/>
          <w:sz w:val="20"/>
        </w:rPr>
      </w:pPr>
      <w:r w:rsidRPr="00C4102E">
        <w:rPr>
          <w:rFonts w:ascii="ITC Avant Garde" w:hAnsi="ITC Avant Garde"/>
          <w:b/>
        </w:rPr>
        <w:t>iv)</w:t>
      </w:r>
      <w:r w:rsidR="00F601C8">
        <w:rPr>
          <w:rFonts w:ascii="ITC Avant Garde" w:hAnsi="ITC Avant Garde"/>
          <w:b/>
        </w:rPr>
        <w:t xml:space="preserve"> Que </w:t>
      </w:r>
      <w:r w:rsidR="00F601C8" w:rsidRPr="00F601C8">
        <w:rPr>
          <w:rFonts w:ascii="ITC Avant Garde" w:hAnsi="ITC Avant Garde"/>
          <w:b/>
        </w:rPr>
        <w:t>la resolución</w:t>
      </w:r>
      <w:r w:rsidR="00F601C8">
        <w:rPr>
          <w:rFonts w:ascii="ITC Avant Garde" w:hAnsi="ITC Avant Garde"/>
          <w:b/>
        </w:rPr>
        <w:t xml:space="preserve"> </w:t>
      </w:r>
      <w:r w:rsidR="00F601C8" w:rsidRPr="00F601C8">
        <w:rPr>
          <w:rFonts w:ascii="ITC Avant Garde" w:hAnsi="ITC Avant Garde"/>
          <w:b/>
        </w:rPr>
        <w:t>P/IFT/EXT/170214/70</w:t>
      </w:r>
      <w:r w:rsidR="00F601C8" w:rsidRPr="00F601C8">
        <w:rPr>
          <w:rFonts w:ascii="ITC Avant Garde" w:hAnsi="ITC Avant Garde"/>
          <w:i/>
          <w:sz w:val="20"/>
        </w:rPr>
        <w:t xml:space="preserve"> </w:t>
      </w:r>
      <w:r w:rsidR="00F601C8" w:rsidRPr="00374B3E">
        <w:rPr>
          <w:rFonts w:ascii="ITC Avant Garde" w:hAnsi="ITC Avant Garde"/>
        </w:rPr>
        <w:t>“(…)</w:t>
      </w:r>
      <w:r w:rsidR="00F601C8">
        <w:rPr>
          <w:rFonts w:ascii="ITC Avant Garde" w:hAnsi="ITC Avant Garde"/>
          <w:i/>
          <w:sz w:val="20"/>
        </w:rPr>
        <w:t xml:space="preserve"> </w:t>
      </w:r>
      <w:r w:rsidR="00F601C8" w:rsidRPr="00F601C8">
        <w:rPr>
          <w:rFonts w:ascii="ITC Avant Garde" w:hAnsi="ITC Avant Garde"/>
          <w:i/>
          <w:sz w:val="20"/>
        </w:rPr>
        <w:t>no podía subsistir respecto de ninguno de los</w:t>
      </w:r>
      <w:r w:rsidR="00F601C8">
        <w:rPr>
          <w:rFonts w:ascii="ITC Avant Garde" w:hAnsi="ITC Avant Garde"/>
          <w:i/>
          <w:sz w:val="20"/>
        </w:rPr>
        <w:t xml:space="preserve"> </w:t>
      </w:r>
      <w:r w:rsidR="00F601C8" w:rsidRPr="00F601C8">
        <w:rPr>
          <w:rFonts w:ascii="ITC Avant Garde" w:hAnsi="ITC Avant Garde"/>
          <w:i/>
          <w:sz w:val="20"/>
        </w:rPr>
        <w:t>agentes económicos considerados presuntamente responsables de las prácticas monopólicas absolutas, consecuentemente, el acto ahora reclamado - Acuerdo aprobado por el Pleno del Instituto Federal de Telecomunicaciones mediante sesión ordinaria de dieciocho de mayo de dos mil dieciséis-, resulta ilegal, al emanar de la diversa resolución - P/IFT/EXT/170214/70- emitida en el expediente EIFT/DGIPM/PMA/0001/2013-, por lo cual por no puede surtir eficacia</w:t>
      </w:r>
      <w:r w:rsidR="00F601C8">
        <w:rPr>
          <w:rFonts w:ascii="ITC Avant Garde" w:hAnsi="ITC Avant Garde"/>
          <w:i/>
          <w:sz w:val="20"/>
        </w:rPr>
        <w:t xml:space="preserve"> </w:t>
      </w:r>
      <w:r w:rsidR="00F601C8" w:rsidRPr="00F601C8">
        <w:rPr>
          <w:rFonts w:ascii="ITC Avant Garde" w:hAnsi="ITC Avant Garde"/>
          <w:i/>
          <w:sz w:val="20"/>
        </w:rPr>
        <w:t>jurídica o plenos efectos jurídicos, en virtud de que constituye la causa</w:t>
      </w:r>
      <w:r w:rsidR="00F601C8">
        <w:rPr>
          <w:rFonts w:ascii="ITC Avant Garde" w:hAnsi="ITC Avant Garde"/>
          <w:i/>
          <w:sz w:val="20"/>
        </w:rPr>
        <w:t xml:space="preserve"> </w:t>
      </w:r>
      <w:r w:rsidR="00F601C8" w:rsidRPr="00F601C8">
        <w:rPr>
          <w:rFonts w:ascii="ITC Avant Garde" w:hAnsi="ITC Avant Garde"/>
          <w:i/>
          <w:sz w:val="20"/>
        </w:rPr>
        <w:t>inmediata de aquel</w:t>
      </w:r>
      <w:r w:rsidR="00374B3E">
        <w:rPr>
          <w:rFonts w:ascii="ITC Avant Garde" w:hAnsi="ITC Avant Garde"/>
          <w:i/>
          <w:sz w:val="20"/>
        </w:rPr>
        <w:t>.</w:t>
      </w:r>
      <w:r w:rsidR="00F601C8">
        <w:rPr>
          <w:rFonts w:ascii="ITC Avant Garde" w:hAnsi="ITC Avant Garde"/>
          <w:i/>
          <w:sz w:val="20"/>
        </w:rPr>
        <w:t>”</w:t>
      </w:r>
      <w:r w:rsidR="00F601C8">
        <w:rPr>
          <w:rStyle w:val="Refdenotaalpie"/>
          <w:rFonts w:ascii="ITC Avant Garde" w:hAnsi="ITC Avant Garde"/>
          <w:i/>
          <w:sz w:val="20"/>
        </w:rPr>
        <w:footnoteReference w:id="19"/>
      </w:r>
    </w:p>
    <w:p w:rsidR="00254CA4" w:rsidRPr="00C4102E" w:rsidRDefault="00F601C8" w:rsidP="00926AD0">
      <w:pPr>
        <w:spacing w:before="120" w:after="0"/>
        <w:jc w:val="both"/>
        <w:rPr>
          <w:rFonts w:ascii="ITC Avant Garde" w:hAnsi="ITC Avant Garde"/>
          <w:b/>
        </w:rPr>
      </w:pPr>
      <w:r>
        <w:rPr>
          <w:rFonts w:ascii="ITC Avant Garde" w:hAnsi="ITC Avant Garde"/>
          <w:b/>
        </w:rPr>
        <w:t>v)</w:t>
      </w:r>
      <w:r w:rsidR="00254CA4" w:rsidRPr="00C4102E">
        <w:rPr>
          <w:rFonts w:ascii="ITC Avant Garde" w:hAnsi="ITC Avant Garde"/>
          <w:b/>
        </w:rPr>
        <w:t xml:space="preserve"> </w:t>
      </w:r>
      <w:r w:rsidR="00254CA4" w:rsidRPr="00C4102E">
        <w:rPr>
          <w:rFonts w:ascii="ITC Avant Garde" w:hAnsi="ITC Avant Garde"/>
        </w:rPr>
        <w:t xml:space="preserve">La conducta prevista en el artículo 9, fracción III, de la LFCE </w:t>
      </w:r>
      <w:r w:rsidR="00254CA4" w:rsidRPr="00374B3E">
        <w:rPr>
          <w:rFonts w:ascii="ITC Avant Garde" w:hAnsi="ITC Avant Garde"/>
        </w:rPr>
        <w:t xml:space="preserve">“(…) </w:t>
      </w:r>
      <w:r w:rsidR="00254CA4" w:rsidRPr="003649FE">
        <w:rPr>
          <w:rFonts w:ascii="ITC Avant Garde" w:hAnsi="ITC Avant Garde"/>
          <w:i/>
          <w:sz w:val="20"/>
          <w:szCs w:val="20"/>
        </w:rPr>
        <w:t xml:space="preserve">no podría subsistir o actualizarse </w:t>
      </w:r>
      <w:r w:rsidR="00254CA4" w:rsidRPr="003649FE">
        <w:rPr>
          <w:rFonts w:ascii="ITC Avant Garde" w:hAnsi="ITC Avant Garde"/>
          <w:sz w:val="20"/>
          <w:szCs w:val="20"/>
        </w:rPr>
        <w:t>(…)</w:t>
      </w:r>
      <w:r w:rsidR="005D43F1" w:rsidRPr="003649FE">
        <w:rPr>
          <w:rFonts w:ascii="ITC Avant Garde" w:hAnsi="ITC Avant Garde"/>
          <w:i/>
          <w:sz w:val="20"/>
          <w:szCs w:val="20"/>
        </w:rPr>
        <w:t xml:space="preserve"> de manera unilateral o segmentada, sino que necesariamente se requiere para su construcción, del acuerdo o concentración entre competidores para segmentar el mercado.</w:t>
      </w:r>
      <w:r w:rsidR="005D43F1" w:rsidRPr="00374B3E">
        <w:rPr>
          <w:rFonts w:ascii="ITC Avant Garde" w:hAnsi="ITC Avant Garde"/>
          <w:i/>
        </w:rPr>
        <w:t>”</w:t>
      </w:r>
      <w:r w:rsidR="005D43F1" w:rsidRPr="00C4102E">
        <w:rPr>
          <w:rStyle w:val="Refdenotaalpie"/>
          <w:rFonts w:ascii="ITC Avant Garde" w:hAnsi="ITC Avant Garde"/>
        </w:rPr>
        <w:footnoteReference w:id="20"/>
      </w:r>
      <w:r w:rsidR="005D43F1" w:rsidRPr="00C4102E">
        <w:rPr>
          <w:rFonts w:ascii="ITC Avant Garde" w:hAnsi="ITC Avant Garde"/>
        </w:rPr>
        <w:t xml:space="preserve"> </w:t>
      </w:r>
    </w:p>
    <w:p w:rsidR="00EB19D8" w:rsidRPr="00C4102E" w:rsidRDefault="00880CF5" w:rsidP="00926AD0">
      <w:pPr>
        <w:spacing w:before="120" w:after="0"/>
        <w:jc w:val="both"/>
        <w:rPr>
          <w:rFonts w:ascii="ITC Avant Garde" w:hAnsi="ITC Avant Garde"/>
        </w:rPr>
      </w:pPr>
      <w:r w:rsidRPr="00C4102E">
        <w:rPr>
          <w:rFonts w:ascii="ITC Avant Garde" w:hAnsi="ITC Avant Garde"/>
        </w:rPr>
        <w:t xml:space="preserve">De lo </w:t>
      </w:r>
      <w:r w:rsidR="00E63079" w:rsidRPr="00C4102E">
        <w:rPr>
          <w:rFonts w:ascii="ITC Avant Garde" w:hAnsi="ITC Avant Garde"/>
        </w:rPr>
        <w:t>resuelto</w:t>
      </w:r>
      <w:r w:rsidRPr="00C4102E">
        <w:rPr>
          <w:rFonts w:ascii="ITC Avant Garde" w:hAnsi="ITC Avant Garde"/>
        </w:rPr>
        <w:t xml:space="preserve"> en la Ejecutoria Cablevisi</w:t>
      </w:r>
      <w:r w:rsidR="00BD4178" w:rsidRPr="00C4102E">
        <w:rPr>
          <w:rFonts w:ascii="ITC Avant Garde" w:hAnsi="ITC Avant Garde"/>
        </w:rPr>
        <w:t xml:space="preserve">ón 7/2017 y </w:t>
      </w:r>
      <w:r w:rsidR="00FB2428">
        <w:rPr>
          <w:rFonts w:ascii="ITC Avant Garde" w:hAnsi="ITC Avant Garde"/>
        </w:rPr>
        <w:t>las ejecutorias citadas en los antecedentes Séptimo y Decimotercero del presente acuerdo</w:t>
      </w:r>
      <w:r w:rsidRPr="00C4102E">
        <w:rPr>
          <w:rFonts w:ascii="ITC Avant Garde" w:hAnsi="ITC Avant Garde"/>
        </w:rPr>
        <w:t xml:space="preserve">, </w:t>
      </w:r>
      <w:r w:rsidR="00FB2428">
        <w:rPr>
          <w:rFonts w:ascii="ITC Avant Garde" w:hAnsi="ITC Avant Garde"/>
        </w:rPr>
        <w:t>se desprende</w:t>
      </w:r>
      <w:r w:rsidRPr="00C4102E">
        <w:rPr>
          <w:rFonts w:ascii="ITC Avant Garde" w:hAnsi="ITC Avant Garde"/>
        </w:rPr>
        <w:t xml:space="preserve"> que el Primer Tribunal Especializado considera que en el presente asunto:</w:t>
      </w:r>
    </w:p>
    <w:p w:rsidR="00E108E3" w:rsidRDefault="00CE5416" w:rsidP="00926AD0">
      <w:pPr>
        <w:pStyle w:val="Prrafodelista"/>
        <w:numPr>
          <w:ilvl w:val="0"/>
          <w:numId w:val="9"/>
        </w:numPr>
        <w:spacing w:before="120" w:after="0"/>
        <w:jc w:val="both"/>
        <w:rPr>
          <w:rFonts w:ascii="ITC Avant Garde" w:hAnsi="ITC Avant Garde"/>
        </w:rPr>
      </w:pPr>
      <w:r w:rsidRPr="00E108E3">
        <w:rPr>
          <w:rFonts w:ascii="ITC Avant Garde" w:hAnsi="ITC Avant Garde"/>
        </w:rPr>
        <w:t>La Resolución es inexistente.</w:t>
      </w:r>
      <w:r w:rsidR="00466D7E" w:rsidRPr="00E108E3">
        <w:rPr>
          <w:rFonts w:ascii="ITC Avant Garde" w:hAnsi="ITC Avant Garde"/>
        </w:rPr>
        <w:t xml:space="preserve"> </w:t>
      </w:r>
    </w:p>
    <w:p w:rsidR="00880CF5" w:rsidRPr="00E108E3" w:rsidRDefault="00880CF5" w:rsidP="00926AD0">
      <w:pPr>
        <w:pStyle w:val="Prrafodelista"/>
        <w:numPr>
          <w:ilvl w:val="0"/>
          <w:numId w:val="9"/>
        </w:numPr>
        <w:spacing w:before="120" w:after="0"/>
        <w:jc w:val="both"/>
        <w:rPr>
          <w:rFonts w:ascii="ITC Avant Garde" w:hAnsi="ITC Avant Garde"/>
        </w:rPr>
      </w:pPr>
      <w:r w:rsidRPr="00E108E3">
        <w:rPr>
          <w:rFonts w:ascii="ITC Avant Garde" w:hAnsi="ITC Avant Garde"/>
        </w:rPr>
        <w:t>El procedimiento no se siguió individualmente para cada uno de los empl</w:t>
      </w:r>
      <w:r w:rsidR="00E63079" w:rsidRPr="00E108E3">
        <w:rPr>
          <w:rFonts w:ascii="ITC Avant Garde" w:hAnsi="ITC Avant Garde"/>
        </w:rPr>
        <w:t>azados, sino de manera conjunta, por lo que un acto no puede considerarse subsistente para sólo uno de los emplazados.</w:t>
      </w:r>
    </w:p>
    <w:p w:rsidR="00BD4178" w:rsidRPr="00C4102E" w:rsidRDefault="00880CF5" w:rsidP="00926AD0">
      <w:pPr>
        <w:pStyle w:val="Prrafodelista"/>
        <w:numPr>
          <w:ilvl w:val="0"/>
          <w:numId w:val="9"/>
        </w:numPr>
        <w:spacing w:before="120" w:after="0"/>
        <w:jc w:val="both"/>
        <w:rPr>
          <w:rFonts w:ascii="ITC Avant Garde" w:hAnsi="ITC Avant Garde"/>
        </w:rPr>
      </w:pPr>
      <w:r w:rsidRPr="00C4102E">
        <w:rPr>
          <w:rFonts w:ascii="ITC Avant Garde" w:hAnsi="ITC Avant Garde"/>
        </w:rPr>
        <w:lastRenderedPageBreak/>
        <w:t xml:space="preserve">Lo resuelto en la Ejecutoria </w:t>
      </w:r>
      <w:proofErr w:type="spellStart"/>
      <w:r w:rsidRPr="00C4102E">
        <w:rPr>
          <w:rFonts w:ascii="ITC Avant Garde" w:hAnsi="ITC Avant Garde"/>
        </w:rPr>
        <w:t>Megacable</w:t>
      </w:r>
      <w:proofErr w:type="spellEnd"/>
      <w:r w:rsidRPr="00C4102E">
        <w:rPr>
          <w:rFonts w:ascii="ITC Avant Garde" w:hAnsi="ITC Avant Garde"/>
        </w:rPr>
        <w:t xml:space="preserve"> impacta sustancialmente la resolución del procedimi</w:t>
      </w:r>
      <w:r w:rsidR="00BD4178" w:rsidRPr="00C4102E">
        <w:rPr>
          <w:rFonts w:ascii="ITC Avant Garde" w:hAnsi="ITC Avant Garde"/>
        </w:rPr>
        <w:t xml:space="preserve">ento </w:t>
      </w:r>
      <w:r w:rsidR="00E108E3">
        <w:rPr>
          <w:rFonts w:ascii="ITC Avant Garde" w:hAnsi="ITC Avant Garde"/>
        </w:rPr>
        <w:t>que se tramita</w:t>
      </w:r>
      <w:r w:rsidR="00BD4178" w:rsidRPr="00C4102E">
        <w:rPr>
          <w:rFonts w:ascii="ITC Avant Garde" w:hAnsi="ITC Avant Garde"/>
        </w:rPr>
        <w:t xml:space="preserve"> en el Expediente</w:t>
      </w:r>
      <w:r w:rsidR="00E108E3">
        <w:rPr>
          <w:rFonts w:ascii="ITC Avant Garde" w:hAnsi="ITC Avant Garde"/>
        </w:rPr>
        <w:t>.</w:t>
      </w:r>
    </w:p>
    <w:p w:rsidR="005D43F1" w:rsidRPr="00C4102E" w:rsidRDefault="00BD4178" w:rsidP="00926AD0">
      <w:pPr>
        <w:pStyle w:val="Prrafodelista"/>
        <w:numPr>
          <w:ilvl w:val="0"/>
          <w:numId w:val="9"/>
        </w:numPr>
        <w:spacing w:before="120" w:after="0"/>
        <w:jc w:val="both"/>
        <w:rPr>
          <w:rFonts w:ascii="ITC Avant Garde" w:hAnsi="ITC Avant Garde"/>
        </w:rPr>
      </w:pPr>
      <w:r w:rsidRPr="00C4102E">
        <w:rPr>
          <w:rFonts w:ascii="ITC Avant Garde" w:hAnsi="ITC Avant Garde"/>
        </w:rPr>
        <w:t>L</w:t>
      </w:r>
      <w:r w:rsidR="005D43F1" w:rsidRPr="00C4102E">
        <w:rPr>
          <w:rFonts w:ascii="ITC Avant Garde" w:hAnsi="ITC Avant Garde"/>
        </w:rPr>
        <w:t>a conducta no puede darse de manera segmentada o unilateral, sino que necesariamente requiere de un una concertación o acuerdo para segmentar el mercado.</w:t>
      </w:r>
    </w:p>
    <w:p w:rsidR="00FB2428" w:rsidRPr="00346771" w:rsidRDefault="00A25C86" w:rsidP="00926AD0">
      <w:pPr>
        <w:pStyle w:val="Prrafodelista"/>
        <w:numPr>
          <w:ilvl w:val="0"/>
          <w:numId w:val="9"/>
        </w:numPr>
        <w:spacing w:before="120" w:after="0"/>
        <w:jc w:val="both"/>
        <w:rPr>
          <w:rFonts w:ascii="ITC Avant Garde" w:hAnsi="ITC Avant Garde"/>
          <w:bCs/>
          <w:color w:val="000000"/>
        </w:rPr>
      </w:pPr>
      <w:r w:rsidRPr="00C4102E">
        <w:rPr>
          <w:rFonts w:ascii="ITC Avant Garde" w:hAnsi="ITC Avant Garde"/>
        </w:rPr>
        <w:t>Cablevisión</w:t>
      </w:r>
      <w:r w:rsidR="0081327C">
        <w:rPr>
          <w:rFonts w:ascii="ITC Avant Garde" w:hAnsi="ITC Avant Garde"/>
        </w:rPr>
        <w:t xml:space="preserve"> </w:t>
      </w:r>
      <w:r w:rsidRPr="00C4102E">
        <w:rPr>
          <w:rFonts w:ascii="ITC Avant Garde" w:hAnsi="ITC Avant Garde"/>
        </w:rPr>
        <w:t>no puede obtener la restitución en el pleno goce de sus derechos o garantías violados</w:t>
      </w:r>
      <w:r w:rsidR="00880CF5" w:rsidRPr="00C4102E">
        <w:rPr>
          <w:rFonts w:ascii="ITC Avant Garde" w:hAnsi="ITC Avant Garde"/>
        </w:rPr>
        <w:t xml:space="preserve"> </w:t>
      </w:r>
      <w:r w:rsidRPr="00C4102E">
        <w:rPr>
          <w:rFonts w:ascii="ITC Avant Garde" w:hAnsi="ITC Avant Garde"/>
        </w:rPr>
        <w:t>pues la Resolución había dejado de surtir eficacia por las obligaciones</w:t>
      </w:r>
      <w:r w:rsidR="00880CF5" w:rsidRPr="00C4102E">
        <w:rPr>
          <w:rFonts w:ascii="ITC Avant Garde" w:hAnsi="ITC Avant Garde"/>
        </w:rPr>
        <w:t xml:space="preserve"> impuestas en la Ejecutoria </w:t>
      </w:r>
      <w:proofErr w:type="spellStart"/>
      <w:r w:rsidR="00880CF5" w:rsidRPr="00C4102E">
        <w:rPr>
          <w:rFonts w:ascii="ITC Avant Garde" w:hAnsi="ITC Avant Garde"/>
        </w:rPr>
        <w:t>Megacable</w:t>
      </w:r>
      <w:proofErr w:type="spellEnd"/>
      <w:r w:rsidRPr="00C4102E">
        <w:rPr>
          <w:rFonts w:ascii="ITC Avant Garde" w:hAnsi="ITC Avant Garde"/>
        </w:rPr>
        <w:t>.</w:t>
      </w:r>
      <w:r w:rsidRPr="00C4102E">
        <w:rPr>
          <w:rStyle w:val="Refdenotaalpie"/>
          <w:rFonts w:ascii="ITC Avant Garde" w:hAnsi="ITC Avant Garde"/>
        </w:rPr>
        <w:footnoteReference w:id="21"/>
      </w:r>
      <w:r w:rsidR="00BD4178" w:rsidRPr="00C4102E">
        <w:rPr>
          <w:rFonts w:ascii="ITC Avant Garde" w:hAnsi="ITC Avant Garde"/>
        </w:rPr>
        <w:t xml:space="preserve"> </w:t>
      </w:r>
      <w:r w:rsidR="00E63079" w:rsidRPr="00C4102E">
        <w:rPr>
          <w:rFonts w:ascii="ITC Avant Garde" w:hAnsi="ITC Avant Garde"/>
        </w:rPr>
        <w:t>Lo anterior, porque los emplazados</w:t>
      </w:r>
      <w:r w:rsidR="00880CF5" w:rsidRPr="00C4102E">
        <w:rPr>
          <w:rFonts w:ascii="ITC Avant Garde" w:hAnsi="ITC Avant Garde"/>
        </w:rPr>
        <w:t xml:space="preserve"> </w:t>
      </w:r>
      <w:r w:rsidR="00E63079" w:rsidRPr="00346771">
        <w:rPr>
          <w:rFonts w:ascii="ITC Avant Garde" w:hAnsi="ITC Avant Garde"/>
          <w:i/>
        </w:rPr>
        <w:t>“</w:t>
      </w:r>
      <w:r w:rsidR="00E63079" w:rsidRPr="00E108E3">
        <w:rPr>
          <w:rFonts w:ascii="ITC Avant Garde" w:hAnsi="ITC Avant Garde"/>
        </w:rPr>
        <w:t>(…)</w:t>
      </w:r>
      <w:r w:rsidR="00E63079" w:rsidRPr="00346771">
        <w:rPr>
          <w:rFonts w:ascii="ITC Avant Garde" w:hAnsi="ITC Avant Garde"/>
          <w:i/>
        </w:rPr>
        <w:t xml:space="preserve"> </w:t>
      </w:r>
      <w:r w:rsidR="00E63079" w:rsidRPr="00374B3E">
        <w:rPr>
          <w:rFonts w:ascii="ITC Avant Garde" w:hAnsi="ITC Avant Garde"/>
          <w:i/>
          <w:sz w:val="20"/>
          <w:szCs w:val="20"/>
        </w:rPr>
        <w:t>quedaron vinculados con la</w:t>
      </w:r>
      <w:r w:rsidR="00E63079" w:rsidRPr="00346771">
        <w:rPr>
          <w:rFonts w:ascii="ITC Avant Garde" w:hAnsi="ITC Avant Garde"/>
          <w:i/>
        </w:rPr>
        <w:t xml:space="preserve"> </w:t>
      </w:r>
      <w:r w:rsidRPr="00C4102E">
        <w:rPr>
          <w:rFonts w:ascii="ITC Avant Garde" w:hAnsi="ITC Avant Garde"/>
        </w:rPr>
        <w:t>[</w:t>
      </w:r>
      <w:r w:rsidR="00E108E3">
        <w:rPr>
          <w:rFonts w:ascii="ITC Avant Garde" w:hAnsi="ITC Avant Garde"/>
        </w:rPr>
        <w:t xml:space="preserve">Ejecutoria </w:t>
      </w:r>
      <w:proofErr w:type="spellStart"/>
      <w:r w:rsidR="00E108E3">
        <w:rPr>
          <w:rFonts w:ascii="ITC Avant Garde" w:hAnsi="ITC Avant Garde"/>
        </w:rPr>
        <w:t>Megacable</w:t>
      </w:r>
      <w:proofErr w:type="spellEnd"/>
      <w:r w:rsidR="00E108E3">
        <w:rPr>
          <w:rFonts w:ascii="ITC Avant Garde" w:hAnsi="ITC Avant Garde"/>
        </w:rPr>
        <w:t xml:space="preserve"> del </w:t>
      </w:r>
      <w:r w:rsidRPr="00C4102E">
        <w:rPr>
          <w:rFonts w:ascii="ITC Avant Garde" w:hAnsi="ITC Avant Garde"/>
        </w:rPr>
        <w:t>Segundo Tribunal Especializado]</w:t>
      </w:r>
      <w:r w:rsidR="00E63079" w:rsidRPr="00346771">
        <w:rPr>
          <w:rFonts w:ascii="ITC Avant Garde" w:hAnsi="ITC Avant Garde"/>
          <w:i/>
        </w:rPr>
        <w:t xml:space="preserve">, </w:t>
      </w:r>
      <w:r w:rsidR="00E63079" w:rsidRPr="00374B3E">
        <w:rPr>
          <w:rFonts w:ascii="ITC Avant Garde" w:hAnsi="ITC Avant Garde"/>
          <w:i/>
          <w:sz w:val="20"/>
          <w:szCs w:val="20"/>
        </w:rPr>
        <w:t xml:space="preserve">en la que se tomaron decisiones, precisas, claras e indubitables que constituyen elementos necesarios para determinar jurídicamente la decisión del objeto del conflicto </w:t>
      </w:r>
      <w:r w:rsidR="00E63079" w:rsidRPr="00E108E3">
        <w:rPr>
          <w:rFonts w:ascii="ITC Avant Garde" w:hAnsi="ITC Avant Garde"/>
        </w:rPr>
        <w:t>(…)</w:t>
      </w:r>
      <w:r w:rsidR="00E63079" w:rsidRPr="00346771">
        <w:rPr>
          <w:rFonts w:ascii="ITC Avant Garde" w:hAnsi="ITC Avant Garde"/>
          <w:i/>
        </w:rPr>
        <w:t>”</w:t>
      </w:r>
      <w:r w:rsidR="00E63079" w:rsidRPr="00C4102E">
        <w:rPr>
          <w:rFonts w:ascii="ITC Avant Garde" w:hAnsi="ITC Avant Garde"/>
        </w:rPr>
        <w:t>.</w:t>
      </w:r>
      <w:r w:rsidR="00E63079" w:rsidRPr="00C4102E">
        <w:rPr>
          <w:rStyle w:val="Refdenotaalpie"/>
          <w:rFonts w:ascii="ITC Avant Garde" w:hAnsi="ITC Avant Garde"/>
        </w:rPr>
        <w:footnoteReference w:id="22"/>
      </w:r>
    </w:p>
    <w:p w:rsidR="00036B30" w:rsidRPr="00346771" w:rsidRDefault="00A77BE3" w:rsidP="00926AD0">
      <w:pPr>
        <w:pStyle w:val="estilo30"/>
        <w:spacing w:before="120" w:beforeAutospacing="0" w:after="0" w:afterAutospacing="0" w:line="276" w:lineRule="auto"/>
        <w:jc w:val="both"/>
        <w:rPr>
          <w:rFonts w:ascii="ITC Avant Garde" w:hAnsi="ITC Avant Garde"/>
          <w:sz w:val="22"/>
          <w:szCs w:val="22"/>
        </w:rPr>
      </w:pPr>
      <w:r>
        <w:rPr>
          <w:rFonts w:ascii="ITC Avant Garde" w:hAnsi="ITC Avant Garde"/>
          <w:sz w:val="22"/>
          <w:szCs w:val="22"/>
        </w:rPr>
        <w:t xml:space="preserve">A pesar de los razonamientos contenidos en la Ejecutoria Cablevisión 7/2017, lo cierto es que </w:t>
      </w:r>
      <w:r w:rsidR="00AB2A15">
        <w:rPr>
          <w:rFonts w:ascii="ITC Avant Garde" w:hAnsi="ITC Avant Garde"/>
          <w:sz w:val="22"/>
          <w:szCs w:val="22"/>
        </w:rPr>
        <w:t>el único efecto que se le da es el de dejar insubsistente el acto reclamado consistente en el Acuerdo Mecanismo</w:t>
      </w:r>
      <w:r w:rsidR="00036B30" w:rsidRPr="00346771">
        <w:rPr>
          <w:rFonts w:ascii="ITC Avant Garde" w:hAnsi="ITC Avant Garde"/>
          <w:sz w:val="22"/>
          <w:szCs w:val="22"/>
        </w:rPr>
        <w:t xml:space="preserve">. </w:t>
      </w:r>
      <w:r w:rsidR="00AB2A15">
        <w:rPr>
          <w:rFonts w:ascii="ITC Avant Garde" w:hAnsi="ITC Avant Garde"/>
          <w:sz w:val="22"/>
          <w:szCs w:val="22"/>
        </w:rPr>
        <w:t xml:space="preserve">Así, en estricto cumplimiento, </w:t>
      </w:r>
      <w:r w:rsidR="00036B30" w:rsidRPr="00346771">
        <w:rPr>
          <w:rFonts w:ascii="ITC Avant Garde" w:hAnsi="ITC Avant Garde"/>
          <w:sz w:val="22"/>
          <w:szCs w:val="22"/>
        </w:rPr>
        <w:t>procede dejar insubsis</w:t>
      </w:r>
      <w:r>
        <w:rPr>
          <w:rFonts w:ascii="ITC Avant Garde" w:hAnsi="ITC Avant Garde"/>
          <w:sz w:val="22"/>
          <w:szCs w:val="22"/>
        </w:rPr>
        <w:t xml:space="preserve">tente el Acuerdo de Mecanismo. </w:t>
      </w:r>
    </w:p>
    <w:p w:rsidR="001B0BA8" w:rsidRDefault="00C4102E" w:rsidP="00926AD0">
      <w:pPr>
        <w:pStyle w:val="estilo30"/>
        <w:spacing w:before="120" w:beforeAutospacing="0" w:after="0" w:afterAutospacing="0" w:line="276" w:lineRule="auto"/>
        <w:jc w:val="both"/>
        <w:rPr>
          <w:rFonts w:ascii="ITC Avant Garde" w:hAnsi="ITC Avant Garde"/>
          <w:bCs/>
          <w:color w:val="000000"/>
          <w:sz w:val="22"/>
          <w:szCs w:val="22"/>
        </w:rPr>
      </w:pPr>
      <w:r w:rsidRPr="00C4102E">
        <w:rPr>
          <w:rFonts w:ascii="ITC Avant Garde" w:hAnsi="ITC Avant Garde"/>
          <w:bCs/>
          <w:color w:val="000000"/>
          <w:sz w:val="22"/>
          <w:szCs w:val="22"/>
        </w:rPr>
        <w:t>En cumplimiento de la</w:t>
      </w:r>
      <w:r w:rsidR="00E362D3" w:rsidRPr="00E362D3">
        <w:t xml:space="preserve"> </w:t>
      </w:r>
      <w:r w:rsidR="00E362D3" w:rsidRPr="00E362D3">
        <w:rPr>
          <w:rFonts w:ascii="ITC Avant Garde" w:hAnsi="ITC Avant Garde"/>
          <w:bCs/>
          <w:color w:val="000000"/>
          <w:sz w:val="22"/>
          <w:szCs w:val="22"/>
        </w:rPr>
        <w:t>Ejecutoria Cablevisión 7/2017</w:t>
      </w:r>
      <w:r w:rsidRPr="00C4102E">
        <w:rPr>
          <w:rFonts w:ascii="ITC Avant Garde" w:hAnsi="ITC Avant Garde"/>
          <w:bCs/>
          <w:color w:val="000000"/>
          <w:sz w:val="22"/>
          <w:szCs w:val="22"/>
        </w:rPr>
        <w:t>, el Pleno del Instituto, de conformidad con lo establecido en los artículos 28, párrafos décimo cuarto, décimo quinto, décimo sexto y vigésimo de la Constitución Política de los Estados Unidos Mexicanos; Séptimo Transitorio del “</w:t>
      </w:r>
      <w:r w:rsidRPr="001B0BA8">
        <w:rPr>
          <w:rFonts w:ascii="ITC Avant Garde" w:hAnsi="ITC Avant Garde"/>
          <w:bCs/>
          <w:i/>
          <w:color w:val="000000"/>
          <w:sz w:val="20"/>
          <w:szCs w:val="20"/>
        </w:rPr>
        <w:t>Decreto por el que se reforman y adicionan diversas disposiciones de los artículos 6°, 7°, 27, 28, 73, 78, 94 y 105 de la Constitución Política de los Estados Unidos Mexicanos, en materia de telecomunicaciones</w:t>
      </w:r>
      <w:r w:rsidRPr="001B0BA8">
        <w:rPr>
          <w:rFonts w:ascii="ITC Avant Garde" w:hAnsi="ITC Avant Garde"/>
          <w:bCs/>
          <w:color w:val="000000"/>
          <w:sz w:val="20"/>
          <w:szCs w:val="20"/>
        </w:rPr>
        <w:t>”, publicado en el DOF el once de junio de dos mil trece; Segundo Transitorio, párrafo segundo, del “</w:t>
      </w:r>
      <w:r w:rsidRPr="001B0BA8">
        <w:rPr>
          <w:rFonts w:ascii="ITC Avant Garde" w:hAnsi="ITC Avant Garde"/>
          <w:bCs/>
          <w:i/>
          <w:color w:val="000000"/>
          <w:sz w:val="20"/>
          <w:szCs w:val="20"/>
        </w:rPr>
        <w:t>Decreto por el que se expide la Ley Federal de Competencia Económica y se reforman y adicionan diversos artículos del Código Penal Federal</w:t>
      </w:r>
      <w:r w:rsidRPr="00C4102E">
        <w:rPr>
          <w:rFonts w:ascii="ITC Avant Garde" w:hAnsi="ITC Avant Garde"/>
          <w:bCs/>
          <w:color w:val="000000"/>
          <w:sz w:val="22"/>
          <w:szCs w:val="22"/>
        </w:rPr>
        <w:t>”, publicado en el DOF el veintiocho de junio de dos mil seis; 1°, 2°, 3° y 24, fracciones IV y XIX, de la LFCE; 4, fracción I, 6, fracción XXXVIII, 7, 8, 9 y 12 del Estatuto Orgánico del Instituto</w:t>
      </w:r>
      <w:r w:rsidR="001B0BA8">
        <w:rPr>
          <w:rFonts w:ascii="ITC Avant Garde" w:hAnsi="ITC Avant Garde"/>
          <w:bCs/>
          <w:color w:val="000000"/>
          <w:sz w:val="22"/>
          <w:szCs w:val="22"/>
        </w:rPr>
        <w:t>.</w:t>
      </w:r>
      <w:r w:rsidRPr="00C4102E">
        <w:rPr>
          <w:rStyle w:val="Refdenotaalpie"/>
          <w:rFonts w:ascii="ITC Avant Garde" w:hAnsi="ITC Avant Garde"/>
          <w:bCs/>
          <w:color w:val="000000"/>
          <w:sz w:val="22"/>
          <w:szCs w:val="22"/>
        </w:rPr>
        <w:footnoteReference w:id="23"/>
      </w:r>
      <w:r w:rsidR="008F29FD">
        <w:rPr>
          <w:rFonts w:ascii="ITC Avant Garde" w:hAnsi="ITC Avant Garde"/>
          <w:bCs/>
          <w:color w:val="000000"/>
          <w:sz w:val="22"/>
          <w:szCs w:val="22"/>
        </w:rPr>
        <w:t xml:space="preserve"> </w:t>
      </w:r>
    </w:p>
    <w:p w:rsidR="00C4102E" w:rsidRPr="00C4102E" w:rsidRDefault="001B0BA8" w:rsidP="00926AD0">
      <w:pPr>
        <w:pStyle w:val="estilo30"/>
        <w:spacing w:before="120" w:beforeAutospacing="0" w:after="0" w:afterAutospacing="0" w:line="276" w:lineRule="auto"/>
        <w:jc w:val="both"/>
        <w:rPr>
          <w:rFonts w:ascii="ITC Avant Garde" w:hAnsi="ITC Avant Garde"/>
          <w:bCs/>
          <w:color w:val="000000"/>
          <w:sz w:val="22"/>
          <w:szCs w:val="22"/>
        </w:rPr>
      </w:pPr>
      <w:r>
        <w:rPr>
          <w:rFonts w:ascii="ITC Avant Garde" w:hAnsi="ITC Avant Garde"/>
          <w:bCs/>
          <w:color w:val="000000"/>
          <w:sz w:val="22"/>
          <w:szCs w:val="22"/>
        </w:rPr>
        <w:t>Se</w:t>
      </w:r>
      <w:r w:rsidR="00D8322A">
        <w:rPr>
          <w:rFonts w:ascii="ITC Avant Garde" w:hAnsi="ITC Avant Garde"/>
          <w:bCs/>
          <w:color w:val="000000"/>
          <w:sz w:val="22"/>
          <w:szCs w:val="22"/>
        </w:rPr>
        <w:t xml:space="preserve"> </w:t>
      </w:r>
      <w:r w:rsidR="0081327C">
        <w:rPr>
          <w:rFonts w:ascii="ITC Avant Garde" w:hAnsi="ITC Avant Garde"/>
          <w:bCs/>
          <w:color w:val="000000"/>
          <w:sz w:val="22"/>
          <w:szCs w:val="22"/>
        </w:rPr>
        <w:t>acuerda lo siguiente</w:t>
      </w:r>
      <w:r w:rsidR="00FB2428">
        <w:rPr>
          <w:rFonts w:ascii="ITC Avant Garde" w:hAnsi="ITC Avant Garde"/>
          <w:bCs/>
          <w:color w:val="000000"/>
          <w:sz w:val="22"/>
          <w:szCs w:val="22"/>
        </w:rPr>
        <w:t>:</w:t>
      </w:r>
    </w:p>
    <w:p w:rsidR="00690D28" w:rsidRPr="002F1555" w:rsidRDefault="00C4102E" w:rsidP="002F1555">
      <w:pPr>
        <w:pStyle w:val="Ttulo2"/>
        <w:spacing w:after="240"/>
        <w:jc w:val="center"/>
        <w:rPr>
          <w:rFonts w:ascii="ITC Avant Garde" w:hAnsi="ITC Avant Garde"/>
          <w:b/>
          <w:color w:val="000000" w:themeColor="text1"/>
          <w:sz w:val="22"/>
          <w:szCs w:val="22"/>
        </w:rPr>
      </w:pPr>
      <w:r w:rsidRPr="002F1555">
        <w:rPr>
          <w:rFonts w:ascii="ITC Avant Garde" w:hAnsi="ITC Avant Garde"/>
          <w:b/>
          <w:color w:val="000000" w:themeColor="text1"/>
          <w:sz w:val="22"/>
          <w:szCs w:val="22"/>
        </w:rPr>
        <w:t xml:space="preserve">IV. </w:t>
      </w:r>
      <w:r w:rsidR="00690D28" w:rsidRPr="002F1555">
        <w:rPr>
          <w:rFonts w:ascii="ITC Avant Garde" w:hAnsi="ITC Avant Garde"/>
          <w:b/>
          <w:color w:val="000000" w:themeColor="text1"/>
          <w:sz w:val="22"/>
          <w:szCs w:val="22"/>
        </w:rPr>
        <w:t>ACUERD</w:t>
      </w:r>
      <w:r w:rsidR="00D8322A" w:rsidRPr="002F1555">
        <w:rPr>
          <w:rFonts w:ascii="ITC Avant Garde" w:hAnsi="ITC Avant Garde"/>
          <w:b/>
          <w:color w:val="000000" w:themeColor="text1"/>
          <w:sz w:val="22"/>
          <w:szCs w:val="22"/>
        </w:rPr>
        <w:t>OS</w:t>
      </w:r>
    </w:p>
    <w:p w:rsidR="002F1555" w:rsidRDefault="00775EB8" w:rsidP="00926AD0">
      <w:pPr>
        <w:autoSpaceDE w:val="0"/>
        <w:autoSpaceDN w:val="0"/>
        <w:adjustRightInd w:val="0"/>
        <w:spacing w:before="120" w:after="0"/>
        <w:jc w:val="both"/>
        <w:rPr>
          <w:rFonts w:ascii="ITC Avant Garde" w:hAnsi="ITC Avant Garde"/>
        </w:rPr>
      </w:pPr>
      <w:r>
        <w:rPr>
          <w:rFonts w:ascii="ITC Avant Garde" w:hAnsi="ITC Avant Garde"/>
          <w:b/>
        </w:rPr>
        <w:t>Ú</w:t>
      </w:r>
      <w:r w:rsidR="00EB7A06">
        <w:rPr>
          <w:rFonts w:ascii="ITC Avant Garde" w:hAnsi="ITC Avant Garde"/>
          <w:b/>
        </w:rPr>
        <w:t>nico</w:t>
      </w:r>
      <w:r w:rsidR="005C7D71" w:rsidRPr="00C4102E">
        <w:rPr>
          <w:rFonts w:ascii="ITC Avant Garde" w:hAnsi="ITC Avant Garde"/>
          <w:b/>
        </w:rPr>
        <w:t>.</w:t>
      </w:r>
      <w:r w:rsidR="005C7D71" w:rsidRPr="00C4102E">
        <w:rPr>
          <w:rFonts w:ascii="ITC Avant Garde" w:hAnsi="ITC Avant Garde"/>
        </w:rPr>
        <w:t xml:space="preserve"> </w:t>
      </w:r>
      <w:r w:rsidR="005C7D71">
        <w:rPr>
          <w:rFonts w:ascii="ITC Avant Garde" w:hAnsi="ITC Avant Garde"/>
        </w:rPr>
        <w:t xml:space="preserve">Se </w:t>
      </w:r>
      <w:r w:rsidR="005C7D71" w:rsidRPr="00C4102E">
        <w:rPr>
          <w:rFonts w:ascii="ITC Avant Garde" w:hAnsi="ITC Avant Garde"/>
        </w:rPr>
        <w:t>toma conocimiento de la Ejecutoria Cablevisión 7/2017</w:t>
      </w:r>
      <w:r w:rsidR="005C7D71">
        <w:rPr>
          <w:rFonts w:ascii="ITC Avant Garde" w:hAnsi="ITC Avant Garde"/>
        </w:rPr>
        <w:t>, y en estricto cumplimiento,</w:t>
      </w:r>
      <w:r>
        <w:rPr>
          <w:rFonts w:ascii="ITC Avant Garde" w:hAnsi="ITC Avant Garde"/>
        </w:rPr>
        <w:t xml:space="preserve"> deja insubsistente el Acuerdo de Mecanismo</w:t>
      </w:r>
      <w:r w:rsidR="005C7D71" w:rsidRPr="00C4102E">
        <w:rPr>
          <w:rFonts w:ascii="ITC Avant Garde" w:hAnsi="ITC Avant Garde"/>
        </w:rPr>
        <w:t xml:space="preserve">, </w:t>
      </w:r>
      <w:r w:rsidR="005C7D71">
        <w:rPr>
          <w:rFonts w:ascii="ITC Avant Garde" w:hAnsi="ITC Avant Garde"/>
        </w:rPr>
        <w:t>en atención a lo indicado en el Considerando Segundo del presente acuerdo.</w:t>
      </w:r>
      <w:r w:rsidR="005C7D71" w:rsidRPr="00C4102E">
        <w:rPr>
          <w:rFonts w:ascii="ITC Avant Garde" w:hAnsi="ITC Avant Garde"/>
        </w:rPr>
        <w:t xml:space="preserve"> </w:t>
      </w:r>
    </w:p>
    <w:p w:rsidR="002F1555" w:rsidRDefault="005D43F1" w:rsidP="002F1555">
      <w:pPr>
        <w:spacing w:before="120"/>
        <w:jc w:val="both"/>
        <w:rPr>
          <w:rFonts w:ascii="ITC Avant Garde" w:hAnsi="ITC Avant Garde"/>
        </w:rPr>
      </w:pPr>
      <w:r w:rsidRPr="00C4102E">
        <w:rPr>
          <w:rFonts w:ascii="ITC Avant Garde" w:hAnsi="ITC Avant Garde"/>
          <w:b/>
        </w:rPr>
        <w:t xml:space="preserve">Notifíquese </w:t>
      </w:r>
      <w:r w:rsidR="00897912" w:rsidRPr="00C4102E">
        <w:rPr>
          <w:rFonts w:ascii="ITC Avant Garde" w:hAnsi="ITC Avant Garde"/>
          <w:b/>
        </w:rPr>
        <w:t>personalmente. -</w:t>
      </w:r>
      <w:r w:rsidR="001D47A4" w:rsidRPr="00C4102E">
        <w:rPr>
          <w:rFonts w:ascii="ITC Avant Garde" w:hAnsi="ITC Avant Garde"/>
        </w:rPr>
        <w:t xml:space="preserve"> </w:t>
      </w:r>
      <w:r w:rsidR="00C4102E" w:rsidRPr="00C4102E">
        <w:rPr>
          <w:rFonts w:ascii="ITC Avant Garde" w:hAnsi="ITC Avant Garde"/>
        </w:rPr>
        <w:t xml:space="preserve">Así lo acordó y firma el Pleno del Instituto Federal de Telecomunicaciones, con fundamento en los artículos citados anteriormente, así como </w:t>
      </w:r>
      <w:r w:rsidR="00C4102E" w:rsidRPr="00C4102E">
        <w:rPr>
          <w:rFonts w:ascii="ITC Avant Garde" w:hAnsi="ITC Avant Garde"/>
        </w:rPr>
        <w:lastRenderedPageBreak/>
        <w:t>en los artículos 65, fracción I, 66, fracción VIII, del Reglamento de la Ley Federal de Competencia Económica.</w:t>
      </w:r>
    </w:p>
    <w:p w:rsidR="00170B19" w:rsidRPr="002F1555" w:rsidRDefault="00170B19" w:rsidP="002F1555">
      <w:pPr>
        <w:spacing w:after="0" w:line="240" w:lineRule="auto"/>
        <w:jc w:val="both"/>
        <w:rPr>
          <w:rFonts w:ascii="ITC Avant Garde" w:hAnsi="ITC Avant Garde"/>
          <w:bCs/>
          <w:sz w:val="14"/>
          <w:lang w:val="es-ES" w:eastAsia="es-ES"/>
        </w:rPr>
      </w:pPr>
      <w:r w:rsidRPr="00170B19">
        <w:rPr>
          <w:rFonts w:ascii="ITC Avant Garde" w:hAnsi="ITC Avant Garde"/>
          <w:sz w:val="14"/>
          <w:lang w:val="es-ES" w:eastAsia="es-ES"/>
        </w:rPr>
        <w:t xml:space="preserve">El presente Acuerdo fue aprobado por el Pleno del Instituto Federal de Telecomunicaciones en su III Sesión Ordinaria celebrada el 31 de enero de 2018, por </w:t>
      </w:r>
      <w:r w:rsidRPr="00170B19">
        <w:rPr>
          <w:rFonts w:ascii="ITC Avant Garde" w:hAnsi="ITC Avant Garde"/>
          <w:bCs/>
          <w:sz w:val="14"/>
          <w:lang w:val="es-ES" w:eastAsia="es-ES"/>
        </w:rPr>
        <w:t>unanimidad</w:t>
      </w:r>
      <w:r w:rsidRPr="00170B19">
        <w:rPr>
          <w:rFonts w:ascii="ITC Avant Garde" w:hAnsi="ITC Avant Garde"/>
          <w:sz w:val="14"/>
          <w:lang w:val="es-ES" w:eastAsia="es-ES"/>
        </w:rPr>
        <w:t xml:space="preserve"> de votos de los Comisionados Gabriel Oswaldo Contreras Saldívar, Adriana Sofía Labardini Inzunza, </w:t>
      </w:r>
      <w:r w:rsidRPr="00170B19">
        <w:rPr>
          <w:rFonts w:ascii="ITC Avant Garde" w:hAnsi="ITC Avant Garde"/>
          <w:sz w:val="14"/>
          <w:lang w:eastAsia="es-MX"/>
        </w:rPr>
        <w:t>María Elena Estavillo Flores, Mario Germán Fromow Rangel, Adolfo Cuevas Teja, Javier Juárez Mojica y Arturo Robles Rovalo; con fundamento en los párrafos vigésimo, fracciones I y III; y vigésimo primero, del artículo 28 de la Constitución Política de los Estados Unidos Mexicanos; artículos 7, 16 y 45 de la Ley Federal de Telecomunicaciones y Radiodifusión; 5 y 18 de la Ley Federal de Competencia Económica; así como en los artículos 1, 7, 8 y 12 del Estatuto Orgánico del Instituto Federal de Telecomunicaciones, mediante Acuerdo P/IFT/310118/81.</w:t>
      </w:r>
    </w:p>
    <w:sectPr w:rsidR="00170B19" w:rsidRPr="002F1555" w:rsidSect="00926AD0">
      <w:headerReference w:type="default" r:id="rId11"/>
      <w:footerReference w:type="default" r:id="rId12"/>
      <w:pgSz w:w="12240" w:h="15840"/>
      <w:pgMar w:top="1985"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24E" w:rsidRDefault="00EC024E" w:rsidP="00636955">
      <w:pPr>
        <w:spacing w:after="0" w:line="240" w:lineRule="auto"/>
      </w:pPr>
      <w:r>
        <w:separator/>
      </w:r>
    </w:p>
  </w:endnote>
  <w:endnote w:type="continuationSeparator" w:id="0">
    <w:p w:rsidR="00EC024E" w:rsidRDefault="00EC024E" w:rsidP="0063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457950"/>
      <w:docPartObj>
        <w:docPartGallery w:val="Page Numbers (Bottom of Page)"/>
        <w:docPartUnique/>
      </w:docPartObj>
    </w:sdtPr>
    <w:sdtEndPr/>
    <w:sdtContent>
      <w:p w:rsidR="001E09AE" w:rsidRPr="002A4271" w:rsidRDefault="001E09AE" w:rsidP="002A4271">
        <w:pPr>
          <w:pStyle w:val="Piedepgina"/>
          <w:tabs>
            <w:tab w:val="clear" w:pos="8838"/>
          </w:tabs>
          <w:jc w:val="right"/>
          <w:rPr>
            <w:rFonts w:ascii="ITC Avant Garde" w:hAnsi="ITC Avant Garde"/>
            <w:sz w:val="16"/>
            <w:szCs w:val="16"/>
          </w:rPr>
        </w:pPr>
        <w:r w:rsidRPr="000C38B8">
          <w:rPr>
            <w:rFonts w:ascii="ITC Avant Garde" w:hAnsi="ITC Avant Garde"/>
            <w:sz w:val="16"/>
            <w:szCs w:val="16"/>
            <w:lang w:val="es-ES"/>
          </w:rPr>
          <w:t xml:space="preserve">Página </w:t>
        </w:r>
        <w:r w:rsidRPr="000C38B8">
          <w:rPr>
            <w:rFonts w:ascii="ITC Avant Garde" w:hAnsi="ITC Avant Garde"/>
            <w:bCs/>
            <w:sz w:val="16"/>
            <w:szCs w:val="16"/>
          </w:rPr>
          <w:fldChar w:fldCharType="begin"/>
        </w:r>
        <w:r w:rsidRPr="000C38B8">
          <w:rPr>
            <w:rFonts w:ascii="ITC Avant Garde" w:hAnsi="ITC Avant Garde"/>
            <w:bCs/>
            <w:sz w:val="16"/>
            <w:szCs w:val="16"/>
          </w:rPr>
          <w:instrText>PAGE</w:instrText>
        </w:r>
        <w:r w:rsidRPr="000C38B8">
          <w:rPr>
            <w:rFonts w:ascii="ITC Avant Garde" w:hAnsi="ITC Avant Garde"/>
            <w:bCs/>
            <w:sz w:val="16"/>
            <w:szCs w:val="16"/>
          </w:rPr>
          <w:fldChar w:fldCharType="separate"/>
        </w:r>
        <w:r w:rsidR="002F1555">
          <w:rPr>
            <w:rFonts w:ascii="ITC Avant Garde" w:hAnsi="ITC Avant Garde"/>
            <w:bCs/>
            <w:noProof/>
            <w:sz w:val="16"/>
            <w:szCs w:val="16"/>
          </w:rPr>
          <w:t>2</w:t>
        </w:r>
        <w:r w:rsidRPr="000C38B8">
          <w:rPr>
            <w:rFonts w:ascii="ITC Avant Garde" w:hAnsi="ITC Avant Garde"/>
            <w:bCs/>
            <w:sz w:val="16"/>
            <w:szCs w:val="16"/>
          </w:rPr>
          <w:fldChar w:fldCharType="end"/>
        </w:r>
        <w:r w:rsidRPr="000C38B8">
          <w:rPr>
            <w:rFonts w:ascii="ITC Avant Garde" w:hAnsi="ITC Avant Garde"/>
            <w:sz w:val="16"/>
            <w:szCs w:val="16"/>
            <w:lang w:val="es-ES"/>
          </w:rPr>
          <w:t xml:space="preserve"> de </w:t>
        </w:r>
        <w:r w:rsidRPr="000C38B8">
          <w:rPr>
            <w:rFonts w:ascii="ITC Avant Garde" w:hAnsi="ITC Avant Garde"/>
            <w:bCs/>
            <w:sz w:val="16"/>
            <w:szCs w:val="16"/>
          </w:rPr>
          <w:fldChar w:fldCharType="begin"/>
        </w:r>
        <w:r w:rsidRPr="000C38B8">
          <w:rPr>
            <w:rFonts w:ascii="ITC Avant Garde" w:hAnsi="ITC Avant Garde"/>
            <w:bCs/>
            <w:sz w:val="16"/>
            <w:szCs w:val="16"/>
          </w:rPr>
          <w:instrText>NUMPAGES</w:instrText>
        </w:r>
        <w:r w:rsidRPr="000C38B8">
          <w:rPr>
            <w:rFonts w:ascii="ITC Avant Garde" w:hAnsi="ITC Avant Garde"/>
            <w:bCs/>
            <w:sz w:val="16"/>
            <w:szCs w:val="16"/>
          </w:rPr>
          <w:fldChar w:fldCharType="separate"/>
        </w:r>
        <w:r w:rsidR="002F1555">
          <w:rPr>
            <w:rFonts w:ascii="ITC Avant Garde" w:hAnsi="ITC Avant Garde"/>
            <w:bCs/>
            <w:noProof/>
            <w:sz w:val="16"/>
            <w:szCs w:val="16"/>
          </w:rPr>
          <w:t>13</w:t>
        </w:r>
        <w:r w:rsidRPr="000C38B8">
          <w:rPr>
            <w:rFonts w:ascii="ITC Avant Garde" w:hAnsi="ITC Avant Garde"/>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24E" w:rsidRDefault="00EC024E" w:rsidP="00636955">
      <w:pPr>
        <w:spacing w:after="0" w:line="240" w:lineRule="auto"/>
      </w:pPr>
      <w:r>
        <w:separator/>
      </w:r>
    </w:p>
  </w:footnote>
  <w:footnote w:type="continuationSeparator" w:id="0">
    <w:p w:rsidR="00EC024E" w:rsidRDefault="00EC024E" w:rsidP="00636955">
      <w:pPr>
        <w:spacing w:after="0" w:line="240" w:lineRule="auto"/>
      </w:pPr>
      <w:r>
        <w:continuationSeparator/>
      </w:r>
    </w:p>
  </w:footnote>
  <w:footnote w:id="1">
    <w:p w:rsidR="001E09AE" w:rsidRPr="00B4325A" w:rsidDel="00416CFE" w:rsidRDefault="001E09AE" w:rsidP="00C4102E">
      <w:pPr>
        <w:pStyle w:val="Textonotapie"/>
        <w:rPr>
          <w:rFonts w:ascii="ITC Avant Garde" w:hAnsi="ITC Avant Garde"/>
          <w:sz w:val="18"/>
          <w:szCs w:val="18"/>
        </w:rPr>
      </w:pPr>
      <w:r w:rsidRPr="00B4325A" w:rsidDel="00416CFE">
        <w:rPr>
          <w:rStyle w:val="Refdenotaalpie"/>
          <w:rFonts w:ascii="ITC Avant Garde" w:hAnsi="ITC Avant Garde"/>
          <w:sz w:val="18"/>
          <w:szCs w:val="18"/>
        </w:rPr>
        <w:footnoteRef/>
      </w:r>
      <w:r w:rsidRPr="00B4325A" w:rsidDel="00416CFE">
        <w:rPr>
          <w:rFonts w:ascii="ITC Avant Garde" w:hAnsi="ITC Avant Garde"/>
          <w:sz w:val="18"/>
          <w:szCs w:val="18"/>
        </w:rPr>
        <w:t xml:space="preserve"> La versión pública se encuentra disponible en la página de Internet de Instituto en la siguiente dirección: </w:t>
      </w:r>
      <w:r w:rsidRPr="002F1555" w:rsidDel="00416CFE">
        <w:rPr>
          <w:rFonts w:ascii="ITC Avant Garde" w:hAnsi="ITC Avant Garde"/>
          <w:sz w:val="18"/>
          <w:szCs w:val="18"/>
        </w:rPr>
        <w:t>http://apps.ift.org.mx/publicdata/P_IFT_EXT_170214_70_Version_Publica_UCE.pdf</w:t>
      </w:r>
      <w:r w:rsidRPr="00B4325A" w:rsidDel="00416CFE">
        <w:rPr>
          <w:rFonts w:ascii="ITC Avant Garde" w:hAnsi="ITC Avant Garde"/>
          <w:sz w:val="18"/>
          <w:szCs w:val="18"/>
        </w:rPr>
        <w:t xml:space="preserve">. </w:t>
      </w:r>
    </w:p>
  </w:footnote>
  <w:footnote w:id="2">
    <w:p w:rsidR="001E09AE" w:rsidRPr="00B4325A" w:rsidDel="00416CFE" w:rsidRDefault="001E09AE" w:rsidP="00C4102E">
      <w:pPr>
        <w:pStyle w:val="Textonotapie"/>
        <w:rPr>
          <w:rFonts w:ascii="ITC Avant Garde" w:hAnsi="ITC Avant Garde"/>
          <w:sz w:val="18"/>
          <w:szCs w:val="18"/>
        </w:rPr>
      </w:pPr>
      <w:r w:rsidRPr="00B4325A" w:rsidDel="00416CFE">
        <w:rPr>
          <w:rStyle w:val="Refdenotaalpie"/>
          <w:rFonts w:ascii="ITC Avant Garde" w:hAnsi="ITC Avant Garde"/>
          <w:sz w:val="18"/>
          <w:szCs w:val="18"/>
        </w:rPr>
        <w:footnoteRef/>
      </w:r>
      <w:r w:rsidRPr="00B4325A" w:rsidDel="00416CFE">
        <w:rPr>
          <w:rFonts w:ascii="ITC Avant Garde" w:hAnsi="ITC Avant Garde"/>
          <w:sz w:val="18"/>
          <w:szCs w:val="18"/>
        </w:rPr>
        <w:t xml:space="preserve"> La versión pública se encuentra disponible en la página de Internet de Instituto en la siguiente dirección: </w:t>
      </w:r>
      <w:r w:rsidR="00BE3D42" w:rsidRPr="002F1555">
        <w:rPr>
          <w:rFonts w:ascii="ITC Avant Garde" w:hAnsi="ITC Avant Garde"/>
          <w:sz w:val="18"/>
          <w:szCs w:val="18"/>
        </w:rPr>
        <w:t>http://apps.ift.org.mx/publicdata/Version_Publica_UCE_P_IFT_EXT_011215_179.pdf</w:t>
      </w:r>
      <w:r w:rsidR="00BE3D42">
        <w:rPr>
          <w:rFonts w:ascii="ITC Avant Garde" w:hAnsi="ITC Avant Garde"/>
          <w:sz w:val="18"/>
          <w:szCs w:val="18"/>
        </w:rPr>
        <w:t>.</w:t>
      </w:r>
    </w:p>
  </w:footnote>
  <w:footnote w:id="3">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12 de la Ejecutoria Cablevisión 55/2014.</w:t>
      </w:r>
    </w:p>
  </w:footnote>
  <w:footnote w:id="4">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18 de la Ejecutoria Cablevisión 55/2014.</w:t>
      </w:r>
    </w:p>
  </w:footnote>
  <w:footnote w:id="5">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Páginas 18 y 19 de la Ejecutoria Cablevisión 55/2014.</w:t>
      </w:r>
    </w:p>
  </w:footnote>
  <w:footnote w:id="6">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19 de la Ejecutoria Cablevisión 55/2014.</w:t>
      </w:r>
    </w:p>
  </w:footnote>
  <w:footnote w:id="7">
    <w:p w:rsidR="001E09AE" w:rsidRPr="00C4102E" w:rsidRDefault="001E09AE" w:rsidP="005D43F1">
      <w:pPr>
        <w:spacing w:after="0" w:line="240" w:lineRule="auto"/>
        <w:jc w:val="both"/>
        <w:rPr>
          <w:rFonts w:ascii="ITC Avant Garde" w:hAnsi="ITC Avant Garde"/>
          <w:bCs/>
          <w:i/>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El Acuerdo Cablevisión se dictó en los siguientes términos: “</w:t>
      </w:r>
      <w:proofErr w:type="gramStart"/>
      <w:r w:rsidR="006F3683">
        <w:rPr>
          <w:rFonts w:ascii="ITC Avant Garde" w:hAnsi="ITC Avant Garde"/>
          <w:b/>
          <w:i/>
          <w:sz w:val="18"/>
          <w:szCs w:val="18"/>
        </w:rPr>
        <w:t>Primero.</w:t>
      </w:r>
      <w:r w:rsidR="006F3683" w:rsidRPr="00C4102E">
        <w:rPr>
          <w:rFonts w:ascii="ITC Avant Garde" w:hAnsi="ITC Avant Garde"/>
          <w:b/>
          <w:i/>
          <w:sz w:val="18"/>
          <w:szCs w:val="18"/>
        </w:rPr>
        <w:t>-</w:t>
      </w:r>
      <w:proofErr w:type="gramEnd"/>
      <w:r w:rsidRPr="00C4102E">
        <w:rPr>
          <w:rFonts w:ascii="ITC Avant Garde" w:hAnsi="ITC Avant Garde"/>
          <w:i/>
          <w:sz w:val="18"/>
          <w:szCs w:val="18"/>
        </w:rPr>
        <w:t xml:space="preserve"> Se tiene por presentado el escrito de Cablevisión y por hechas las manifestaciones contenidas en el mismo.</w:t>
      </w:r>
      <w:r w:rsidRPr="00C4102E">
        <w:rPr>
          <w:rFonts w:ascii="ITC Avant Garde" w:hAnsi="ITC Avant Garde"/>
          <w:b/>
          <w:i/>
          <w:sz w:val="18"/>
          <w:szCs w:val="18"/>
        </w:rPr>
        <w:t xml:space="preserve"> </w:t>
      </w:r>
      <w:proofErr w:type="gramStart"/>
      <w:r w:rsidR="006F3683" w:rsidRPr="00C4102E">
        <w:rPr>
          <w:rFonts w:ascii="ITC Avant Garde" w:hAnsi="ITC Avant Garde"/>
          <w:b/>
          <w:i/>
          <w:sz w:val="18"/>
          <w:szCs w:val="18"/>
        </w:rPr>
        <w:t>Segundo</w:t>
      </w:r>
      <w:r w:rsidR="006F3683" w:rsidRPr="00C4102E">
        <w:rPr>
          <w:rFonts w:ascii="ITC Avant Garde" w:hAnsi="ITC Avant Garde"/>
          <w:i/>
          <w:sz w:val="18"/>
          <w:szCs w:val="18"/>
        </w:rPr>
        <w:t>.-</w:t>
      </w:r>
      <w:proofErr w:type="gramEnd"/>
      <w:r w:rsidRPr="00C4102E">
        <w:rPr>
          <w:rFonts w:ascii="ITC Avant Garde" w:hAnsi="ITC Avant Garde"/>
          <w:i/>
          <w:sz w:val="18"/>
          <w:szCs w:val="18"/>
        </w:rPr>
        <w:t xml:space="preserve"> Dígase al </w:t>
      </w:r>
      <w:proofErr w:type="spellStart"/>
      <w:r w:rsidRPr="00C4102E">
        <w:rPr>
          <w:rFonts w:ascii="ITC Avant Garde" w:hAnsi="ITC Avant Garde"/>
          <w:i/>
          <w:sz w:val="18"/>
          <w:szCs w:val="18"/>
        </w:rPr>
        <w:t>promovente</w:t>
      </w:r>
      <w:proofErr w:type="spellEnd"/>
      <w:r w:rsidRPr="00C4102E">
        <w:rPr>
          <w:rFonts w:ascii="ITC Avant Garde" w:hAnsi="ITC Avant Garde"/>
          <w:bCs/>
          <w:i/>
          <w:sz w:val="18"/>
          <w:szCs w:val="18"/>
        </w:rPr>
        <w:t>, que conforme a lo dispuesto en el artículo 28, párrafo veinte, fracción VII, de la Constitución Política de los Estados Unidos Mexicanos, los actos emitidos por el instituto únicamente pueden ser impugnados mediante el juicio de amparo indirecto.</w:t>
      </w:r>
    </w:p>
    <w:p w:rsidR="001E09AE" w:rsidRPr="00C4102E" w:rsidRDefault="001E09AE" w:rsidP="005D43F1">
      <w:pPr>
        <w:pStyle w:val="Textonotapie"/>
        <w:rPr>
          <w:rFonts w:ascii="ITC Avant Garde" w:hAnsi="ITC Avant Garde"/>
        </w:rPr>
      </w:pPr>
      <w:r w:rsidRPr="00C4102E">
        <w:rPr>
          <w:rFonts w:ascii="ITC Avant Garde" w:hAnsi="ITC Avant Garde"/>
          <w:bCs/>
          <w:i/>
          <w:sz w:val="18"/>
          <w:szCs w:val="18"/>
        </w:rPr>
        <w:t>Conforme a lo anterior, el juicio de nulidad interpuesto por Cablevisión no es la vía para cuestionar la legalidad de los actos de este Instituto. Lo anterior sin perjuicio de la jurisdicción que pueda tener el TFJFA sobre los actos del SAT, los cuales no tienen relación alguna con los actos emitidos por este Instituto.</w:t>
      </w:r>
      <w:r w:rsidRPr="00C4102E">
        <w:rPr>
          <w:rFonts w:ascii="ITC Avant Garde" w:hAnsi="ITC Avant Garde"/>
          <w:bCs/>
          <w:sz w:val="18"/>
          <w:szCs w:val="18"/>
        </w:rPr>
        <w:t>”</w:t>
      </w:r>
    </w:p>
  </w:footnote>
  <w:footnote w:id="8">
    <w:p w:rsidR="001E09AE" w:rsidRPr="00C4102E" w:rsidRDefault="001E09AE" w:rsidP="0067737F">
      <w:pPr>
        <w:pStyle w:val="Textonotapie"/>
        <w:rPr>
          <w:rFonts w:ascii="ITC Avant Garde" w:hAnsi="ITC Avant Garde"/>
        </w:rPr>
      </w:pPr>
      <w:r w:rsidRPr="00C4102E">
        <w:rPr>
          <w:rStyle w:val="Refdenotaalpie"/>
          <w:rFonts w:ascii="ITC Avant Garde" w:hAnsi="ITC Avant Garde"/>
          <w:sz w:val="18"/>
        </w:rPr>
        <w:footnoteRef/>
      </w:r>
      <w:r w:rsidRPr="00C4102E">
        <w:rPr>
          <w:rFonts w:ascii="ITC Avant Garde" w:hAnsi="ITC Avant Garde"/>
          <w:sz w:val="18"/>
        </w:rPr>
        <w:t xml:space="preserve"> Página 37 de la Ejecutoria Cablevisión 106/2017.</w:t>
      </w:r>
    </w:p>
  </w:footnote>
  <w:footnote w:id="9">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37 de la Ejecutoria Cablevisión 106/2017.</w:t>
      </w:r>
    </w:p>
  </w:footnote>
  <w:footnote w:id="10">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38 de la Ejecutoria Cablevisión 106/2017.</w:t>
      </w:r>
    </w:p>
  </w:footnote>
  <w:footnote w:id="11">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38 de la Ejecutoria Cablevisión 106/2017. </w:t>
      </w:r>
    </w:p>
  </w:footnote>
  <w:footnote w:id="12">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40 de la Ejecutoria Cablevisión 106/2017. </w:t>
      </w:r>
    </w:p>
  </w:footnote>
  <w:footnote w:id="13">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40 de la Ejecutoria Cablevisión 106/2017.</w:t>
      </w:r>
    </w:p>
  </w:footnote>
  <w:footnote w:id="14">
    <w:p w:rsidR="001E09AE" w:rsidRPr="00C4102E" w:rsidRDefault="001E09AE" w:rsidP="0067737F">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40 de la Ejecutoria Cablevisión 106/2017.</w:t>
      </w:r>
    </w:p>
  </w:footnote>
  <w:footnote w:id="15">
    <w:p w:rsidR="001E09AE" w:rsidRPr="00C4102E" w:rsidRDefault="001E09AE" w:rsidP="00C4102E">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Publicado en el Diario Oficial de la Federación el doce de octubre de dos mil siete.</w:t>
      </w:r>
    </w:p>
  </w:footnote>
  <w:footnote w:id="16">
    <w:p w:rsidR="001E09AE" w:rsidRPr="00C4102E" w:rsidRDefault="001E09AE" w:rsidP="005D43F1">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35 de la Ejecutoria Cablevisión 7/2017.</w:t>
      </w:r>
    </w:p>
  </w:footnote>
  <w:footnote w:id="17">
    <w:p w:rsidR="001E09AE" w:rsidRPr="00C4102E" w:rsidRDefault="001E09AE" w:rsidP="005D43F1">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35 de la Ejecutoria Cablevisión 7/2017.</w:t>
      </w:r>
    </w:p>
  </w:footnote>
  <w:footnote w:id="18">
    <w:p w:rsidR="001E09AE" w:rsidRPr="00C4102E" w:rsidRDefault="001E09AE" w:rsidP="005D43F1">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38 de la Ejecutoria Cablevisión 7/2017.</w:t>
      </w:r>
    </w:p>
  </w:footnote>
  <w:footnote w:id="19">
    <w:p w:rsidR="00F601C8" w:rsidRDefault="00F601C8">
      <w:pPr>
        <w:pStyle w:val="Textonotapie"/>
      </w:pPr>
      <w:r w:rsidRPr="003649FE">
        <w:rPr>
          <w:rStyle w:val="Refdenotaalpie"/>
          <w:rFonts w:ascii="ITC Avant Garde" w:hAnsi="ITC Avant Garde"/>
          <w:sz w:val="18"/>
          <w:szCs w:val="18"/>
        </w:rPr>
        <w:footnoteRef/>
      </w:r>
      <w:r>
        <w:t xml:space="preserve"> </w:t>
      </w:r>
      <w:r>
        <w:rPr>
          <w:rFonts w:ascii="ITC Avant Garde" w:hAnsi="ITC Avant Garde"/>
          <w:sz w:val="18"/>
          <w:szCs w:val="18"/>
        </w:rPr>
        <w:t>Página 39</w:t>
      </w:r>
      <w:r w:rsidRPr="00C4102E">
        <w:rPr>
          <w:rFonts w:ascii="ITC Avant Garde" w:hAnsi="ITC Avant Garde"/>
          <w:sz w:val="18"/>
          <w:szCs w:val="18"/>
        </w:rPr>
        <w:t xml:space="preserve"> de la Ejecutoria Cablevisión 7/2017</w:t>
      </w:r>
    </w:p>
  </w:footnote>
  <w:footnote w:id="20">
    <w:p w:rsidR="001E09AE" w:rsidRPr="00C4102E" w:rsidRDefault="001E09AE" w:rsidP="005D43F1">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38 de la Ejecutoria Cablevisión 7/2017.</w:t>
      </w:r>
    </w:p>
  </w:footnote>
  <w:footnote w:id="21">
    <w:p w:rsidR="001E09AE" w:rsidRPr="00C4102E" w:rsidRDefault="001E09AE">
      <w:pPr>
        <w:pStyle w:val="Textonotapie"/>
        <w:rPr>
          <w:rFonts w:ascii="ITC Avant Garde" w:hAnsi="ITC Avant Garde"/>
        </w:rPr>
      </w:pPr>
      <w:r w:rsidRPr="00C4102E">
        <w:rPr>
          <w:rStyle w:val="Refdenotaalpie"/>
          <w:rFonts w:ascii="ITC Avant Garde" w:hAnsi="ITC Avant Garde"/>
          <w:sz w:val="18"/>
        </w:rPr>
        <w:footnoteRef/>
      </w:r>
      <w:r w:rsidRPr="00C4102E">
        <w:rPr>
          <w:rFonts w:ascii="ITC Avant Garde" w:hAnsi="ITC Avant Garde"/>
          <w:sz w:val="18"/>
        </w:rPr>
        <w:t xml:space="preserve"> Página 36 de la Ejecutoria Cablevisión 7/2017.</w:t>
      </w:r>
    </w:p>
  </w:footnote>
  <w:footnote w:id="22">
    <w:p w:rsidR="001E09AE" w:rsidRPr="00C4102E" w:rsidRDefault="001E09AE" w:rsidP="00E63079">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Página 38 de la Ejecutoria Cablevisión 7/2017.</w:t>
      </w:r>
    </w:p>
  </w:footnote>
  <w:footnote w:id="23">
    <w:p w:rsidR="001E09AE" w:rsidRPr="00C4102E" w:rsidRDefault="001E09AE" w:rsidP="00C4102E">
      <w:pPr>
        <w:pStyle w:val="Textonotapie"/>
        <w:rPr>
          <w:rFonts w:ascii="ITC Avant Garde" w:hAnsi="ITC Avant Garde"/>
          <w:sz w:val="18"/>
          <w:szCs w:val="18"/>
        </w:rPr>
      </w:pPr>
      <w:r w:rsidRPr="00C4102E">
        <w:rPr>
          <w:rStyle w:val="Refdenotaalpie"/>
          <w:rFonts w:ascii="ITC Avant Garde" w:hAnsi="ITC Avant Garde"/>
          <w:sz w:val="18"/>
          <w:szCs w:val="18"/>
        </w:rPr>
        <w:footnoteRef/>
      </w:r>
      <w:r w:rsidRPr="00C4102E">
        <w:rPr>
          <w:rFonts w:ascii="ITC Avant Garde" w:hAnsi="ITC Avant Garde"/>
          <w:sz w:val="18"/>
          <w:szCs w:val="18"/>
        </w:rPr>
        <w:t xml:space="preserve"> Publicado en el DOF el cuatro de septiembre de dos mil catorce, cuya última modificación fue publicado en el DOF el veinte de julio de dos mil diecisiete.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9AE" w:rsidRDefault="001E09AE" w:rsidP="00926AD0">
    <w:pPr>
      <w:spacing w:after="0" w:line="240" w:lineRule="auto"/>
      <w:ind w:right="4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C32"/>
    <w:multiLevelType w:val="hybridMultilevel"/>
    <w:tmpl w:val="3530F8E0"/>
    <w:lvl w:ilvl="0" w:tplc="D45C5206">
      <w:start w:val="1"/>
      <w:numFmt w:val="lowerRoman"/>
      <w:lvlText w:val="(%1)"/>
      <w:lvlJc w:val="left"/>
      <w:pPr>
        <w:ind w:left="1428"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086752"/>
    <w:multiLevelType w:val="hybridMultilevel"/>
    <w:tmpl w:val="DDE40912"/>
    <w:lvl w:ilvl="0" w:tplc="3FA642CC">
      <w:start w:val="1"/>
      <w:numFmt w:val="ordinalText"/>
      <w:suff w:val="space"/>
      <w:lvlText w:val="%1.-"/>
      <w:lvlJc w:val="left"/>
      <w:pPr>
        <w:ind w:left="0" w:firstLine="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B107A3"/>
    <w:multiLevelType w:val="hybridMultilevel"/>
    <w:tmpl w:val="3FA273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4C4DCC"/>
    <w:multiLevelType w:val="hybridMultilevel"/>
    <w:tmpl w:val="C390FEC6"/>
    <w:lvl w:ilvl="0" w:tplc="117E82F2">
      <w:start w:val="1"/>
      <w:numFmt w:val="ordinalText"/>
      <w:suff w:val="space"/>
      <w:lvlText w:val="%1.-"/>
      <w:lvlJc w:val="left"/>
      <w:pPr>
        <w:ind w:left="709" w:firstLine="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17383E"/>
    <w:multiLevelType w:val="hybridMultilevel"/>
    <w:tmpl w:val="ADFE8838"/>
    <w:lvl w:ilvl="0" w:tplc="254C38E8">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A63EE7"/>
    <w:multiLevelType w:val="hybridMultilevel"/>
    <w:tmpl w:val="4C4C6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F2C12A4"/>
    <w:multiLevelType w:val="hybridMultilevel"/>
    <w:tmpl w:val="ACEED1AA"/>
    <w:lvl w:ilvl="0" w:tplc="D4A8C8F4">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214F3"/>
    <w:multiLevelType w:val="hybridMultilevel"/>
    <w:tmpl w:val="E35830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1359D8"/>
    <w:multiLevelType w:val="hybridMultilevel"/>
    <w:tmpl w:val="89ECA550"/>
    <w:lvl w:ilvl="0" w:tplc="8B96A40E">
      <w:start w:val="1"/>
      <w:numFmt w:val="ordinalText"/>
      <w:lvlText w:val="%1.-"/>
      <w:lvlJc w:val="left"/>
      <w:pPr>
        <w:ind w:left="720" w:hanging="36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CEA6AA8"/>
    <w:multiLevelType w:val="hybridMultilevel"/>
    <w:tmpl w:val="F1224B06"/>
    <w:lvl w:ilvl="0" w:tplc="13FAB00A">
      <w:start w:val="1"/>
      <w:numFmt w:val="ordinalText"/>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4"/>
  </w:num>
  <w:num w:numId="6">
    <w:abstractNumId w:val="1"/>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55"/>
    <w:rsid w:val="00002871"/>
    <w:rsid w:val="000143FC"/>
    <w:rsid w:val="000173B3"/>
    <w:rsid w:val="000217D1"/>
    <w:rsid w:val="00031E2D"/>
    <w:rsid w:val="00032C45"/>
    <w:rsid w:val="00036B30"/>
    <w:rsid w:val="00036C35"/>
    <w:rsid w:val="0004311F"/>
    <w:rsid w:val="00047DEC"/>
    <w:rsid w:val="00077361"/>
    <w:rsid w:val="00082F6A"/>
    <w:rsid w:val="000B5D34"/>
    <w:rsid w:val="000B7C2E"/>
    <w:rsid w:val="000C2D4F"/>
    <w:rsid w:val="000D0F1A"/>
    <w:rsid w:val="000E0C83"/>
    <w:rsid w:val="000F28C7"/>
    <w:rsid w:val="000F4368"/>
    <w:rsid w:val="000F6B40"/>
    <w:rsid w:val="00106356"/>
    <w:rsid w:val="00110475"/>
    <w:rsid w:val="001245BF"/>
    <w:rsid w:val="00131BF9"/>
    <w:rsid w:val="00143806"/>
    <w:rsid w:val="001451C4"/>
    <w:rsid w:val="001474FF"/>
    <w:rsid w:val="00161622"/>
    <w:rsid w:val="001631AA"/>
    <w:rsid w:val="00163486"/>
    <w:rsid w:val="00170B19"/>
    <w:rsid w:val="00170B5E"/>
    <w:rsid w:val="00173E9B"/>
    <w:rsid w:val="001775A4"/>
    <w:rsid w:val="00193CC4"/>
    <w:rsid w:val="001A495F"/>
    <w:rsid w:val="001A5D04"/>
    <w:rsid w:val="001A5F21"/>
    <w:rsid w:val="001A61F9"/>
    <w:rsid w:val="001B0BA8"/>
    <w:rsid w:val="001B5968"/>
    <w:rsid w:val="001B7F4F"/>
    <w:rsid w:val="001C49F1"/>
    <w:rsid w:val="001D3E04"/>
    <w:rsid w:val="001D47A4"/>
    <w:rsid w:val="001E09AE"/>
    <w:rsid w:val="001F67DF"/>
    <w:rsid w:val="002010C5"/>
    <w:rsid w:val="00204481"/>
    <w:rsid w:val="00207082"/>
    <w:rsid w:val="002320B5"/>
    <w:rsid w:val="002353F5"/>
    <w:rsid w:val="00244CD7"/>
    <w:rsid w:val="00250A72"/>
    <w:rsid w:val="0025386B"/>
    <w:rsid w:val="00254CA4"/>
    <w:rsid w:val="002568C3"/>
    <w:rsid w:val="00266F6C"/>
    <w:rsid w:val="00273A60"/>
    <w:rsid w:val="0027437D"/>
    <w:rsid w:val="00276D3C"/>
    <w:rsid w:val="002A2489"/>
    <w:rsid w:val="002A2FE6"/>
    <w:rsid w:val="002A4271"/>
    <w:rsid w:val="002A46F1"/>
    <w:rsid w:val="002A6130"/>
    <w:rsid w:val="002B1DE6"/>
    <w:rsid w:val="002B4512"/>
    <w:rsid w:val="002B4954"/>
    <w:rsid w:val="002C1A2C"/>
    <w:rsid w:val="002C3372"/>
    <w:rsid w:val="002C6973"/>
    <w:rsid w:val="002D2423"/>
    <w:rsid w:val="002D516A"/>
    <w:rsid w:val="002D5B2A"/>
    <w:rsid w:val="002E3F37"/>
    <w:rsid w:val="002F01FB"/>
    <w:rsid w:val="002F1555"/>
    <w:rsid w:val="002F2A2F"/>
    <w:rsid w:val="00300B6D"/>
    <w:rsid w:val="003026B9"/>
    <w:rsid w:val="0032029B"/>
    <w:rsid w:val="00333362"/>
    <w:rsid w:val="00344E5E"/>
    <w:rsid w:val="00346771"/>
    <w:rsid w:val="00355F6B"/>
    <w:rsid w:val="00364583"/>
    <w:rsid w:val="003649FE"/>
    <w:rsid w:val="00367E79"/>
    <w:rsid w:val="003707F3"/>
    <w:rsid w:val="00374B3E"/>
    <w:rsid w:val="003851E8"/>
    <w:rsid w:val="003A6C3B"/>
    <w:rsid w:val="003E29E7"/>
    <w:rsid w:val="003E684B"/>
    <w:rsid w:val="003F17C2"/>
    <w:rsid w:val="003F648A"/>
    <w:rsid w:val="00405FE0"/>
    <w:rsid w:val="0043287C"/>
    <w:rsid w:val="00433C4F"/>
    <w:rsid w:val="0043704B"/>
    <w:rsid w:val="00437EB2"/>
    <w:rsid w:val="0045327C"/>
    <w:rsid w:val="00460665"/>
    <w:rsid w:val="00460CF0"/>
    <w:rsid w:val="00466D7E"/>
    <w:rsid w:val="0047055F"/>
    <w:rsid w:val="0047313E"/>
    <w:rsid w:val="0047409F"/>
    <w:rsid w:val="00490951"/>
    <w:rsid w:val="004A6599"/>
    <w:rsid w:val="004A68AC"/>
    <w:rsid w:val="004B10B9"/>
    <w:rsid w:val="004B2948"/>
    <w:rsid w:val="004B63F1"/>
    <w:rsid w:val="004D11AF"/>
    <w:rsid w:val="004D5BD0"/>
    <w:rsid w:val="004F3E14"/>
    <w:rsid w:val="004F65B1"/>
    <w:rsid w:val="00516033"/>
    <w:rsid w:val="00526581"/>
    <w:rsid w:val="00526F4C"/>
    <w:rsid w:val="00532D32"/>
    <w:rsid w:val="00546E3E"/>
    <w:rsid w:val="00557B43"/>
    <w:rsid w:val="00564D2A"/>
    <w:rsid w:val="00567456"/>
    <w:rsid w:val="00570CE8"/>
    <w:rsid w:val="00575829"/>
    <w:rsid w:val="0058670B"/>
    <w:rsid w:val="00593EA1"/>
    <w:rsid w:val="005B3416"/>
    <w:rsid w:val="005B69F8"/>
    <w:rsid w:val="005C6DC7"/>
    <w:rsid w:val="005C7D71"/>
    <w:rsid w:val="005D43F1"/>
    <w:rsid w:val="005E4FF8"/>
    <w:rsid w:val="005F59BF"/>
    <w:rsid w:val="006051DA"/>
    <w:rsid w:val="006066AE"/>
    <w:rsid w:val="0062256F"/>
    <w:rsid w:val="00624A35"/>
    <w:rsid w:val="00630D53"/>
    <w:rsid w:val="00636955"/>
    <w:rsid w:val="00656F3D"/>
    <w:rsid w:val="0066348E"/>
    <w:rsid w:val="0067439E"/>
    <w:rsid w:val="00675759"/>
    <w:rsid w:val="0067737F"/>
    <w:rsid w:val="00680371"/>
    <w:rsid w:val="00690D28"/>
    <w:rsid w:val="00693249"/>
    <w:rsid w:val="006A1ACE"/>
    <w:rsid w:val="006A1E9B"/>
    <w:rsid w:val="006A7460"/>
    <w:rsid w:val="006A7E8B"/>
    <w:rsid w:val="006B10DD"/>
    <w:rsid w:val="006B26F8"/>
    <w:rsid w:val="006D4880"/>
    <w:rsid w:val="006D4D12"/>
    <w:rsid w:val="006F3683"/>
    <w:rsid w:val="006F55D1"/>
    <w:rsid w:val="00710527"/>
    <w:rsid w:val="00710B3C"/>
    <w:rsid w:val="007265B4"/>
    <w:rsid w:val="00737205"/>
    <w:rsid w:val="00742C86"/>
    <w:rsid w:val="00750A7C"/>
    <w:rsid w:val="0075531B"/>
    <w:rsid w:val="007634A1"/>
    <w:rsid w:val="00775EB8"/>
    <w:rsid w:val="00790693"/>
    <w:rsid w:val="007A5A9F"/>
    <w:rsid w:val="007B52A7"/>
    <w:rsid w:val="007C1622"/>
    <w:rsid w:val="007F61FD"/>
    <w:rsid w:val="007F658F"/>
    <w:rsid w:val="00802465"/>
    <w:rsid w:val="0080286A"/>
    <w:rsid w:val="00811BD3"/>
    <w:rsid w:val="0081327C"/>
    <w:rsid w:val="00813E36"/>
    <w:rsid w:val="0082744F"/>
    <w:rsid w:val="00827C65"/>
    <w:rsid w:val="008305C0"/>
    <w:rsid w:val="0084728F"/>
    <w:rsid w:val="008527A9"/>
    <w:rsid w:val="00852B42"/>
    <w:rsid w:val="00866041"/>
    <w:rsid w:val="00872D04"/>
    <w:rsid w:val="00876620"/>
    <w:rsid w:val="00876BCA"/>
    <w:rsid w:val="00876EF3"/>
    <w:rsid w:val="008800F7"/>
    <w:rsid w:val="00880CF5"/>
    <w:rsid w:val="00886E28"/>
    <w:rsid w:val="00890209"/>
    <w:rsid w:val="00893316"/>
    <w:rsid w:val="008947F1"/>
    <w:rsid w:val="00895678"/>
    <w:rsid w:val="00897912"/>
    <w:rsid w:val="008B2DC6"/>
    <w:rsid w:val="008B2F9E"/>
    <w:rsid w:val="008B69DC"/>
    <w:rsid w:val="008C561C"/>
    <w:rsid w:val="008C6F21"/>
    <w:rsid w:val="008F29FD"/>
    <w:rsid w:val="008F5212"/>
    <w:rsid w:val="008F6083"/>
    <w:rsid w:val="008F753D"/>
    <w:rsid w:val="00900D6C"/>
    <w:rsid w:val="0090636F"/>
    <w:rsid w:val="009113E1"/>
    <w:rsid w:val="00914B42"/>
    <w:rsid w:val="00917AF3"/>
    <w:rsid w:val="00926AD0"/>
    <w:rsid w:val="00926F13"/>
    <w:rsid w:val="00927163"/>
    <w:rsid w:val="0093357A"/>
    <w:rsid w:val="00934A53"/>
    <w:rsid w:val="009410C3"/>
    <w:rsid w:val="00942485"/>
    <w:rsid w:val="00943F61"/>
    <w:rsid w:val="00944097"/>
    <w:rsid w:val="009452C2"/>
    <w:rsid w:val="00951B02"/>
    <w:rsid w:val="00955DF0"/>
    <w:rsid w:val="009622B6"/>
    <w:rsid w:val="00981C94"/>
    <w:rsid w:val="009950D8"/>
    <w:rsid w:val="00997727"/>
    <w:rsid w:val="009B31F9"/>
    <w:rsid w:val="009D13FC"/>
    <w:rsid w:val="009D631D"/>
    <w:rsid w:val="009D72D9"/>
    <w:rsid w:val="009D747B"/>
    <w:rsid w:val="009D7886"/>
    <w:rsid w:val="009E6E6B"/>
    <w:rsid w:val="009F3D07"/>
    <w:rsid w:val="009F4451"/>
    <w:rsid w:val="009F492E"/>
    <w:rsid w:val="009F5E96"/>
    <w:rsid w:val="00A067B7"/>
    <w:rsid w:val="00A13537"/>
    <w:rsid w:val="00A25C86"/>
    <w:rsid w:val="00A324BF"/>
    <w:rsid w:val="00A43083"/>
    <w:rsid w:val="00A56B42"/>
    <w:rsid w:val="00A70BA9"/>
    <w:rsid w:val="00A7235E"/>
    <w:rsid w:val="00A74192"/>
    <w:rsid w:val="00A77BE3"/>
    <w:rsid w:val="00A83B75"/>
    <w:rsid w:val="00A859D5"/>
    <w:rsid w:val="00A96FA9"/>
    <w:rsid w:val="00AB2A15"/>
    <w:rsid w:val="00AB6742"/>
    <w:rsid w:val="00AD2A7C"/>
    <w:rsid w:val="00AD73DF"/>
    <w:rsid w:val="00AE4782"/>
    <w:rsid w:val="00AF1504"/>
    <w:rsid w:val="00AF284B"/>
    <w:rsid w:val="00B263F7"/>
    <w:rsid w:val="00B3102D"/>
    <w:rsid w:val="00B322E0"/>
    <w:rsid w:val="00B40A4E"/>
    <w:rsid w:val="00B427A4"/>
    <w:rsid w:val="00B6203A"/>
    <w:rsid w:val="00B71BEC"/>
    <w:rsid w:val="00B76C37"/>
    <w:rsid w:val="00B77398"/>
    <w:rsid w:val="00B81BD2"/>
    <w:rsid w:val="00B85E02"/>
    <w:rsid w:val="00B85F3A"/>
    <w:rsid w:val="00B932AB"/>
    <w:rsid w:val="00BA7EE8"/>
    <w:rsid w:val="00BA7F79"/>
    <w:rsid w:val="00BB2FFF"/>
    <w:rsid w:val="00BB521E"/>
    <w:rsid w:val="00BD340A"/>
    <w:rsid w:val="00BD4178"/>
    <w:rsid w:val="00BD5DDF"/>
    <w:rsid w:val="00BE1A71"/>
    <w:rsid w:val="00BE368B"/>
    <w:rsid w:val="00BE3D42"/>
    <w:rsid w:val="00BF1FBB"/>
    <w:rsid w:val="00BF43DB"/>
    <w:rsid w:val="00C02FB8"/>
    <w:rsid w:val="00C0525C"/>
    <w:rsid w:val="00C06549"/>
    <w:rsid w:val="00C12798"/>
    <w:rsid w:val="00C3525A"/>
    <w:rsid w:val="00C36140"/>
    <w:rsid w:val="00C40F33"/>
    <w:rsid w:val="00C4102E"/>
    <w:rsid w:val="00C423D7"/>
    <w:rsid w:val="00C51C00"/>
    <w:rsid w:val="00C51EE2"/>
    <w:rsid w:val="00C60C71"/>
    <w:rsid w:val="00C6235A"/>
    <w:rsid w:val="00C62D31"/>
    <w:rsid w:val="00C6333C"/>
    <w:rsid w:val="00C80A84"/>
    <w:rsid w:val="00C92A20"/>
    <w:rsid w:val="00C94CF2"/>
    <w:rsid w:val="00CC6A6A"/>
    <w:rsid w:val="00CD0030"/>
    <w:rsid w:val="00CE42FA"/>
    <w:rsid w:val="00CE5416"/>
    <w:rsid w:val="00CE640B"/>
    <w:rsid w:val="00CE760A"/>
    <w:rsid w:val="00CF09D4"/>
    <w:rsid w:val="00CF1214"/>
    <w:rsid w:val="00CF1277"/>
    <w:rsid w:val="00D00399"/>
    <w:rsid w:val="00D04C36"/>
    <w:rsid w:val="00D078D2"/>
    <w:rsid w:val="00D13A74"/>
    <w:rsid w:val="00D13C6F"/>
    <w:rsid w:val="00D27341"/>
    <w:rsid w:val="00D30D4C"/>
    <w:rsid w:val="00D3108D"/>
    <w:rsid w:val="00D3400A"/>
    <w:rsid w:val="00D408ED"/>
    <w:rsid w:val="00D42FDD"/>
    <w:rsid w:val="00D536AD"/>
    <w:rsid w:val="00D57CEC"/>
    <w:rsid w:val="00D60374"/>
    <w:rsid w:val="00D61DA4"/>
    <w:rsid w:val="00D6500D"/>
    <w:rsid w:val="00D66E78"/>
    <w:rsid w:val="00D72D11"/>
    <w:rsid w:val="00D80594"/>
    <w:rsid w:val="00D8322A"/>
    <w:rsid w:val="00D86A40"/>
    <w:rsid w:val="00D86FD7"/>
    <w:rsid w:val="00D96638"/>
    <w:rsid w:val="00D9715E"/>
    <w:rsid w:val="00DA541C"/>
    <w:rsid w:val="00DA70E0"/>
    <w:rsid w:val="00DB73DF"/>
    <w:rsid w:val="00DC2111"/>
    <w:rsid w:val="00DC615C"/>
    <w:rsid w:val="00DE4AFA"/>
    <w:rsid w:val="00DE7058"/>
    <w:rsid w:val="00DF5915"/>
    <w:rsid w:val="00E108E3"/>
    <w:rsid w:val="00E2691A"/>
    <w:rsid w:val="00E26DC9"/>
    <w:rsid w:val="00E33330"/>
    <w:rsid w:val="00E34C76"/>
    <w:rsid w:val="00E35C64"/>
    <w:rsid w:val="00E362D3"/>
    <w:rsid w:val="00E44E63"/>
    <w:rsid w:val="00E4525D"/>
    <w:rsid w:val="00E63079"/>
    <w:rsid w:val="00E808B0"/>
    <w:rsid w:val="00E81441"/>
    <w:rsid w:val="00E84F4B"/>
    <w:rsid w:val="00E85171"/>
    <w:rsid w:val="00EA57CD"/>
    <w:rsid w:val="00EB19D8"/>
    <w:rsid w:val="00EB50D1"/>
    <w:rsid w:val="00EB7A06"/>
    <w:rsid w:val="00EC024E"/>
    <w:rsid w:val="00EC0ED1"/>
    <w:rsid w:val="00EC0EE7"/>
    <w:rsid w:val="00EE0A7E"/>
    <w:rsid w:val="00EE44CD"/>
    <w:rsid w:val="00F02690"/>
    <w:rsid w:val="00F034DC"/>
    <w:rsid w:val="00F13E97"/>
    <w:rsid w:val="00F30B4F"/>
    <w:rsid w:val="00F359F0"/>
    <w:rsid w:val="00F36382"/>
    <w:rsid w:val="00F36420"/>
    <w:rsid w:val="00F40695"/>
    <w:rsid w:val="00F45843"/>
    <w:rsid w:val="00F5241B"/>
    <w:rsid w:val="00F5261D"/>
    <w:rsid w:val="00F52F6E"/>
    <w:rsid w:val="00F5597D"/>
    <w:rsid w:val="00F601C8"/>
    <w:rsid w:val="00F70727"/>
    <w:rsid w:val="00F93550"/>
    <w:rsid w:val="00F962FB"/>
    <w:rsid w:val="00F97812"/>
    <w:rsid w:val="00FA2A00"/>
    <w:rsid w:val="00FB2428"/>
    <w:rsid w:val="00FC3944"/>
    <w:rsid w:val="00FD0CBB"/>
    <w:rsid w:val="00FD2D61"/>
    <w:rsid w:val="00FE3C93"/>
    <w:rsid w:val="00FE54C4"/>
    <w:rsid w:val="00FF3919"/>
    <w:rsid w:val="00FF6B7A"/>
    <w:rsid w:val="00FF7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BAD0E"/>
  <w15:chartTrackingRefBased/>
  <w15:docId w15:val="{660CA06D-ACCB-4A94-8D62-54150FA0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55"/>
    <w:pPr>
      <w:spacing w:after="200" w:line="276" w:lineRule="auto"/>
    </w:pPr>
  </w:style>
  <w:style w:type="paragraph" w:styleId="Ttulo1">
    <w:name w:val="heading 1"/>
    <w:basedOn w:val="Normal"/>
    <w:next w:val="Normal"/>
    <w:link w:val="Ttulo1Car"/>
    <w:uiPriority w:val="9"/>
    <w:qFormat/>
    <w:rsid w:val="00D8322A"/>
    <w:pPr>
      <w:keepNext/>
      <w:spacing w:before="360" w:after="0" w:line="240" w:lineRule="auto"/>
      <w:ind w:right="45"/>
      <w:jc w:val="center"/>
      <w:outlineLvl w:val="0"/>
    </w:pPr>
    <w:rPr>
      <w:rFonts w:ascii="ITC Avant Garde" w:hAnsi="ITC Avant Garde"/>
      <w:b/>
      <w:sz w:val="20"/>
      <w:szCs w:val="20"/>
    </w:rPr>
  </w:style>
  <w:style w:type="paragraph" w:styleId="Ttulo2">
    <w:name w:val="heading 2"/>
    <w:basedOn w:val="Normal"/>
    <w:next w:val="Normal"/>
    <w:link w:val="Ttulo2Car"/>
    <w:uiPriority w:val="9"/>
    <w:unhideWhenUsed/>
    <w:qFormat/>
    <w:rsid w:val="002F1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ft"/>
    <w:basedOn w:val="Normal"/>
    <w:link w:val="TextonotapieCar"/>
    <w:uiPriority w:val="99"/>
    <w:unhideWhenUsed/>
    <w:qFormat/>
    <w:rsid w:val="00636955"/>
    <w:pPr>
      <w:spacing w:after="0" w:line="240" w:lineRule="auto"/>
      <w:jc w:val="both"/>
    </w:pPr>
    <w:rPr>
      <w:rFonts w:ascii="Times New Roman" w:eastAsia="Calibri" w:hAnsi="Times New Roman" w:cs="Times New Roman"/>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636955"/>
    <w:rPr>
      <w:rFonts w:ascii="Times New Roman" w:eastAsia="Calibri" w:hAnsi="Times New Roman" w:cs="Times New Roman"/>
      <w:sz w:val="20"/>
      <w:szCs w:val="20"/>
    </w:rPr>
  </w:style>
  <w:style w:type="character" w:styleId="Refdenotaalpie">
    <w:name w:val="footnote reference"/>
    <w:aliases w:val="Ref,de nota al pie,Ref. de nota al pie 2,Footnotes refss,Texto de nota al pie,Appel note de bas de page,referencia nota al pie,BVI fnr,Footnote number,f,4_G,16 Point,Superscript 6 Point,Texto nota al pie,Footnote Reference Char3,o,fr"/>
    <w:uiPriority w:val="99"/>
    <w:unhideWhenUsed/>
    <w:qFormat/>
    <w:rsid w:val="00636955"/>
    <w:rPr>
      <w:vertAlign w:val="superscript"/>
    </w:rPr>
  </w:style>
  <w:style w:type="paragraph" w:styleId="Encabezado">
    <w:name w:val="header"/>
    <w:basedOn w:val="Normal"/>
    <w:link w:val="EncabezadoCar"/>
    <w:uiPriority w:val="99"/>
    <w:unhideWhenUsed/>
    <w:rsid w:val="00636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6955"/>
  </w:style>
  <w:style w:type="paragraph" w:styleId="Piedepgina">
    <w:name w:val="footer"/>
    <w:basedOn w:val="Normal"/>
    <w:link w:val="PiedepginaCar"/>
    <w:uiPriority w:val="99"/>
    <w:unhideWhenUsed/>
    <w:rsid w:val="00636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6955"/>
  </w:style>
  <w:style w:type="character" w:styleId="Refdecomentario">
    <w:name w:val="annotation reference"/>
    <w:basedOn w:val="Fuentedeprrafopredeter"/>
    <w:uiPriority w:val="99"/>
    <w:semiHidden/>
    <w:unhideWhenUsed/>
    <w:rsid w:val="00F30B4F"/>
    <w:rPr>
      <w:sz w:val="16"/>
      <w:szCs w:val="16"/>
    </w:rPr>
  </w:style>
  <w:style w:type="paragraph" w:styleId="Textocomentario">
    <w:name w:val="annotation text"/>
    <w:basedOn w:val="Normal"/>
    <w:link w:val="TextocomentarioCar"/>
    <w:uiPriority w:val="99"/>
    <w:semiHidden/>
    <w:unhideWhenUsed/>
    <w:rsid w:val="00F30B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0B4F"/>
    <w:rPr>
      <w:sz w:val="20"/>
      <w:szCs w:val="20"/>
    </w:rPr>
  </w:style>
  <w:style w:type="paragraph" w:styleId="Asuntodelcomentario">
    <w:name w:val="annotation subject"/>
    <w:basedOn w:val="Textocomentario"/>
    <w:next w:val="Textocomentario"/>
    <w:link w:val="AsuntodelcomentarioCar"/>
    <w:uiPriority w:val="99"/>
    <w:semiHidden/>
    <w:unhideWhenUsed/>
    <w:rsid w:val="00F30B4F"/>
    <w:rPr>
      <w:b/>
      <w:bCs/>
    </w:rPr>
  </w:style>
  <w:style w:type="character" w:customStyle="1" w:styleId="AsuntodelcomentarioCar">
    <w:name w:val="Asunto del comentario Car"/>
    <w:basedOn w:val="TextocomentarioCar"/>
    <w:link w:val="Asuntodelcomentario"/>
    <w:uiPriority w:val="99"/>
    <w:semiHidden/>
    <w:rsid w:val="00F30B4F"/>
    <w:rPr>
      <w:b/>
      <w:bCs/>
      <w:sz w:val="20"/>
      <w:szCs w:val="20"/>
    </w:rPr>
  </w:style>
  <w:style w:type="paragraph" w:styleId="Textodeglobo">
    <w:name w:val="Balloon Text"/>
    <w:basedOn w:val="Normal"/>
    <w:link w:val="TextodegloboCar"/>
    <w:uiPriority w:val="99"/>
    <w:semiHidden/>
    <w:unhideWhenUsed/>
    <w:rsid w:val="00F30B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0B4F"/>
    <w:rPr>
      <w:rFonts w:ascii="Segoe UI" w:hAnsi="Segoe UI" w:cs="Segoe UI"/>
      <w:sz w:val="18"/>
      <w:szCs w:val="18"/>
    </w:rPr>
  </w:style>
  <w:style w:type="character" w:styleId="Hipervnculo">
    <w:name w:val="Hyperlink"/>
    <w:basedOn w:val="Fuentedeprrafopredeter"/>
    <w:uiPriority w:val="99"/>
    <w:unhideWhenUsed/>
    <w:rsid w:val="000B5D34"/>
    <w:rPr>
      <w:color w:val="0563C1" w:themeColor="hyperlink"/>
      <w:u w:val="single"/>
    </w:rPr>
  </w:style>
  <w:style w:type="paragraph" w:styleId="Prrafodelista">
    <w:name w:val="List Paragraph"/>
    <w:basedOn w:val="Normal"/>
    <w:link w:val="PrrafodelistaCar"/>
    <w:uiPriority w:val="34"/>
    <w:qFormat/>
    <w:rsid w:val="00D96638"/>
    <w:pPr>
      <w:ind w:left="720"/>
      <w:contextualSpacing/>
    </w:pPr>
  </w:style>
  <w:style w:type="character" w:customStyle="1" w:styleId="PrrafodelistaCar">
    <w:name w:val="Párrafo de lista Car"/>
    <w:link w:val="Prrafodelista"/>
    <w:uiPriority w:val="34"/>
    <w:rsid w:val="00131BF9"/>
  </w:style>
  <w:style w:type="paragraph" w:customStyle="1" w:styleId="Antecedentes">
    <w:name w:val="Antecedentes"/>
    <w:basedOn w:val="Normal"/>
    <w:link w:val="AntecedentesCar"/>
    <w:qFormat/>
    <w:rsid w:val="00131BF9"/>
    <w:pPr>
      <w:spacing w:before="120" w:after="120" w:line="240" w:lineRule="atLeast"/>
      <w:jc w:val="both"/>
    </w:pPr>
    <w:rPr>
      <w:rFonts w:ascii="ITC Avant Garde" w:eastAsia="Calibri" w:hAnsi="ITC Avant Garde" w:cs="Times New Roman"/>
    </w:rPr>
  </w:style>
  <w:style w:type="character" w:customStyle="1" w:styleId="AntecedentesCar">
    <w:name w:val="Antecedentes Car"/>
    <w:basedOn w:val="Fuentedeprrafopredeter"/>
    <w:link w:val="Antecedentes"/>
    <w:rsid w:val="00131BF9"/>
    <w:rPr>
      <w:rFonts w:ascii="ITC Avant Garde" w:eastAsia="Calibri" w:hAnsi="ITC Avant Garde" w:cs="Times New Roman"/>
    </w:rPr>
  </w:style>
  <w:style w:type="paragraph" w:styleId="Textoindependiente">
    <w:name w:val="Body Text"/>
    <w:basedOn w:val="Normal"/>
    <w:link w:val="TextoindependienteCar"/>
    <w:rsid w:val="00E84F4B"/>
    <w:pPr>
      <w:widowControl w:val="0"/>
      <w:overflowPunct w:val="0"/>
      <w:autoSpaceDE w:val="0"/>
      <w:autoSpaceDN w:val="0"/>
      <w:adjustRightInd w:val="0"/>
      <w:spacing w:after="0" w:line="240" w:lineRule="auto"/>
      <w:jc w:val="both"/>
      <w:textAlignment w:val="baseline"/>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rsid w:val="00E84F4B"/>
    <w:rPr>
      <w:rFonts w:ascii="Arial" w:eastAsia="Times New Roman" w:hAnsi="Arial" w:cs="Times New Roman"/>
      <w:sz w:val="24"/>
      <w:szCs w:val="20"/>
      <w:lang w:val="es-ES_tradnl" w:eastAsia="es-ES"/>
    </w:rPr>
  </w:style>
  <w:style w:type="paragraph" w:customStyle="1" w:styleId="estilo30">
    <w:name w:val="estilo30"/>
    <w:basedOn w:val="Normal"/>
    <w:rsid w:val="00C4102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C4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osario">
    <w:name w:val="Glosario"/>
    <w:basedOn w:val="Normal"/>
    <w:link w:val="GlosarioCar"/>
    <w:qFormat/>
    <w:rsid w:val="00C4102E"/>
    <w:pPr>
      <w:tabs>
        <w:tab w:val="left" w:pos="2552"/>
      </w:tabs>
      <w:spacing w:before="120" w:after="0" w:line="240" w:lineRule="atLeast"/>
      <w:ind w:left="2552" w:hanging="2552"/>
      <w:jc w:val="both"/>
    </w:pPr>
    <w:rPr>
      <w:rFonts w:ascii="ITC Avant Garde" w:eastAsia="Calibri" w:hAnsi="ITC Avant Garde" w:cs="Times New Roman"/>
    </w:rPr>
  </w:style>
  <w:style w:type="character" w:customStyle="1" w:styleId="GlosarioCar">
    <w:name w:val="Glosario Car"/>
    <w:basedOn w:val="Fuentedeprrafopredeter"/>
    <w:link w:val="Glosario"/>
    <w:rsid w:val="00C4102E"/>
    <w:rPr>
      <w:rFonts w:ascii="ITC Avant Garde" w:eastAsia="Calibri" w:hAnsi="ITC Avant Garde" w:cs="Times New Roman"/>
    </w:rPr>
  </w:style>
  <w:style w:type="character" w:customStyle="1" w:styleId="Ttulo1Car">
    <w:name w:val="Título 1 Car"/>
    <w:basedOn w:val="Fuentedeprrafopredeter"/>
    <w:link w:val="Ttulo1"/>
    <w:uiPriority w:val="9"/>
    <w:rsid w:val="00D8322A"/>
    <w:rPr>
      <w:rFonts w:ascii="ITC Avant Garde" w:hAnsi="ITC Avant Garde"/>
      <w:b/>
      <w:sz w:val="20"/>
      <w:szCs w:val="20"/>
    </w:rPr>
  </w:style>
  <w:style w:type="character" w:customStyle="1" w:styleId="Ttulo2Car">
    <w:name w:val="Título 2 Car"/>
    <w:basedOn w:val="Fuentedeprrafopredeter"/>
    <w:link w:val="Ttulo2"/>
    <w:uiPriority w:val="9"/>
    <w:rsid w:val="002F15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3846-F986-4034-8909-72F8AA4AD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1F3C82-05C9-4736-B278-0BA51588CCBB}">
  <ds:schemaRefs>
    <ds:schemaRef ds:uri="http://schemas.microsoft.com/sharepoint/v3/contenttype/forms"/>
  </ds:schemaRefs>
</ds:datastoreItem>
</file>

<file path=customXml/itemProps3.xml><?xml version="1.0" encoding="utf-8"?>
<ds:datastoreItem xmlns:ds="http://schemas.openxmlformats.org/officeDocument/2006/customXml" ds:itemID="{737A2FF6-100B-402E-A8C6-C221548AEE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A4A6DD-AD12-43CE-A9AB-430D8C2D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3594</Words>
  <Characters>19773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Marin Elizalde</dc:creator>
  <cp:keywords/>
  <dc:description/>
  <cp:lastModifiedBy>Maria del Consuelo Gonzalez Moreno</cp:lastModifiedBy>
  <cp:revision>5</cp:revision>
  <cp:lastPrinted>2018-01-19T19:25:00Z</cp:lastPrinted>
  <dcterms:created xsi:type="dcterms:W3CDTF">2018-02-01T19:14:00Z</dcterms:created>
  <dcterms:modified xsi:type="dcterms:W3CDTF">2018-02-14T18:34:00Z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