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both"/>
        <w:rPr>
          <w:rFonts w:ascii="ITC Avant Garde" w:hAnsi="ITC Avant Garde"/>
          <w:b/>
          <w:b/>
          <w:color w:val="000000" w:themeColor="text1"/>
          <w:sz w:val="22"/>
          <w:szCs w:val="22"/>
          <w:lang w:eastAsia="es-MX"/>
        </w:rPr>
      </w:pPr>
      <w:r>
        <w:rPr>
          <w:rFonts w:ascii="ITC Avant Garde" w:hAnsi="ITC Avant Garde"/>
          <w:b/>
          <w:color w:val="000000" w:themeColor="text1"/>
          <w:sz w:val="22"/>
          <w:szCs w:val="22"/>
          <w:lang w:eastAsia="es-MX"/>
        </w:rPr>
        <w:t xml:space="preserve">RESOLUCIÓN MEDIANTE LA CUAL EL PLENO DEL INSTITUTO FEDERAL DE TELECOMUNICACIONES DETERMINA LA PROCEDENCIA DE LA SOLICITUD DE PRÓRROGA Y OTORGA UNA CONCESIÓN </w:t>
      </w:r>
      <w:r>
        <w:rPr>
          <w:rFonts w:ascii="ITC Avant Garde" w:hAnsi="ITC Avant Garde"/>
          <w:b/>
          <w:color w:val="000000" w:themeColor="text1"/>
          <w:sz w:val="22"/>
          <w:szCs w:val="22"/>
          <w:lang w:val="en-US" w:eastAsia="es-MX"/>
        </w:rPr>
        <w:t xml:space="preserve">PARA USAR, APROVECHAR Y EXPLOTAR BANDAS DE FRECUENCIA DEL ESPECTRO RADIOELÉCTRICO </w:t>
      </w:r>
      <w:r>
        <w:rPr>
          <w:rFonts w:ascii="ITC Avant Garde" w:hAnsi="ITC Avant Garde"/>
          <w:b/>
          <w:color w:val="000000" w:themeColor="text1"/>
          <w:sz w:val="22"/>
          <w:szCs w:val="22"/>
          <w:lang w:val="es-ES" w:eastAsia="es-MX"/>
        </w:rPr>
        <w:t>ASÍ COMO UNA CONCESIÓN QUE AUTORIZA LA PRESTACIÓN DE</w:t>
      </w:r>
      <w:r>
        <w:rPr>
          <w:rFonts w:ascii="ITC Avant Garde" w:hAnsi="ITC Avant Garde"/>
          <w:b/>
          <w:color w:val="000000" w:themeColor="text1"/>
          <w:sz w:val="22"/>
          <w:szCs w:val="22"/>
          <w:lang w:eastAsia="es-MX"/>
        </w:rPr>
        <w:t>L SERVICIO PÚBLICO DE TELEVISIÓN RADIODIFUNDIDA, AMBAS DE USO COMERCIAL, A FAVOR DE ROBERTO CASIMIRO GONZÁLEZ TREVIÑO.</w:t>
      </w:r>
    </w:p>
    <w:p>
      <w:pPr>
        <w:pStyle w:val="Normal"/>
        <w:spacing w:before="0" w:after="0"/>
        <w:jc w:val="both"/>
        <w:rPr>
          <w:rFonts w:ascii="ITC Avant Garde" w:hAnsi="ITC Avant Garde"/>
          <w:b/>
          <w:b/>
          <w:color w:val="000000"/>
        </w:rPr>
      </w:pPr>
      <w:r>
        <w:rPr>
          <w:rFonts w:ascii="ITC Avant Garde" w:hAnsi="ITC Avant Garde"/>
          <w:b/>
          <w:color w:val="000000"/>
        </w:rPr>
      </w:r>
    </w:p>
    <w:p>
      <w:pPr>
        <w:pStyle w:val="Heading2"/>
        <w:jc w:val="center"/>
        <w:rPr>
          <w:rFonts w:ascii="ITC Avant Garde" w:hAnsi="ITC Avant Garde" w:eastAsia="Times New Roman"/>
          <w:b/>
          <w:b/>
          <w:color w:val="000000" w:themeColor="text1"/>
          <w:sz w:val="22"/>
          <w:szCs w:val="22"/>
          <w:lang w:eastAsia="ar-SA"/>
        </w:rPr>
      </w:pPr>
      <w:r>
        <w:rPr>
          <w:rFonts w:ascii="ITC Avant Garde" w:hAnsi="ITC Avant Garde"/>
          <w:b/>
          <w:color w:val="000000" w:themeColor="text1"/>
          <w:sz w:val="22"/>
          <w:szCs w:val="22"/>
        </w:rPr>
        <w:t>ANTECEDENTES</w:t>
      </w:r>
    </w:p>
    <w:p>
      <w:pPr>
        <w:pStyle w:val="Normal"/>
        <w:spacing w:before="0" w:after="0"/>
        <w:jc w:val="both"/>
        <w:rPr>
          <w:rFonts w:ascii="ITC Avant Garde" w:hAnsi="ITC Avant Garde"/>
          <w:b/>
          <w:b/>
          <w:lang w:eastAsia="ar-SA"/>
        </w:rPr>
      </w:pPr>
      <w:r>
        <w:rPr>
          <w:rFonts w:ascii="ITC Avant Garde" w:hAnsi="ITC Avant Garde"/>
          <w:b/>
          <w:lang w:eastAsia="ar-SA"/>
        </w:rPr>
      </w:r>
    </w:p>
    <w:p>
      <w:pPr>
        <w:pStyle w:val="ListParagraph"/>
        <w:spacing w:lineRule="auto" w:line="276"/>
        <w:ind w:left="0" w:hanging="0"/>
        <w:jc w:val="both"/>
        <w:rPr>
          <w:rFonts w:ascii="ITC Avant Garde" w:hAnsi="ITC Avant Garde" w:eastAsia="Calibri"/>
          <w:sz w:val="22"/>
          <w:szCs w:val="22"/>
        </w:rPr>
      </w:pPr>
      <w:r>
        <w:rPr>
          <w:rFonts w:ascii="ITC Avant Garde" w:hAnsi="ITC Avant Garde"/>
          <w:b/>
          <w:sz w:val="22"/>
          <w:szCs w:val="22"/>
          <w:lang w:eastAsia="es-MX"/>
        </w:rPr>
        <w:t xml:space="preserve">I.- Refrendo de la Concesión. </w:t>
      </w:r>
      <w:r>
        <w:rPr>
          <w:rFonts w:ascii="ITC Avant Garde" w:hAnsi="ITC Avant Garde"/>
          <w:sz w:val="22"/>
          <w:szCs w:val="22"/>
          <w:lang w:eastAsia="es-MX"/>
        </w:rPr>
        <w:t>El 13 de diciembre de 2006, de conformidad con los artículos 13 de la Ley Federal de Telecomunicaciones (en adelante “LFT”), 16 y 21 de la Ley Federal de Radio y Televisión (en los sucesivo, la “LFRTV</w:t>
      </w:r>
      <w:r>
        <w:rPr>
          <w:rFonts w:ascii="ITC Avant Garde" w:hAnsi="ITC Avant Garde"/>
          <w:sz w:val="22"/>
          <w:szCs w:val="22"/>
          <w:lang w:eastAsia="es-MX"/>
        </w:rPr>
        <w:t>)</w:t>
      </w:r>
      <w:r>
        <w:rPr>
          <w:rFonts w:ascii="ITC Avant Garde" w:hAnsi="ITC Avant Garde"/>
          <w:bCs/>
          <w:color w:val="000000"/>
          <w:lang w:eastAsia="es-MX"/>
        </w:rPr>
        <w:t xml:space="preserve">, </w:t>
      </w:r>
      <w:r>
        <w:rPr>
          <w:rFonts w:ascii="ITC Avant Garde" w:hAnsi="ITC Avant Garde"/>
          <w:sz w:val="22"/>
          <w:szCs w:val="22"/>
          <w:lang w:eastAsia="es-MX"/>
        </w:rPr>
        <w:t xml:space="preserve">la Comisión Federal de Telecomunicaciones (en lo sucesivo, la “COFETEL”), otorgó a favor de </w:t>
      </w:r>
      <w:r>
        <w:rPr>
          <w:rFonts w:ascii="ITC Avant Garde" w:hAnsi="ITC Avant Garde"/>
          <w:bCs/>
          <w:color w:val="000000" w:themeColor="text1"/>
          <w:sz w:val="22"/>
          <w:szCs w:val="22"/>
          <w:lang w:eastAsia="es-MX"/>
        </w:rPr>
        <w:t>Roberto Casimiro González Treviño (en lo sucesivo el “Concesionario”), el refrendo de la</w:t>
      </w:r>
      <w:r>
        <w:rPr>
          <w:rFonts w:ascii="ITC Avant Garde" w:hAnsi="ITC Avant Garde"/>
          <w:sz w:val="22"/>
          <w:szCs w:val="22"/>
          <w:lang w:eastAsia="es-MX"/>
        </w:rPr>
        <w:t xml:space="preserve"> Concesión para operar y explotar el canal 7 (174-180 MHz), a través de la estación de televisión con distintivo de llamada XHRCG-TV, en Saltillo, Coahuila, con vigencia de 20 (veinte) años, contados a partir del día 3 de julio de 1989 y vencimiento el 2 de julio de 2009 </w:t>
      </w:r>
      <w:r>
        <w:rPr>
          <w:rFonts w:ascii="ITC Avant Garde" w:hAnsi="ITC Avant Garde"/>
          <w:sz w:val="22"/>
          <w:szCs w:val="22"/>
        </w:rPr>
        <w:t>(</w:t>
      </w:r>
      <w:r>
        <w:rPr>
          <w:rFonts w:ascii="ITC Avant Garde" w:hAnsi="ITC Avant Garde"/>
          <w:sz w:val="22"/>
          <w:szCs w:val="22"/>
          <w:lang w:eastAsia="es-MX"/>
        </w:rPr>
        <w:t xml:space="preserve">en lo sucesivo, </w:t>
      </w:r>
      <w:r>
        <w:rPr>
          <w:rFonts w:ascii="ITC Avant Garde" w:hAnsi="ITC Avant Garde"/>
          <w:sz w:val="22"/>
          <w:szCs w:val="22"/>
        </w:rPr>
        <w:t>la “Concesión”)</w:t>
      </w:r>
      <w:r>
        <w:rPr>
          <w:rFonts w:eastAsia="Calibri" w:ascii="ITC Avant Garde" w:hAnsi="ITC Avant Garde"/>
          <w:sz w:val="22"/>
          <w:szCs w:val="22"/>
        </w:rPr>
        <w:t>.</w:t>
      </w:r>
    </w:p>
    <w:p>
      <w:pPr>
        <w:pStyle w:val="ListParagraph"/>
        <w:spacing w:lineRule="auto" w:line="276"/>
        <w:ind w:left="0" w:hanging="0"/>
        <w:jc w:val="both"/>
        <w:rPr>
          <w:rFonts w:ascii="ITC Avant Garde" w:hAnsi="ITC Avant Garde"/>
          <w:sz w:val="22"/>
          <w:szCs w:val="22"/>
          <w:lang w:eastAsia="es-MX"/>
        </w:rPr>
      </w:pPr>
      <w:r>
        <w:rPr>
          <w:rFonts w:ascii="ITC Avant Garde" w:hAnsi="ITC Avant Garde"/>
          <w:sz w:val="22"/>
          <w:szCs w:val="22"/>
          <w:lang w:eastAsia="es-MX"/>
        </w:rPr>
      </w:r>
    </w:p>
    <w:p>
      <w:pPr>
        <w:pStyle w:val="Normal"/>
        <w:spacing w:before="0" w:after="0"/>
        <w:jc w:val="both"/>
        <w:rPr>
          <w:rFonts w:ascii="ITC Avant Garde" w:hAnsi="ITC Avant Garde"/>
          <w:b/>
          <w:b/>
          <w:bCs/>
          <w:color w:val="000000"/>
          <w:lang w:eastAsia="es-MX"/>
        </w:rPr>
      </w:pPr>
      <w:r>
        <w:rPr>
          <w:rFonts w:ascii="ITC Avant Garde" w:hAnsi="ITC Avant Garde"/>
          <w:b/>
          <w:bCs/>
          <w:color w:val="000000"/>
          <w:lang w:eastAsia="es-MX"/>
        </w:rPr>
        <w:t xml:space="preserve">II.- Solicitud de Refrendo. </w:t>
      </w:r>
      <w:r>
        <w:rPr>
          <w:rFonts w:ascii="ITC Avant Garde" w:hAnsi="ITC Avant Garde"/>
          <w:bCs/>
          <w:color w:val="000000"/>
          <w:lang w:eastAsia="es-MX"/>
        </w:rPr>
        <w:t>Mediante oficio presentado el 2 de abril de 2008 ante la entonces COFETEL, el Subdirector de Comunicaciones del Centro SCT “Coahuila” remite el escrito de fecha 7 de marzo de 2008, mediante el cual el Concesionario solicitó el refrendo de la Concesión (en la sucesivo, la “Solicitud”).</w:t>
      </w:r>
    </w:p>
    <w:p>
      <w:pPr>
        <w:pStyle w:val="ListParagraph"/>
        <w:spacing w:lineRule="auto" w:line="276"/>
        <w:ind w:left="0" w:hanging="0"/>
        <w:jc w:val="both"/>
        <w:rPr>
          <w:rFonts w:ascii="ITC Avant Garde" w:hAnsi="ITC Avant Garde"/>
          <w:b/>
          <w:b/>
          <w:sz w:val="22"/>
          <w:szCs w:val="22"/>
          <w:lang w:eastAsia="es-MX"/>
        </w:rPr>
      </w:pPr>
      <w:r>
        <w:rPr>
          <w:rFonts w:ascii="ITC Avant Garde" w:hAnsi="ITC Avant Garde"/>
          <w:b/>
          <w:sz w:val="22"/>
          <w:szCs w:val="22"/>
          <w:lang w:eastAsia="es-MX"/>
        </w:rPr>
      </w:r>
    </w:p>
    <w:p>
      <w:pPr>
        <w:pStyle w:val="ListParagraph"/>
        <w:spacing w:lineRule="auto" w:line="276"/>
        <w:ind w:left="0" w:hanging="0"/>
        <w:jc w:val="both"/>
        <w:rPr>
          <w:rFonts w:ascii="ITC Avant Garde" w:hAnsi="ITC Avant Garde"/>
          <w:sz w:val="22"/>
          <w:szCs w:val="22"/>
          <w:lang w:eastAsia="es-MX"/>
        </w:rPr>
      </w:pPr>
      <w:r>
        <w:rPr>
          <w:rFonts w:ascii="ITC Avant Garde" w:hAnsi="ITC Avant Garde"/>
          <w:b/>
          <w:sz w:val="22"/>
          <w:szCs w:val="22"/>
          <w:lang w:eastAsia="es-MX"/>
        </w:rPr>
        <w:t>III.- Decreto de Reforma Constitucional.</w:t>
      </w:r>
      <w:r>
        <w:rPr>
          <w:rFonts w:ascii="ITC Avant Garde" w:hAnsi="ITC Avant Garde"/>
          <w:sz w:val="22"/>
          <w:szCs w:val="22"/>
          <w:lang w:eastAsia="es-MX"/>
        </w:rPr>
        <w:t xml:space="preserve"> Con fecha 11 de junio de 2013 se publicó en el Diario Oficial de la Federación (en lo sucesivo, el “DOF”) el “Decreto por el que se reforman y adicionan diversas disposiciones de los artículos 6o., 7o., 27, 28, 73, 78, 94 y 105 de la Constitución Política de los Estados Unidos Mexicanos, en materia de telecomunicaciones” (en lo sucesivo, el “Decreto de Reforma Constitucional”), mediante el cual se creó el Instituto Federal de Telecomunicaciones (en lo sucesivo, el “Instituto”). </w:t>
      </w:r>
    </w:p>
    <w:p>
      <w:pPr>
        <w:pStyle w:val="ListParagraph"/>
        <w:spacing w:lineRule="auto" w:line="276"/>
        <w:ind w:left="0" w:hanging="0"/>
        <w:jc w:val="both"/>
        <w:rPr>
          <w:rFonts w:ascii="ITC Avant Garde" w:hAnsi="ITC Avant Garde"/>
          <w:sz w:val="22"/>
          <w:szCs w:val="22"/>
          <w:lang w:eastAsia="es-MX"/>
        </w:rPr>
      </w:pPr>
      <w:r>
        <w:rPr>
          <w:rFonts w:ascii="ITC Avant Garde" w:hAnsi="ITC Avant Garde"/>
          <w:sz w:val="22"/>
          <w:szCs w:val="22"/>
          <w:lang w:eastAsia="es-MX"/>
        </w:rPr>
      </w:r>
    </w:p>
    <w:p>
      <w:pPr>
        <w:pStyle w:val="Normal"/>
        <w:spacing w:before="0" w:after="0"/>
        <w:jc w:val="both"/>
        <w:rPr>
          <w:rFonts w:ascii="ITC Avant Garde" w:hAnsi="ITC Avant Garde" w:eastAsia="Times New Roman" w:cs="Arial"/>
        </w:rPr>
      </w:pPr>
      <w:r>
        <w:rPr>
          <w:rFonts w:eastAsia="Calibri" w:cs="Arial" w:ascii="ITC Avant Garde" w:hAnsi="ITC Avant Garde" w:eastAsiaTheme="minorHAnsi"/>
          <w:b/>
          <w:bCs/>
        </w:rPr>
        <w:t>IV.- Resolución de preponderancia en el sector de telecomunicaciones</w:t>
      </w:r>
      <w:r>
        <w:rPr>
          <w:rFonts w:eastAsia="Calibri" w:cs="Arial" w:ascii="ITC Avant Garde" w:hAnsi="ITC Avant Garde" w:eastAsiaTheme="minorHAnsi"/>
        </w:rPr>
        <w:t>. Mediante Acuerdo P/IFT/EXT/060314/77 de fecha 6 de marzo de 2014, el Instituto emitió la “</w:t>
      </w:r>
      <w:r>
        <w:rPr>
          <w:rFonts w:eastAsia="Calibri" w:cs="Arial" w:ascii="ITC Avant Garde" w:hAnsi="ITC Avant Garde" w:eastAsiaTheme="minorHAnsi"/>
          <w:lang w:val="es-ES"/>
        </w:rPr>
        <w:t xml:space="preserve">Resolución mediante la cual el Pleno del Instituto Federal de Telecomunicaciones determina al grupo de interés económico del que forman parte </w:t>
      </w:r>
      <w:r>
        <w:rPr>
          <w:rFonts w:eastAsia="Calibri" w:cs="Arial" w:ascii="ITC Avant Garde" w:hAnsi="ITC Avant Garde" w:eastAsiaTheme="minorHAnsi"/>
        </w:rPr>
        <w:t xml:space="preserve">Grupo Televisa S.A.B., Canales de Televisión Populares, S.A. de C.V., Radio Televisión, S.A. de C.V., Radiotelevisora de México Norte S.A. de C.V., T.V. de los Mochis, S.A. de C.V., Teleimagen del Noroeste, S.A. de C.V., Televimex, S.A. de C.V., Televisión de Puebla, S.A. de C.V., Televisora de Mexicali, S.A. de C.V., Televisora de Navojoa, S.A., Televisora de Occidente, S.A. de C.V., Televisora Peninsular, S.A. de C.V., Mario Enrique Mayans Concha, Televisión La Paz, S.A., Televisión de la Frontera, S.A., Pedro Luis Fitzmaurice Meneses, Telemisión,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Loucille, Martínez Morales, Canal 13 de Michoacán, S.A. de C.V., Televisora XHBO, S.A. de C.V., Tv Ocho, S.A. de C.V., Televisora Potosina, S.A. de C.V., TV de Culiacán, S.A. de C.V., Televisión del Pacífico, S.A. de C.V., Tele-emisoras del Sureste, S.A. de C.V., Televisión de Tabasco, S.A. y Ramona Esparza González, </w:t>
      </w:r>
      <w:r>
        <w:rPr>
          <w:rFonts w:eastAsia="Calibri" w:cs="Arial" w:ascii="ITC Avant Garde" w:hAnsi="ITC Avant Garde" w:eastAsiaTheme="minorHAnsi"/>
          <w:lang w:val="es-ES"/>
        </w:rPr>
        <w:t>como agente económico preponderante en el sector de radiodifusión y le impone las medidas necesarias para evitar que se afecte la competencia y la libre concurrencia”</w:t>
      </w:r>
      <w:r>
        <w:rPr>
          <w:rFonts w:eastAsia="Calibri" w:cs="Arial" w:ascii="ITC Avant Garde" w:hAnsi="ITC Avant Garde" w:eastAsiaTheme="minorHAnsi"/>
        </w:rPr>
        <w:t>, misma que le es aplicable a Roberto Casimiro González Treviño.</w:t>
      </w:r>
    </w:p>
    <w:p>
      <w:pPr>
        <w:pStyle w:val="ListParagraph"/>
        <w:spacing w:lineRule="auto" w:line="276"/>
        <w:ind w:left="0" w:hanging="0"/>
        <w:jc w:val="both"/>
        <w:rPr>
          <w:rFonts w:ascii="ITC Avant Garde" w:hAnsi="ITC Avant Garde"/>
          <w:sz w:val="22"/>
          <w:szCs w:val="22"/>
          <w:lang w:eastAsia="es-MX"/>
        </w:rPr>
      </w:pPr>
      <w:r>
        <w:rPr>
          <w:rFonts w:ascii="ITC Avant Garde" w:hAnsi="ITC Avant Garde"/>
          <w:sz w:val="22"/>
          <w:szCs w:val="22"/>
          <w:lang w:eastAsia="es-MX"/>
        </w:rPr>
      </w:r>
    </w:p>
    <w:p>
      <w:pPr>
        <w:pStyle w:val="Normal"/>
        <w:spacing w:before="0" w:after="0"/>
        <w:jc w:val="both"/>
        <w:rPr>
          <w:rFonts w:ascii="ITC Avant Garde" w:hAnsi="ITC Avant Garde"/>
          <w:bCs/>
          <w:color w:val="000000" w:themeColor="text1"/>
          <w:lang w:eastAsia="es-MX"/>
        </w:rPr>
      </w:pPr>
      <w:r>
        <w:rPr>
          <w:rFonts w:ascii="ITC Avant Garde" w:hAnsi="ITC Avant Garde"/>
          <w:b/>
          <w:bCs/>
          <w:color w:val="000000" w:themeColor="text1"/>
          <w:lang w:eastAsia="es-MX"/>
        </w:rPr>
        <w:t xml:space="preserve">V.- Decreto de Ley. </w:t>
      </w:r>
      <w:r>
        <w:rPr>
          <w:rFonts w:ascii="ITC Avant Garde" w:hAnsi="ITC Avant Garde"/>
          <w:bCs/>
          <w:color w:val="000000" w:themeColor="text1"/>
          <w:lang w:eastAsia="es-MX"/>
        </w:rPr>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w:t>
      </w:r>
      <w:r>
        <w:rPr>
          <w:rFonts w:ascii="ITC Avant Garde" w:hAnsi="ITC Avant Garde"/>
          <w:lang w:eastAsia="es-MX"/>
        </w:rPr>
        <w:t xml:space="preserve">en lo sucesivo, </w:t>
      </w:r>
      <w:r>
        <w:rPr>
          <w:rFonts w:ascii="ITC Avant Garde" w:hAnsi="ITC Avant Garde"/>
          <w:bCs/>
          <w:color w:val="000000" w:themeColor="text1"/>
          <w:lang w:eastAsia="es-MX"/>
        </w:rPr>
        <w:t>el “Decreto de Ley”), mismo que entró en vigor el 13 de agosto de 2014.</w:t>
      </w:r>
    </w:p>
    <w:p>
      <w:pPr>
        <w:pStyle w:val="Normal"/>
        <w:spacing w:before="0" w:after="0"/>
        <w:jc w:val="both"/>
        <w:rPr>
          <w:rFonts w:ascii="ITC Avant Garde" w:hAnsi="ITC Avant Garde"/>
          <w:lang w:eastAsia="ar-SA"/>
        </w:rPr>
      </w:pPr>
      <w:r>
        <w:rPr>
          <w:rFonts w:ascii="ITC Avant Garde" w:hAnsi="ITC Avant Garde"/>
          <w:lang w:eastAsia="ar-SA"/>
        </w:rPr>
      </w:r>
    </w:p>
    <w:p>
      <w:pPr>
        <w:pStyle w:val="Normal"/>
        <w:suppressAutoHyphens w:val="true"/>
        <w:spacing w:before="0" w:after="0"/>
        <w:ind w:right="-62" w:hanging="0"/>
        <w:jc w:val="both"/>
        <w:rPr>
          <w:rFonts w:ascii="ITC Avant Garde" w:hAnsi="ITC Avant Garde" w:cs="Arial"/>
          <w:lang w:eastAsia="ar-SA"/>
        </w:rPr>
      </w:pPr>
      <w:r>
        <w:rPr>
          <w:rFonts w:ascii="ITC Avant Garde" w:hAnsi="ITC Avant Garde"/>
          <w:b/>
          <w:bCs/>
          <w:color w:val="000000" w:themeColor="text1"/>
          <w:lang w:eastAsia="es-MX"/>
        </w:rPr>
        <w:t xml:space="preserve">VI.- </w:t>
      </w:r>
      <w:r>
        <w:rPr>
          <w:rFonts w:cs="Arial" w:ascii="ITC Avant Garde" w:hAnsi="ITC Avant Garde"/>
          <w:b/>
          <w:lang w:eastAsia="ar-SA"/>
        </w:rPr>
        <w:t>Estatuto Orgánico.</w:t>
      </w:r>
      <w:r>
        <w:rPr>
          <w:rFonts w:ascii="ITC Avant Garde" w:hAnsi="ITC Avant Garde"/>
          <w:lang w:eastAsia="ar-SA"/>
        </w:rPr>
        <w:t xml:space="preserve"> El 4 de septiembre de 2014 se publicó en el DOF el “Estatuto Orgánico del Instituto Federal de Telecomunicaciones” (</w:t>
      </w:r>
      <w:r>
        <w:rPr>
          <w:rFonts w:ascii="ITC Avant Garde" w:hAnsi="ITC Avant Garde"/>
          <w:lang w:eastAsia="es-MX"/>
        </w:rPr>
        <w:t xml:space="preserve">en lo sucesivo, </w:t>
      </w:r>
      <w:r>
        <w:rPr>
          <w:rFonts w:ascii="ITC Avant Garde" w:hAnsi="ITC Avant Garde"/>
          <w:lang w:eastAsia="ar-SA"/>
        </w:rPr>
        <w:t>el “Estatuto Orgánico”), el cual entró en vigor el 26 de septiembre de 2014 y se modificó a través del “Acuerdo por el que se modifica el Estatuto Orgánico del Instituto Federal de Telecomunicaciones”, publicado en el DOF el 17 de octubre de 2014.</w:t>
      </w:r>
    </w:p>
    <w:p>
      <w:pPr>
        <w:pStyle w:val="Normal"/>
        <w:spacing w:before="0" w:after="0"/>
        <w:jc w:val="both"/>
        <w:rPr>
          <w:rFonts w:ascii="ITC Avant Garde" w:hAnsi="ITC Avant Garde"/>
          <w:lang w:eastAsia="ar-SA"/>
        </w:rPr>
      </w:pPr>
      <w:r>
        <w:rPr>
          <w:rFonts w:ascii="ITC Avant Garde" w:hAnsi="ITC Avant Garde"/>
          <w:lang w:eastAsia="ar-SA"/>
        </w:rPr>
      </w:r>
    </w:p>
    <w:p>
      <w:pPr>
        <w:pStyle w:val="Normal"/>
        <w:spacing w:before="0" w:after="0"/>
        <w:jc w:val="both"/>
        <w:rPr>
          <w:rFonts w:ascii="ITC Avant Garde" w:hAnsi="ITC Avant Garde"/>
          <w:lang w:eastAsia="ar-SA"/>
        </w:rPr>
      </w:pPr>
      <w:r>
        <w:rPr>
          <w:rFonts w:ascii="ITC Avant Garde" w:hAnsi="ITC Avant Garde"/>
          <w:b/>
          <w:lang w:eastAsia="ar-SA"/>
        </w:rPr>
        <w:t>VII.- Solicitud de opinión a la Unidad de Cumplimiento</w:t>
      </w:r>
      <w:r>
        <w:rPr>
          <w:rFonts w:ascii="ITC Avant Garde" w:hAnsi="ITC Avant Garde"/>
          <w:lang w:eastAsia="ar-SA"/>
        </w:rPr>
        <w:t>. Con oficio IFT/223/UCS/269/2015 del 25 de febrero de 2015, la Unidad de Concesiones y Servicios (</w:t>
      </w:r>
      <w:r>
        <w:rPr>
          <w:rFonts w:ascii="ITC Avant Garde" w:hAnsi="ITC Avant Garde"/>
          <w:lang w:eastAsia="es-MX"/>
        </w:rPr>
        <w:t xml:space="preserve">en lo sucesivo, </w:t>
      </w:r>
      <w:r>
        <w:rPr>
          <w:rFonts w:ascii="ITC Avant Garde" w:hAnsi="ITC Avant Garde"/>
          <w:lang w:eastAsia="ar-SA"/>
        </w:rPr>
        <w:t>la “UCS”), de conformidad con lo establecido en los artículos 32 y 34 fracción II del Estatuto Orgánico, solicitó a la Unidad de Cumplimiento (</w:t>
      </w:r>
      <w:r>
        <w:rPr>
          <w:rFonts w:ascii="ITC Avant Garde" w:hAnsi="ITC Avant Garde"/>
          <w:lang w:eastAsia="es-MX"/>
        </w:rPr>
        <w:t xml:space="preserve">en lo sucesivo, </w:t>
      </w:r>
      <w:r>
        <w:rPr>
          <w:rFonts w:ascii="ITC Avant Garde" w:hAnsi="ITC Avant Garde"/>
          <w:lang w:eastAsia="ar-SA"/>
        </w:rPr>
        <w:t>la “UC”) la emisión del dictamen sobre el cumplimiento de las obligaciones de la Concesión.</w:t>
      </w:r>
    </w:p>
    <w:p>
      <w:pPr>
        <w:pStyle w:val="Normal"/>
        <w:spacing w:before="0" w:after="0"/>
        <w:jc w:val="both"/>
        <w:rPr>
          <w:rFonts w:ascii="ITC Avant Garde" w:hAnsi="ITC Avant Garde"/>
          <w:lang w:eastAsia="ar-SA"/>
        </w:rPr>
      </w:pPr>
      <w:r>
        <w:rPr>
          <w:rFonts w:ascii="ITC Avant Garde" w:hAnsi="ITC Avant Garde"/>
          <w:lang w:eastAsia="ar-SA"/>
        </w:rPr>
      </w:r>
    </w:p>
    <w:p>
      <w:pPr>
        <w:pStyle w:val="Normal"/>
        <w:spacing w:before="0" w:after="0"/>
        <w:jc w:val="both"/>
        <w:rPr>
          <w:rFonts w:ascii="ITC Avant Garde" w:hAnsi="ITC Avant Garde"/>
          <w:lang w:eastAsia="ar-SA"/>
        </w:rPr>
      </w:pPr>
      <w:r>
        <w:rPr>
          <w:rFonts w:ascii="ITC Avant Garde" w:hAnsi="ITC Avant Garde"/>
          <w:b/>
          <w:lang w:eastAsia="ar-SA"/>
        </w:rPr>
        <w:t>VIII.- Solicitud de opinión a la Unidad de Competencia Económica</w:t>
      </w:r>
      <w:r>
        <w:rPr>
          <w:rFonts w:ascii="ITC Avant Garde" w:hAnsi="ITC Avant Garde"/>
          <w:lang w:eastAsia="ar-SA"/>
        </w:rPr>
        <w:t>. Con oficio IFT/223/UCS/DG-CRAD/598/2015 del 25 de febrero de 2015 la Dirección General de Concesiones de Radiodifusión de la UCS, de conformidad con lo establecido en los artículos 32 y 34 fracción II del Estatuto Orgánico, remitió la solicitud de refrendo de vigencia de la Concesión a la Dirección General de Concentraciones y Concesiones de la Unidad de Competencia Económica (</w:t>
      </w:r>
      <w:r>
        <w:rPr>
          <w:rFonts w:ascii="ITC Avant Garde" w:hAnsi="ITC Avant Garde"/>
          <w:lang w:eastAsia="es-MX"/>
        </w:rPr>
        <w:t>en lo sucesivo, la</w:t>
      </w:r>
      <w:r>
        <w:rPr>
          <w:rFonts w:ascii="ITC Avant Garde" w:hAnsi="ITC Avant Garde"/>
          <w:lang w:eastAsia="ar-SA"/>
        </w:rPr>
        <w:t xml:space="preserve"> “UCE”) a efecto de que emitiera su opinión en materia de competencia económica.</w:t>
      </w:r>
    </w:p>
    <w:p>
      <w:pPr>
        <w:pStyle w:val="Normal"/>
        <w:spacing w:before="0" w:after="0"/>
        <w:jc w:val="both"/>
        <w:rPr>
          <w:rFonts w:ascii="ITC Avant Garde" w:hAnsi="ITC Avant Garde"/>
          <w:lang w:eastAsia="ar-SA"/>
        </w:rPr>
      </w:pPr>
      <w:r>
        <w:rPr>
          <w:rFonts w:ascii="ITC Avant Garde" w:hAnsi="ITC Avant Garde"/>
          <w:lang w:eastAsia="ar-SA"/>
        </w:rPr>
      </w:r>
    </w:p>
    <w:p>
      <w:pPr>
        <w:pStyle w:val="Normal"/>
        <w:spacing w:before="0" w:after="0"/>
        <w:jc w:val="both"/>
        <w:rPr>
          <w:rFonts w:ascii="ITC Avant Garde" w:hAnsi="ITC Avant Garde"/>
          <w:lang w:eastAsia="ar-SA"/>
        </w:rPr>
      </w:pPr>
      <w:r>
        <w:rPr>
          <w:rFonts w:ascii="ITC Avant Garde" w:hAnsi="ITC Avant Garde"/>
          <w:b/>
          <w:lang w:eastAsia="ar-SA"/>
        </w:rPr>
        <w:t>IX.- Solicitud de cálculo de monto de contraprestación a la Unidad de Espectro Radioeléctrico</w:t>
      </w:r>
      <w:r>
        <w:rPr>
          <w:rFonts w:ascii="ITC Avant Garde" w:hAnsi="ITC Avant Garde"/>
          <w:lang w:eastAsia="ar-SA"/>
        </w:rPr>
        <w:t>. Con oficio IFT/223/UCS/DG-CRAD/597/2015 del 27 de febrero de 2015, la Dirección General de Concesiones de Radiodifusión de la UCS, solicitó a la Dirección General del Economía del Espectro y Recursos Orbitales de la Unidad de Espectro Radioeléctrico (en lo sucesivo, la “UER”), que en ejercicio de sus facultades establecidas en el artículo 29 fracción VII del Estatuto Orgánico, realizara la propuesta del monto de la contraprestación con motivo de la solicitud de prórroga de vigencia de la Concesión de uso comercial para usar, aprovechar y explotar bandas de frecuencias del espectro radioeléctrico para la prestación de servicio de televisión.</w:t>
      </w:r>
    </w:p>
    <w:p>
      <w:pPr>
        <w:pStyle w:val="Normal"/>
        <w:spacing w:before="0" w:after="0"/>
        <w:ind w:right="615" w:hanging="0"/>
        <w:jc w:val="both"/>
        <w:rPr>
          <w:rFonts w:ascii="ITC Avant Garde" w:hAnsi="ITC Avant Garde"/>
          <w:lang w:eastAsia="ar-SA"/>
        </w:rPr>
      </w:pPr>
      <w:r>
        <w:rPr>
          <w:rFonts w:ascii="ITC Avant Garde" w:hAnsi="ITC Avant Garde"/>
          <w:lang w:eastAsia="ar-SA"/>
        </w:rPr>
      </w:r>
    </w:p>
    <w:p>
      <w:pPr>
        <w:pStyle w:val="Normal"/>
        <w:spacing w:before="0" w:after="0"/>
        <w:jc w:val="both"/>
        <w:rPr>
          <w:rFonts w:ascii="ITC Avant Garde" w:hAnsi="ITC Avant Garde"/>
          <w:b/>
          <w:b/>
          <w:sz w:val="24"/>
          <w:szCs w:val="24"/>
          <w:lang w:eastAsia="ar-SA"/>
        </w:rPr>
      </w:pPr>
      <w:r>
        <w:rPr>
          <w:rFonts w:ascii="ITC Avant Garde" w:hAnsi="ITC Avant Garde"/>
          <w:b/>
          <w:lang w:eastAsia="ar-SA"/>
        </w:rPr>
        <w:t>X.- Contraprestación autorizada por la Secretaría de Hacienda y Crédito Público</w:t>
      </w:r>
      <w:r>
        <w:rPr>
          <w:rFonts w:ascii="ITC Avant Garde" w:hAnsi="ITC Avant Garde"/>
          <w:lang w:eastAsia="ar-SA"/>
        </w:rPr>
        <w:t xml:space="preserve">. Con oficio IFT/222/UER/146/2015 del 08 de junio de 2015, la UER remitió a la UCS copia del oficio No. 349-B-237 del 05 de junio de 2015, emitido por la Unidad de Política de Ingresos No Tributarios de la Secretaría de Hacienda y Crédito Público (en lo sucesivo, la “SHCP”) mediante el cual se autoriza el monto propuesto del aprovechamiento por concepto de contraprestación que deberá pagar por el otorgamiento de la prórroga de la Concesión en comento. </w:t>
      </w:r>
    </w:p>
    <w:p>
      <w:pPr>
        <w:pStyle w:val="Normal"/>
        <w:spacing w:before="0" w:after="0"/>
        <w:jc w:val="both"/>
        <w:rPr>
          <w:rFonts w:ascii="ITC Avant Garde" w:hAnsi="ITC Avant Garde"/>
          <w:lang w:eastAsia="ar-SA"/>
        </w:rPr>
      </w:pPr>
      <w:r>
        <w:rPr>
          <w:rFonts w:ascii="ITC Avant Garde" w:hAnsi="ITC Avant Garde"/>
          <w:lang w:eastAsia="ar-SA"/>
        </w:rPr>
      </w:r>
    </w:p>
    <w:p>
      <w:pPr>
        <w:pStyle w:val="Normal"/>
        <w:spacing w:before="0" w:after="0"/>
        <w:jc w:val="both"/>
        <w:rPr>
          <w:rFonts w:ascii="ITC Avant Garde" w:hAnsi="ITC Avant Garde"/>
          <w:i/>
          <w:i/>
          <w:lang w:eastAsia="ar-SA"/>
        </w:rPr>
      </w:pPr>
      <w:r>
        <w:rPr>
          <w:rFonts w:ascii="ITC Avant Garde" w:hAnsi="ITC Avant Garde"/>
          <w:b/>
          <w:lang w:eastAsia="ar-SA"/>
        </w:rPr>
        <w:t>XI. Opinión en Materia de Competencia Económica.</w:t>
      </w:r>
      <w:r>
        <w:rPr>
          <w:rFonts w:ascii="ITC Avant Garde" w:hAnsi="ITC Avant Garde"/>
          <w:lang w:eastAsia="ar-SA"/>
        </w:rPr>
        <w:t xml:space="preserve"> Con oficio IFT/226/UCE/DG-CCON/270/2015 del 27 de octubre de 2015, la Dirección General de Concentraciones y Concesiones de la UCE emitió opinión en materia de competencia económica respecto a la solicitud de refrendo de la Concesión, estableciendo en la parte final de la opinión que: </w:t>
      </w:r>
      <w:r>
        <w:rPr>
          <w:rFonts w:ascii="ITC Avant Garde" w:hAnsi="ITC Avant Garde"/>
          <w:i/>
          <w:lang w:eastAsia="ar-SA"/>
        </w:rPr>
        <w:t>"…con la información disponible, en caso de que se otorgue autorización para que Canal RCG continúe proveyendo el servicio de TV Abierta Comercial, se advierte que existen medidas enfocadas a contrarrestar posibles efectos contrarios en el proceso de competencia y libre concurrencia en la provisión de servicios de TV Abierta Comercial en la localidad de Saltillo, Coahuila, cuyo impacto, en términos de competencia, será evaluado cada 2 (dos) años y, en su caso, se podrá ordenar la separación estructural, funcional, o la desincorporación de activos del AEPR”.</w:t>
      </w:r>
    </w:p>
    <w:p>
      <w:pPr>
        <w:pStyle w:val="Normal"/>
        <w:spacing w:before="0" w:after="0"/>
        <w:jc w:val="both"/>
        <w:rPr>
          <w:rFonts w:ascii="ITC Avant Garde" w:hAnsi="ITC Avant Garde"/>
          <w:i/>
          <w:i/>
          <w:lang w:eastAsia="ar-SA"/>
        </w:rPr>
      </w:pPr>
      <w:r>
        <w:rPr>
          <w:rFonts w:ascii="ITC Avant Garde" w:hAnsi="ITC Avant Garde"/>
          <w:i/>
          <w:lang w:eastAsia="ar-SA"/>
        </w:rPr>
      </w:r>
    </w:p>
    <w:p>
      <w:pPr>
        <w:pStyle w:val="Normal"/>
        <w:spacing w:before="0" w:after="0"/>
        <w:ind w:right="48" w:hanging="0"/>
        <w:jc w:val="both"/>
        <w:rPr>
          <w:rFonts w:ascii="ITC Avant Garde" w:hAnsi="ITC Avant Garde"/>
          <w:lang w:eastAsia="ar-SA"/>
        </w:rPr>
      </w:pPr>
      <w:r>
        <w:rPr>
          <w:rFonts w:ascii="ITC Avant Garde" w:hAnsi="ITC Avant Garde"/>
          <w:b/>
          <w:lang w:eastAsia="ar-SA"/>
        </w:rPr>
        <w:t>XII.- Opinión en Materia de Cumplimiento de Obligaciones</w:t>
      </w:r>
      <w:r>
        <w:rPr>
          <w:rFonts w:ascii="ITC Avant Garde" w:hAnsi="ITC Avant Garde"/>
          <w:lang w:eastAsia="ar-SA"/>
        </w:rPr>
        <w:t>. Con oficio IFT/225/UC/DG-SUV/5669/2015, del 29 de octubre de 2015, la Dirección General de Supervisión de la UC emitió el dictamen como resultado de la revisión documental del cumplimiento de obligaciones practicado al expediente del Concesionario, en el que se determinó que</w:t>
      </w:r>
      <w:r>
        <w:rPr>
          <w:rFonts w:ascii="ITC Avant Garde" w:hAnsi="ITC Avant Garde"/>
          <w:i/>
          <w:lang w:eastAsia="ar-SA"/>
        </w:rPr>
        <w:t xml:space="preserve"> </w:t>
      </w:r>
      <w:r>
        <w:rPr>
          <w:rFonts w:ascii="ITC Avant Garde" w:hAnsi="ITC Avant Garde"/>
          <w:lang w:eastAsia="ar-SA"/>
        </w:rPr>
        <w:t xml:space="preserve">se encuentra en cumplimiento de las obligaciones derivadas del título de Concesión.  </w:t>
      </w:r>
    </w:p>
    <w:p>
      <w:pPr>
        <w:pStyle w:val="Normal"/>
        <w:spacing w:before="0" w:after="0"/>
        <w:jc w:val="both"/>
        <w:rPr>
          <w:rFonts w:ascii="ITC Avant Garde" w:hAnsi="ITC Avant Garde"/>
          <w:bCs/>
          <w:color w:val="000000" w:themeColor="text1"/>
          <w:lang w:eastAsia="es-MX"/>
        </w:rPr>
      </w:pPr>
      <w:r>
        <w:rPr>
          <w:rFonts w:ascii="ITC Avant Garde" w:hAnsi="ITC Avant Garde"/>
          <w:bCs/>
          <w:color w:val="000000" w:themeColor="text1"/>
          <w:lang w:eastAsia="es-MX"/>
        </w:rPr>
        <w:t>En virtud de los Antecedentes referidos y,</w:t>
      </w:r>
    </w:p>
    <w:p>
      <w:pPr>
        <w:pStyle w:val="Normal"/>
        <w:spacing w:before="0" w:after="0"/>
        <w:jc w:val="both"/>
        <w:rPr>
          <w:rFonts w:ascii="ITC Avant Garde" w:hAnsi="ITC Avant Garde" w:eastAsia="Times New Roman"/>
          <w:lang w:eastAsia="es-MX"/>
        </w:rPr>
      </w:pPr>
      <w:r>
        <w:rPr>
          <w:rFonts w:eastAsia="Times New Roman" w:ascii="ITC Avant Garde" w:hAnsi="ITC Avant Garde"/>
          <w:lang w:eastAsia="es-MX"/>
        </w:rPr>
      </w:r>
    </w:p>
    <w:p>
      <w:pPr>
        <w:pStyle w:val="Heading2"/>
        <w:jc w:val="center"/>
        <w:rPr>
          <w:rFonts w:ascii="ITC Avant Garde" w:hAnsi="ITC Avant Garde" w:eastAsia="Times New Roman"/>
          <w:b/>
          <w:b/>
          <w:color w:val="000000" w:themeColor="text1"/>
          <w:lang w:eastAsia="es-MX"/>
        </w:rPr>
      </w:pPr>
      <w:r>
        <w:rPr>
          <w:rFonts w:ascii="ITC Avant Garde" w:hAnsi="ITC Avant Garde"/>
          <w:b/>
          <w:color w:val="000000" w:themeColor="text1"/>
          <w:sz w:val="22"/>
          <w:szCs w:val="22"/>
        </w:rPr>
        <w:t>CONSIDERANDO</w:t>
      </w:r>
    </w:p>
    <w:p>
      <w:pPr>
        <w:pStyle w:val="Normal"/>
        <w:spacing w:before="0" w:after="0"/>
        <w:jc w:val="both"/>
        <w:rPr>
          <w:rFonts w:ascii="ITC Avant Garde" w:hAnsi="ITC Avant Garde" w:eastAsia="Times New Roman"/>
          <w:color w:val="000000" w:themeColor="text1"/>
          <w:lang w:eastAsia="es-MX"/>
        </w:rPr>
      </w:pPr>
      <w:r>
        <w:rPr>
          <w:rFonts w:eastAsia="Times New Roman" w:ascii="ITC Avant Garde" w:hAnsi="ITC Avant Garde"/>
          <w:color w:val="000000" w:themeColor="text1"/>
          <w:lang w:eastAsia="es-MX"/>
        </w:rPr>
      </w:r>
    </w:p>
    <w:p>
      <w:pPr>
        <w:pStyle w:val="Normal"/>
        <w:spacing w:before="0" w:after="0"/>
        <w:jc w:val="both"/>
        <w:rPr>
          <w:rFonts w:ascii="ITC Avant Garde" w:hAnsi="ITC Avant Garde" w:eastAsia="Times New Roman"/>
          <w:bCs/>
          <w:lang w:val="es-ES" w:eastAsia="ar-SA"/>
        </w:rPr>
      </w:pPr>
      <w:r>
        <w:rPr>
          <w:rFonts w:eastAsia="Times New Roman" w:ascii="ITC Avant Garde" w:hAnsi="ITC Avant Garde"/>
          <w:b/>
          <w:bCs/>
          <w:color w:val="000000" w:themeColor="text1"/>
          <w:lang w:val="es-ES" w:eastAsia="ar-SA"/>
        </w:rPr>
        <w:t>Primero.- Competencia del Instituto.</w:t>
      </w:r>
      <w:r>
        <w:rPr>
          <w:rFonts w:eastAsia="Times New Roman" w:ascii="ITC Avant Garde" w:hAnsi="ITC Avant Garde"/>
          <w:bCs/>
          <w:color w:val="000000" w:themeColor="text1"/>
          <w:lang w:val="es-ES" w:eastAsia="ar-SA"/>
        </w:rPr>
        <w:t xml:space="preserve"> De conformidad con </w:t>
      </w:r>
      <w:r>
        <w:rPr>
          <w:rFonts w:eastAsia="Times New Roman" w:ascii="ITC Avant Garde" w:hAnsi="ITC Avant Garde"/>
          <w:bCs/>
          <w:lang w:val="es-ES" w:eastAsia="ar-SA"/>
        </w:rPr>
        <w:t>el artículo 28 párrafo décimo quinto de la Constitución Política de los Estados Unidos Mexicanos (en lo sucesivo, la “Constitución”), el Instituto es un órgano autónomo con personalidad jurídica y patrimonio propio, que tiene por objeto el desarrollo eficiente de la radiodifusión y las telecomunicaciones, conforme a lo dispuesto en la propia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pPr>
        <w:pStyle w:val="Normal"/>
        <w:spacing w:before="0" w:after="0"/>
        <w:jc w:val="both"/>
        <w:rPr>
          <w:rFonts w:ascii="ITC Avant Garde" w:hAnsi="ITC Avant Garde" w:eastAsia="Times New Roman"/>
          <w:bCs/>
          <w:lang w:val="es-ES" w:eastAsia="ar-SA"/>
        </w:rPr>
      </w:pPr>
      <w:r>
        <w:rPr>
          <w:rFonts w:eastAsia="Times New Roman" w:ascii="ITC Avant Garde" w:hAnsi="ITC Avant Garde"/>
          <w:bCs/>
          <w:lang w:val="es-ES" w:eastAsia="ar-SA"/>
        </w:rPr>
      </w:r>
    </w:p>
    <w:p>
      <w:pPr>
        <w:pStyle w:val="Normal"/>
        <w:spacing w:before="0" w:after="0"/>
        <w:ind w:right="48" w:hanging="0"/>
        <w:jc w:val="both"/>
        <w:rPr>
          <w:rFonts w:ascii="ITC Avant Garde" w:hAnsi="ITC Avant Garde" w:eastAsia="Times New Roman"/>
          <w:bCs/>
          <w:lang w:eastAsia="ar-SA"/>
        </w:rPr>
      </w:pPr>
      <w:r>
        <w:rPr>
          <w:rFonts w:eastAsia="Times New Roman" w:ascii="ITC Avant Garde" w:hAnsi="ITC Avant Garde"/>
          <w:bCs/>
          <w:lang w:val="es-ES" w:eastAsia="ar-SA"/>
        </w:rPr>
        <w:t xml:space="preserve">Por su parte, el párrafo décimo séptimo del artículo 28 de la Constitución dispone que </w:t>
      </w:r>
      <w:r>
        <w:rPr>
          <w:rFonts w:eastAsia="Times New Roman" w:ascii="ITC Avant Garde" w:hAnsi="ITC Avant Garde"/>
          <w:bCs/>
          <w:lang w:eastAsia="ar-SA"/>
        </w:rPr>
        <w:t>corresponde al Instituto el otorgamiento, la revocación, así como la autorización de cesiones o cambios de control accionario, titularidad u operación de sociedades relacionadas con concesiones en materia de radiodifusión y telecomunicaciones.</w:t>
      </w:r>
    </w:p>
    <w:p>
      <w:pPr>
        <w:pStyle w:val="Normal"/>
        <w:spacing w:before="0" w:after="0"/>
        <w:ind w:right="48" w:hanging="0"/>
        <w:jc w:val="both"/>
        <w:rPr>
          <w:rFonts w:ascii="ITC Avant Garde" w:hAnsi="ITC Avant Garde" w:eastAsia="Times New Roman"/>
          <w:bCs/>
          <w:lang w:eastAsia="ar-SA"/>
        </w:rPr>
      </w:pPr>
      <w:r>
        <w:rPr>
          <w:rFonts w:eastAsia="Times New Roman" w:ascii="ITC Avant Garde" w:hAnsi="ITC Avant Garde"/>
          <w:bCs/>
          <w:lang w:eastAsia="ar-SA"/>
        </w:rPr>
      </w:r>
    </w:p>
    <w:p>
      <w:pPr>
        <w:pStyle w:val="Normal"/>
        <w:spacing w:before="0" w:after="0"/>
        <w:jc w:val="both"/>
        <w:rPr>
          <w:rFonts w:ascii="ITC Avant Garde" w:hAnsi="ITC Avant Garde" w:eastAsia="Times New Roman"/>
          <w:bCs/>
          <w:lang w:eastAsia="ar-SA"/>
        </w:rPr>
      </w:pPr>
      <w:r>
        <w:rPr>
          <w:rFonts w:eastAsia="Times New Roman" w:ascii="ITC Avant Garde" w:hAnsi="ITC Avant Garde"/>
          <w:bCs/>
          <w:lang w:val="es-ES" w:eastAsia="ar-SA"/>
        </w:rPr>
        <w:t xml:space="preserve">Asimismo, </w:t>
      </w:r>
      <w:r>
        <w:rPr>
          <w:rFonts w:eastAsia="Times New Roman" w:ascii="ITC Avant Garde" w:hAnsi="ITC Avant Garde"/>
          <w:bCs/>
          <w:lang w:eastAsia="ar-SA"/>
        </w:rPr>
        <w:t>conforme al artículo 28 párrafo décimo sexto de la Constitución,</w:t>
      </w:r>
      <w:r>
        <w:rPr>
          <w:rFonts w:eastAsia="Times New Roman" w:ascii="ITC Avant Garde" w:hAnsi="ITC Avant Garde"/>
          <w:bCs/>
          <w:lang w:val="es-ES" w:eastAsia="ar-SA"/>
        </w:rPr>
        <w:t xml:space="preserve">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 la concentración, al concesionamiento y a la propiedad cruzada que controle varios medios de comunicación que sean concesionarios de radiodifusión y telecomunicaciones que sirvan a un mismo mercado o zona de cobertura geográfica.</w:t>
      </w:r>
    </w:p>
    <w:p>
      <w:pPr>
        <w:pStyle w:val="Normal"/>
        <w:spacing w:before="0" w:after="0"/>
        <w:jc w:val="both"/>
        <w:rPr>
          <w:rFonts w:ascii="ITC Avant Garde" w:hAnsi="ITC Avant Garde" w:eastAsia="Times New Roman"/>
          <w:bCs/>
          <w:lang w:eastAsia="ar-SA"/>
        </w:rPr>
      </w:pPr>
      <w:r>
        <w:rPr>
          <w:rFonts w:eastAsia="Times New Roman" w:ascii="ITC Avant Garde" w:hAnsi="ITC Avant Garde"/>
          <w:bCs/>
          <w:lang w:eastAsia="ar-SA"/>
        </w:rPr>
      </w:r>
    </w:p>
    <w:p>
      <w:pPr>
        <w:pStyle w:val="Normal"/>
        <w:spacing w:before="0" w:after="0"/>
        <w:jc w:val="both"/>
        <w:rPr>
          <w:rFonts w:ascii="ITC Avant Garde" w:hAnsi="ITC Avant Garde" w:eastAsia="Times New Roman"/>
          <w:bCs/>
          <w:lang w:val="es-ES" w:eastAsia="ar-SA"/>
        </w:rPr>
      </w:pPr>
      <w:r>
        <w:rPr>
          <w:rFonts w:eastAsia="Times New Roman" w:ascii="ITC Avant Garde" w:hAnsi="ITC Avant Garde"/>
          <w:bCs/>
          <w:lang w:val="es-ES" w:eastAsia="ar-SA"/>
        </w:rPr>
        <w:t>El artículo Sexto Transitorio del Decreto de Ley, señala que la atención, trámite y resolución de los asuntos y procedimientos que hayan iniciado previo a la entrada en vigor del mismo, se realizarán en los términos establecidos en el artículo Séptimo Transitorio del Decreto de Reforma Constitucional.</w:t>
      </w:r>
    </w:p>
    <w:p>
      <w:pPr>
        <w:pStyle w:val="Normal"/>
        <w:spacing w:before="0" w:after="0"/>
        <w:jc w:val="both"/>
        <w:rPr>
          <w:rFonts w:ascii="ITC Avant Garde" w:hAnsi="ITC Avant Garde" w:eastAsia="Times New Roman"/>
          <w:bCs/>
          <w:lang w:val="es-ES" w:eastAsia="ar-SA"/>
        </w:rPr>
      </w:pPr>
      <w:r>
        <w:rPr>
          <w:rFonts w:eastAsia="Times New Roman" w:ascii="ITC Avant Garde" w:hAnsi="ITC Avant Garde"/>
          <w:bCs/>
          <w:lang w:val="es-ES" w:eastAsia="ar-SA"/>
        </w:rPr>
      </w:r>
    </w:p>
    <w:p>
      <w:pPr>
        <w:pStyle w:val="Normal"/>
        <w:spacing w:before="0" w:after="0"/>
        <w:jc w:val="both"/>
        <w:rPr>
          <w:rFonts w:ascii="ITC Avant Garde" w:hAnsi="ITC Avant Garde" w:eastAsia="Times New Roman"/>
          <w:bCs/>
          <w:lang w:val="es-ES" w:eastAsia="ar-SA"/>
        </w:rPr>
      </w:pPr>
      <w:r>
        <w:rPr>
          <w:rFonts w:eastAsia="Times New Roman" w:ascii="ITC Avant Garde" w:hAnsi="ITC Avant Garde"/>
          <w:bCs/>
          <w:lang w:val="es-ES" w:eastAsia="ar-SA"/>
        </w:rPr>
        <w:t>También, el segundo párrafo del artículo Séptimo Transitorio del Decreto de Reforma Constitucional indica que los procedimientos iniciados con anterioridad a la integración del Instituto, como acontece en el presente caso, continuarán su trámite ante este órgano en términos de la legislación aplicable al momento de su inicio.</w:t>
      </w:r>
    </w:p>
    <w:p>
      <w:pPr>
        <w:pStyle w:val="Normal"/>
        <w:spacing w:before="0" w:after="0"/>
        <w:jc w:val="both"/>
        <w:rPr>
          <w:rFonts w:ascii="ITC Avant Garde" w:hAnsi="ITC Avant Garde" w:eastAsia="Times New Roman"/>
          <w:bCs/>
          <w:lang w:val="es-ES" w:eastAsia="ar-SA"/>
        </w:rPr>
      </w:pPr>
      <w:r>
        <w:rPr>
          <w:rFonts w:eastAsia="Times New Roman" w:ascii="ITC Avant Garde" w:hAnsi="ITC Avant Garde"/>
          <w:bCs/>
          <w:lang w:val="es-ES" w:eastAsia="ar-SA"/>
        </w:rPr>
      </w:r>
    </w:p>
    <w:p>
      <w:pPr>
        <w:pStyle w:val="Normal"/>
        <w:spacing w:before="0" w:after="0"/>
        <w:jc w:val="both"/>
        <w:rPr>
          <w:rFonts w:ascii="ITC Avant Garde" w:hAnsi="ITC Avant Garde" w:eastAsia="Times New Roman"/>
          <w:bCs/>
          <w:lang w:eastAsia="ar-SA"/>
        </w:rPr>
      </w:pPr>
      <w:r>
        <w:rPr>
          <w:rFonts w:eastAsia="Times New Roman" w:ascii="ITC Avant Garde" w:hAnsi="ITC Avant Garde"/>
          <w:bCs/>
          <w:lang w:eastAsia="ar-SA"/>
        </w:rPr>
        <w:t>De igual forma, conforme a lo establecido en los artículos 15 fracción IV y 17 fracción I de la Ley Federal de Telecomunicaciones y Radiodifusión (en lo sucesivo, la “Ley”) y 6 fracciones I y XXXVII del Estatuto Orgánico, corresponde al Pleno del Instituto la facultad de otorgar las concesiones previstas en dicho ordenamiento legal y resolver sobre su prórroga.</w:t>
      </w:r>
    </w:p>
    <w:p>
      <w:pPr>
        <w:pStyle w:val="Normal"/>
        <w:spacing w:before="0" w:after="0"/>
        <w:jc w:val="both"/>
        <w:rPr>
          <w:rFonts w:ascii="ITC Avant Garde" w:hAnsi="ITC Avant Garde" w:eastAsia="Times New Roman"/>
          <w:bCs/>
          <w:lang w:eastAsia="ar-SA"/>
        </w:rPr>
      </w:pPr>
      <w:r>
        <w:rPr>
          <w:rFonts w:eastAsia="Times New Roman" w:ascii="ITC Avant Garde" w:hAnsi="ITC Avant Garde"/>
          <w:bCs/>
          <w:lang w:eastAsia="ar-SA"/>
        </w:rPr>
      </w:r>
    </w:p>
    <w:p>
      <w:pPr>
        <w:pStyle w:val="Normal"/>
        <w:spacing w:before="0" w:after="0"/>
        <w:jc w:val="both"/>
        <w:rPr>
          <w:rFonts w:ascii="ITC Avant Garde" w:hAnsi="ITC Avant Garde" w:eastAsia="Times New Roman"/>
          <w:bCs/>
          <w:lang w:eastAsia="ar-SA"/>
        </w:rPr>
      </w:pPr>
      <w:r>
        <w:rPr>
          <w:rFonts w:eastAsia="Times New Roman" w:ascii="ITC Avant Garde" w:hAnsi="ITC Avant Garde"/>
          <w:bCs/>
          <w:lang w:eastAsia="ar-SA"/>
        </w:rPr>
        <w:t>Para dichos efectos, el trámite y evaluación de las solicitudes para el otorgamiento de concesiones en materia de radiodifusión de televisión para someterlas a consideración del Pleno corresponde, conforme al artículo 32 y 34 fracción II del Estatuto Orgánico, originariamente a la Unidad de Concesiones y Servicios por conducto de la Dirección General de Concesiones de Radiodifusión, por lo cual, corresponde a dicha Dirección General, en términos del artículo 34 fracción II del ordenamiento jurídico en cita, tramitar y evaluar las solicitudes de prórroga de concesiones en materia de radiodifusión para someterlas a consideración del Pleno.</w:t>
      </w:r>
    </w:p>
    <w:p>
      <w:pPr>
        <w:pStyle w:val="Normal"/>
        <w:spacing w:before="0" w:after="0"/>
        <w:jc w:val="both"/>
        <w:rPr>
          <w:rFonts w:ascii="ITC Avant Garde" w:hAnsi="ITC Avant Garde" w:cs="Tahoma"/>
          <w:bCs/>
          <w:lang w:eastAsia="es-MX"/>
        </w:rPr>
      </w:pPr>
      <w:r>
        <w:rPr>
          <w:rFonts w:cs="Tahoma" w:ascii="ITC Avant Garde" w:hAnsi="ITC Avant Garde"/>
          <w:bCs/>
          <w:lang w:eastAsia="es-MX"/>
        </w:rPr>
      </w:r>
    </w:p>
    <w:p>
      <w:pPr>
        <w:pStyle w:val="Normal"/>
        <w:spacing w:before="0" w:after="0"/>
        <w:jc w:val="both"/>
        <w:rPr>
          <w:rFonts w:ascii="ITC Avant Garde" w:hAnsi="ITC Avant Garde"/>
          <w:bCs/>
        </w:rPr>
      </w:pPr>
      <w:r>
        <w:rPr>
          <w:rFonts w:ascii="ITC Avant Garde" w:hAnsi="ITC Avant Garde"/>
          <w:bCs/>
        </w:rPr>
        <w:t xml:space="preserve">En este orden de ideas y considerando que el Instituto tiene a su cargo la regulación, promoción y supervisión de las telecomunicaciones y la radiodifusión, así como la facultad </w:t>
      </w:r>
      <w:r>
        <w:rPr>
          <w:rFonts w:cs="Tahoma" w:ascii="ITC Avant Garde" w:hAnsi="ITC Avant Garde"/>
          <w:bCs/>
          <w:lang w:eastAsia="es-MX"/>
        </w:rPr>
        <w:t xml:space="preserve">para </w:t>
      </w:r>
      <w:r>
        <w:rPr>
          <w:rFonts w:eastAsia="Times New Roman" w:ascii="ITC Avant Garde" w:hAnsi="ITC Avant Garde"/>
          <w:bCs/>
          <w:lang w:eastAsia="ar-SA"/>
        </w:rPr>
        <w:t xml:space="preserve">resolver sobre la prórroga de </w:t>
      </w:r>
      <w:r>
        <w:rPr>
          <w:rFonts w:eastAsia="Times New Roman" w:ascii="ITC Avant Garde" w:hAnsi="ITC Avant Garde"/>
          <w:bCs/>
          <w:lang w:val="en-US" w:eastAsia="ar-SA"/>
        </w:rPr>
        <w:t>concesiones</w:t>
      </w:r>
      <w:r>
        <w:rPr>
          <w:rFonts w:ascii="ITC Avant Garde" w:hAnsi="ITC Avant Garde"/>
          <w:bCs/>
        </w:rPr>
        <w:t>, el Pleno, como órgano máximo de gobierno y decisión del Instituto, se encuentra plenamente facultado para resolver la solicitud de refrendo o prórroga que nos ocupa.</w:t>
      </w:r>
    </w:p>
    <w:p>
      <w:pPr>
        <w:pStyle w:val="Normal"/>
        <w:spacing w:before="0" w:after="0"/>
        <w:jc w:val="both"/>
        <w:rPr>
          <w:rFonts w:ascii="ITC Avant Garde" w:hAnsi="ITC Avant Garde" w:eastAsia="Times New Roman"/>
          <w:lang w:val="es-ES" w:eastAsia="ar-SA"/>
        </w:rPr>
      </w:pPr>
      <w:r>
        <w:rPr>
          <w:rFonts w:eastAsia="Times New Roman" w:ascii="ITC Avant Garde" w:hAnsi="ITC Avant Garde"/>
          <w:lang w:val="es-ES" w:eastAsia="ar-SA"/>
        </w:rPr>
      </w:r>
    </w:p>
    <w:p>
      <w:pPr>
        <w:pStyle w:val="Normal"/>
        <w:suppressAutoHyphens w:val="true"/>
        <w:spacing w:before="0" w:after="0"/>
        <w:jc w:val="both"/>
        <w:rPr>
          <w:rFonts w:ascii="ITC Avant Garde" w:hAnsi="ITC Avant Garde" w:eastAsia="Times New Roman"/>
          <w:bCs/>
          <w:color w:val="000000"/>
          <w:lang w:eastAsia="es-MX"/>
        </w:rPr>
      </w:pPr>
      <w:r>
        <w:rPr>
          <w:rFonts w:eastAsia="Times New Roman" w:ascii="ITC Avant Garde" w:hAnsi="ITC Avant Garde"/>
          <w:b/>
          <w:sz w:val="21"/>
          <w:szCs w:val="21"/>
          <w:lang w:val="es-ES" w:eastAsia="ar-SA"/>
        </w:rPr>
        <w:t>Segundo</w:t>
      </w:r>
      <w:r>
        <w:rPr>
          <w:rFonts w:eastAsia="Times New Roman" w:ascii="ITC Avant Garde" w:hAnsi="ITC Avant Garde"/>
          <w:b/>
          <w:sz w:val="21"/>
          <w:szCs w:val="21"/>
          <w:lang w:eastAsia="ar-SA"/>
        </w:rPr>
        <w:t xml:space="preserve">.- Marco Legal aplicable al otorgamiento de Refrendo de la Concesión. </w:t>
      </w:r>
      <w:r>
        <w:rPr>
          <w:rFonts w:cs="Tahoma" w:ascii="ITC Avant Garde" w:hAnsi="ITC Avant Garde"/>
          <w:bCs/>
          <w:color w:val="000000"/>
          <w:lang w:eastAsia="es-MX"/>
        </w:rPr>
        <w:t>El artículo sexto transitorio del Decreto de Ley</w:t>
      </w:r>
      <w:r>
        <w:rPr>
          <w:rFonts w:eastAsia="Times New Roman" w:ascii="ITC Avant Garde" w:hAnsi="ITC Avant Garde"/>
          <w:bCs/>
          <w:color w:val="000000"/>
          <w:lang w:eastAsia="es-MX"/>
        </w:rPr>
        <w:t xml:space="preserve"> establece el tratamiento que deberá darse a los asuntos y procedimientos que hayan iniciado con anterioridad a su entrada en vigor, de manera particular, el referido precepto establece:</w:t>
      </w:r>
    </w:p>
    <w:p>
      <w:pPr>
        <w:pStyle w:val="Normal"/>
        <w:spacing w:before="0" w:after="0"/>
        <w:jc w:val="both"/>
        <w:rPr>
          <w:rFonts w:ascii="ITC Avant Garde" w:hAnsi="ITC Avant Garde" w:eastAsia="Times New Roman"/>
          <w:bCs/>
          <w:color w:val="000000"/>
          <w:lang w:eastAsia="es-MX"/>
        </w:rPr>
      </w:pPr>
      <w:r>
        <w:rPr>
          <w:rFonts w:eastAsia="Times New Roman" w:ascii="ITC Avant Garde" w:hAnsi="ITC Avant Garde"/>
          <w:bCs/>
          <w:color w:val="000000"/>
          <w:lang w:eastAsia="es-MX"/>
        </w:rPr>
      </w:r>
    </w:p>
    <w:p>
      <w:pPr>
        <w:pStyle w:val="Estilo30"/>
        <w:spacing w:lineRule="auto" w:line="276" w:beforeAutospacing="0" w:before="0" w:afterAutospacing="0" w:after="0"/>
        <w:ind w:left="567" w:right="851" w:hanging="0"/>
        <w:jc w:val="both"/>
        <w:rPr>
          <w:rFonts w:ascii="ITC Avant Garde" w:hAnsi="ITC Avant Garde"/>
          <w:bCs/>
          <w:i/>
          <w:i/>
          <w:color w:val="000000"/>
          <w:sz w:val="18"/>
          <w:szCs w:val="18"/>
        </w:rPr>
      </w:pPr>
      <w:r>
        <w:rPr>
          <w:rFonts w:ascii="ITC Avant Garde" w:hAnsi="ITC Avant Garde"/>
          <w:bCs/>
          <w:i/>
          <w:color w:val="000000"/>
          <w:sz w:val="18"/>
          <w:szCs w:val="18"/>
        </w:rPr>
        <w:t>“</w:t>
      </w:r>
      <w:r>
        <w:rPr>
          <w:rFonts w:ascii="ITC Avant Garde" w:hAnsi="ITC Avant Garde"/>
          <w:bCs/>
          <w:i/>
          <w:color w:val="000000"/>
          <w:sz w:val="18"/>
          <w:szCs w:val="18"/>
        </w:rPr>
        <w:t>SEXTO.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pPr>
        <w:pStyle w:val="Normal"/>
        <w:spacing w:before="0" w:after="0"/>
        <w:jc w:val="both"/>
        <w:rPr>
          <w:rFonts w:ascii="ITC Avant Garde" w:hAnsi="ITC Avant Garde" w:eastAsia="Times New Roman"/>
          <w:bCs/>
          <w:color w:val="000000"/>
          <w:lang w:eastAsia="es-MX"/>
        </w:rPr>
      </w:pPr>
      <w:r>
        <w:rPr>
          <w:rFonts w:eastAsia="Times New Roman" w:ascii="ITC Avant Garde" w:hAnsi="ITC Avant Garde"/>
          <w:bCs/>
          <w:color w:val="000000"/>
          <w:lang w:eastAsia="es-MX"/>
        </w:rPr>
      </w:r>
    </w:p>
    <w:p>
      <w:pPr>
        <w:pStyle w:val="Normal"/>
        <w:spacing w:before="0" w:after="0"/>
        <w:jc w:val="both"/>
        <w:rPr>
          <w:rFonts w:ascii="ITC Avant Garde" w:hAnsi="ITC Avant Garde" w:eastAsia="Times New Roman"/>
          <w:bCs/>
          <w:color w:val="000000"/>
          <w:lang w:eastAsia="es-MX"/>
        </w:rPr>
      </w:pPr>
      <w:r>
        <w:rPr>
          <w:rFonts w:eastAsia="Times New Roman" w:ascii="ITC Avant Garde" w:hAnsi="ITC Avant Garde"/>
          <w:bCs/>
          <w:color w:val="000000"/>
          <w:lang w:eastAsia="es-MX"/>
        </w:rPr>
        <w:t>En ese sentido, la atención, trámite y resolución de los procedimientos que se ubiquen en ese supuesto, deberá realizarse conforme a lo señalado en el segundo párrafo del artículo Séptimo Transitorio del Decreto de Reforma Constitucional, mismo que a la letra señala:</w:t>
      </w:r>
    </w:p>
    <w:p>
      <w:pPr>
        <w:pStyle w:val="Normal"/>
        <w:spacing w:before="0" w:after="0"/>
        <w:jc w:val="both"/>
        <w:rPr>
          <w:rFonts w:ascii="ITC Avant Garde" w:hAnsi="ITC Avant Garde" w:eastAsia="Times New Roman"/>
          <w:bCs/>
          <w:color w:val="000000"/>
          <w:sz w:val="10"/>
          <w:lang w:eastAsia="es-MX"/>
        </w:rPr>
      </w:pPr>
      <w:r>
        <w:rPr>
          <w:rFonts w:eastAsia="Times New Roman" w:ascii="ITC Avant Garde" w:hAnsi="ITC Avant Garde"/>
          <w:bCs/>
          <w:color w:val="000000"/>
          <w:sz w:val="10"/>
          <w:lang w:eastAsia="es-MX"/>
        </w:rPr>
      </w:r>
    </w:p>
    <w:p>
      <w:pPr>
        <w:pStyle w:val="Estilo30"/>
        <w:spacing w:lineRule="auto" w:line="276" w:beforeAutospacing="0" w:before="0" w:afterAutospacing="0" w:after="0"/>
        <w:ind w:left="567" w:right="899" w:hanging="0"/>
        <w:jc w:val="both"/>
        <w:rPr>
          <w:rFonts w:ascii="ITC Avant Garde" w:hAnsi="ITC Avant Garde"/>
          <w:bCs/>
          <w:i/>
          <w:i/>
          <w:color w:val="000000"/>
          <w:sz w:val="18"/>
          <w:szCs w:val="18"/>
        </w:rPr>
      </w:pPr>
      <w:r>
        <w:rPr>
          <w:rFonts w:ascii="ITC Avant Garde" w:hAnsi="ITC Avant Garde"/>
          <w:bCs/>
          <w:i/>
          <w:color w:val="000000"/>
          <w:sz w:val="18"/>
          <w:szCs w:val="18"/>
        </w:rPr>
        <w:t>“</w:t>
      </w:r>
      <w:r>
        <w:rPr>
          <w:rFonts w:ascii="ITC Avant Garde" w:hAnsi="ITC Avant Garde"/>
          <w:bCs/>
          <w:i/>
          <w:color w:val="000000"/>
          <w:sz w:val="18"/>
          <w:szCs w:val="18"/>
        </w:rPr>
        <w:t>SÉPTIMO. ...</w:t>
      </w:r>
    </w:p>
    <w:p>
      <w:pPr>
        <w:pStyle w:val="Estilo30"/>
        <w:spacing w:lineRule="auto" w:line="276" w:beforeAutospacing="0" w:before="0" w:afterAutospacing="0" w:after="0"/>
        <w:ind w:left="567" w:right="899" w:hanging="0"/>
        <w:jc w:val="both"/>
        <w:rPr>
          <w:rFonts w:ascii="ITC Avant Garde" w:hAnsi="ITC Avant Garde"/>
          <w:bCs/>
          <w:i/>
          <w:i/>
          <w:color w:val="000000"/>
          <w:sz w:val="18"/>
          <w:szCs w:val="18"/>
        </w:rPr>
      </w:pPr>
      <w:r>
        <w:rPr>
          <w:rFonts w:ascii="ITC Avant Garde" w:hAnsi="ITC Avant Garde"/>
          <w:bCs/>
          <w:i/>
          <w:color w:val="000000"/>
          <w:sz w:val="18"/>
          <w:szCs w:val="18"/>
        </w:rPr>
      </w:r>
    </w:p>
    <w:p>
      <w:pPr>
        <w:pStyle w:val="Estilo30"/>
        <w:spacing w:lineRule="auto" w:line="276" w:beforeAutospacing="0" w:before="0" w:afterAutospacing="0" w:after="0"/>
        <w:ind w:left="567" w:right="899" w:hanging="0"/>
        <w:jc w:val="both"/>
        <w:rPr>
          <w:rFonts w:ascii="ITC Avant Garde" w:hAnsi="ITC Avant Garde"/>
          <w:bCs/>
          <w:i/>
          <w:i/>
          <w:color w:val="000000"/>
          <w:sz w:val="18"/>
          <w:szCs w:val="18"/>
        </w:rPr>
      </w:pPr>
      <w:r>
        <w:rPr>
          <w:rFonts w:ascii="ITC Avant Garde" w:hAnsi="ITC Avant Garde"/>
          <w:bCs/>
          <w:i/>
          <w:color w:val="000000"/>
          <w:sz w:val="18"/>
          <w:szCs w:val="18"/>
        </w:rPr>
        <w:t>Los procedimientos iniciados con anterioridad a la integración de la Comisión Federal de Competencia Económica y del Instituto Federal de Telecomunicaciones, continuarán su trámite ante estos órganos en términos de la legislación aplicable al momento de su inicio. Las resoluciones que recaigan en estos procedimientos, sólo podrán ser impugnadas en términos de lo dispuesto por el presente Decreto mediante juicio de amparo indirecto.</w:t>
      </w:r>
    </w:p>
    <w:p>
      <w:pPr>
        <w:pStyle w:val="Estilo30"/>
        <w:spacing w:lineRule="auto" w:line="276" w:beforeAutospacing="0" w:before="0" w:afterAutospacing="0" w:after="0"/>
        <w:ind w:left="567" w:right="899" w:hanging="0"/>
        <w:jc w:val="both"/>
        <w:rPr>
          <w:rFonts w:ascii="ITC Avant Garde" w:hAnsi="ITC Avant Garde"/>
          <w:bCs/>
          <w:i/>
          <w:i/>
          <w:color w:val="000000"/>
          <w:sz w:val="18"/>
          <w:szCs w:val="18"/>
        </w:rPr>
      </w:pPr>
      <w:r>
        <w:rPr>
          <w:rFonts w:ascii="ITC Avant Garde" w:hAnsi="ITC Avant Garde"/>
          <w:bCs/>
          <w:i/>
          <w:color w:val="000000"/>
          <w:sz w:val="18"/>
          <w:szCs w:val="18"/>
        </w:rPr>
      </w:r>
    </w:p>
    <w:p>
      <w:pPr>
        <w:pStyle w:val="Normal"/>
        <w:spacing w:before="0" w:after="0"/>
        <w:ind w:left="567" w:right="899" w:hanging="0"/>
        <w:contextualSpacing/>
        <w:jc w:val="both"/>
        <w:rPr>
          <w:rFonts w:ascii="ITC Avant Garde" w:hAnsi="ITC Avant Garde" w:eastAsia="Times New Roman"/>
          <w:bCs/>
          <w:i/>
          <w:i/>
          <w:color w:val="000000"/>
          <w:sz w:val="18"/>
          <w:szCs w:val="18"/>
          <w:lang w:eastAsia="es-MX"/>
        </w:rPr>
      </w:pPr>
      <w:r>
        <w:rPr>
          <w:rFonts w:eastAsia="Times New Roman" w:ascii="ITC Avant Garde" w:hAnsi="ITC Avant Garde"/>
          <w:bCs/>
          <w:i/>
          <w:color w:val="000000"/>
          <w:sz w:val="18"/>
          <w:szCs w:val="18"/>
          <w:lang w:eastAsia="es-MX"/>
        </w:rPr>
        <w:t>...”</w:t>
      </w:r>
    </w:p>
    <w:p>
      <w:pPr>
        <w:pStyle w:val="Normal"/>
        <w:spacing w:before="0" w:after="0"/>
        <w:ind w:left="567" w:right="899" w:hanging="0"/>
        <w:contextualSpacing/>
        <w:jc w:val="both"/>
        <w:rPr>
          <w:rFonts w:ascii="ITC Avant Garde" w:hAnsi="ITC Avant Garde" w:eastAsia="Times New Roman"/>
          <w:bCs/>
          <w:i/>
          <w:i/>
          <w:color w:val="000000"/>
          <w:sz w:val="18"/>
          <w:szCs w:val="18"/>
          <w:lang w:eastAsia="es-MX"/>
        </w:rPr>
      </w:pPr>
      <w:r>
        <w:rPr>
          <w:rFonts w:eastAsia="Times New Roman" w:ascii="ITC Avant Garde" w:hAnsi="ITC Avant Garde"/>
          <w:bCs/>
          <w:i/>
          <w:color w:val="000000"/>
          <w:sz w:val="18"/>
          <w:szCs w:val="18"/>
          <w:lang w:eastAsia="es-MX"/>
        </w:rPr>
      </w:r>
    </w:p>
    <w:p>
      <w:pPr>
        <w:pStyle w:val="Normal"/>
        <w:spacing w:before="0" w:after="0"/>
        <w:jc w:val="both"/>
        <w:rPr>
          <w:rFonts w:ascii="ITC Avant Garde" w:hAnsi="ITC Avant Garde" w:eastAsia="Times New Roman"/>
          <w:bCs/>
          <w:color w:val="000000"/>
          <w:lang w:eastAsia="es-MX"/>
        </w:rPr>
      </w:pPr>
      <w:r>
        <w:rPr>
          <w:rFonts w:eastAsia="Times New Roman" w:ascii="ITC Avant Garde" w:hAnsi="ITC Avant Garde"/>
          <w:bCs/>
          <w:color w:val="000000"/>
          <w:lang w:eastAsia="es-MX"/>
        </w:rPr>
        <w:t>De la interpretación armónica de los artículos referidos, se desprende que el Decreto de Ley al reconocer en disposiciones transitorias la aplicación de la normatividad vigente al momento de la presentación de la solicitud de refrendo de la Concesión, atiende al principio de no retroactividad de la ley, pues la finalidad de ésta es la no exigibilidad de nuevos requerimientos, por lo cual, para el estudio de las solicitudes para el refrendo o prórroga de concesiones para el uso del espectro radioeléctrico para la prestación del servicio de radiodifusión, resultan aplicables los requisitos establecidos en la</w:t>
      </w:r>
      <w:r>
        <w:rPr>
          <w:rFonts w:cs="Tahoma" w:ascii="ITC Avant Garde" w:hAnsi="ITC Avant Garde"/>
          <w:bCs/>
          <w:color w:val="000000"/>
          <w:lang w:eastAsia="es-MX"/>
        </w:rPr>
        <w:t xml:space="preserve"> LFRTV </w:t>
      </w:r>
      <w:r>
        <w:rPr>
          <w:rFonts w:eastAsia="Times New Roman" w:ascii="ITC Avant Garde" w:hAnsi="ITC Avant Garde"/>
          <w:bCs/>
          <w:color w:val="000000"/>
          <w:lang w:eastAsia="es-MX"/>
        </w:rPr>
        <w:t>y demás disposiciones aplicables vigentes para ese momento.</w:t>
      </w:r>
    </w:p>
    <w:p>
      <w:pPr>
        <w:pStyle w:val="Normal"/>
        <w:suppressAutoHyphens w:val="true"/>
        <w:spacing w:before="0" w:after="0"/>
        <w:jc w:val="both"/>
        <w:rPr>
          <w:rFonts w:ascii="ITC Avant Garde" w:hAnsi="ITC Avant Garde" w:eastAsia="Times New Roman"/>
          <w:b/>
          <w:b/>
          <w:lang w:eastAsia="ar-SA"/>
        </w:rPr>
      </w:pPr>
      <w:r>
        <w:rPr>
          <w:rFonts w:eastAsia="Times New Roman" w:ascii="ITC Avant Garde" w:hAnsi="ITC Avant Garde"/>
          <w:b/>
          <w:lang w:eastAsia="ar-SA"/>
        </w:rPr>
      </w:r>
    </w:p>
    <w:p>
      <w:pPr>
        <w:pStyle w:val="Normal"/>
        <w:spacing w:before="0" w:after="0"/>
        <w:jc w:val="both"/>
        <w:rPr>
          <w:rFonts w:ascii="ITC Avant Garde" w:hAnsi="ITC Avant Garde" w:cs="Tahoma"/>
          <w:bCs/>
          <w:color w:val="000000"/>
          <w:lang w:eastAsia="es-MX"/>
        </w:rPr>
      </w:pPr>
      <w:r>
        <w:rPr>
          <w:rFonts w:cs="Tahoma" w:ascii="ITC Avant Garde" w:hAnsi="ITC Avant Garde"/>
          <w:bCs/>
          <w:color w:val="000000"/>
          <w:lang w:eastAsia="es-MX"/>
        </w:rPr>
        <w:t xml:space="preserve">De manera particular, en virtud de que la Solicitud de refrendo de la Concesión fue presentada el </w:t>
      </w:r>
      <w:r>
        <w:rPr>
          <w:rFonts w:ascii="ITC Avant Garde" w:hAnsi="ITC Avant Garde"/>
          <w:bCs/>
          <w:color w:val="000000"/>
          <w:lang w:eastAsia="es-MX"/>
        </w:rPr>
        <w:t>2 de abril de 2008</w:t>
      </w:r>
      <w:r>
        <w:rPr>
          <w:rFonts w:cs="Tahoma" w:ascii="ITC Avant Garde" w:hAnsi="ITC Avant Garde"/>
          <w:bCs/>
          <w:color w:val="000000"/>
          <w:lang w:eastAsia="es-MX"/>
        </w:rPr>
        <w:t>, para efectos de su trámite e integración deben observarse los requisitos determinados en la legislación aplicable al momento de su ingreso, esto es, conforme a aquellos que</w:t>
      </w:r>
      <w:r>
        <w:rPr>
          <w:rFonts w:eastAsia="Times New Roman" w:ascii="ITC Avant Garde" w:hAnsi="ITC Avant Garde"/>
          <w:bCs/>
          <w:color w:val="000000"/>
          <w:lang w:eastAsia="es-MX"/>
        </w:rPr>
        <w:t xml:space="preserve"> para el uso del espectro radioeléctrico para la prestación del servicio de radiodifusión</w:t>
      </w:r>
      <w:r>
        <w:rPr>
          <w:rFonts w:cs="Tahoma" w:ascii="ITC Avant Garde" w:hAnsi="ITC Avant Garde"/>
          <w:bCs/>
          <w:color w:val="000000"/>
          <w:lang w:eastAsia="es-MX"/>
        </w:rPr>
        <w:t xml:space="preserve"> establece la LFRTV.</w:t>
      </w:r>
    </w:p>
    <w:p>
      <w:pPr>
        <w:pStyle w:val="Normal"/>
        <w:suppressAutoHyphens w:val="true"/>
        <w:spacing w:before="0" w:after="0"/>
        <w:jc w:val="both"/>
        <w:rPr>
          <w:rFonts w:ascii="ITC Avant Garde" w:hAnsi="ITC Avant Garde" w:eastAsia="Times New Roman"/>
          <w:b/>
          <w:b/>
          <w:lang w:eastAsia="ar-SA"/>
        </w:rPr>
      </w:pPr>
      <w:r>
        <w:rPr>
          <w:rFonts w:eastAsia="Times New Roman" w:ascii="ITC Avant Garde" w:hAnsi="ITC Avant Garde"/>
          <w:b/>
          <w:lang w:eastAsia="ar-SA"/>
        </w:rPr>
      </w:r>
    </w:p>
    <w:p>
      <w:pPr>
        <w:pStyle w:val="Normal"/>
        <w:spacing w:before="0" w:after="0"/>
        <w:jc w:val="both"/>
        <w:rPr>
          <w:rFonts w:ascii="ITC Avant Garde" w:hAnsi="ITC Avant Garde" w:cs="Tahoma"/>
          <w:bCs/>
          <w:color w:val="000000"/>
          <w:lang w:eastAsia="es-MX"/>
        </w:rPr>
      </w:pPr>
      <w:r>
        <w:rPr>
          <w:rFonts w:cs="Tahoma" w:ascii="ITC Avant Garde" w:hAnsi="ITC Avant Garde"/>
          <w:bCs/>
          <w:color w:val="000000"/>
          <w:lang w:eastAsia="es-MX"/>
        </w:rPr>
        <w:t xml:space="preserve">En ese sentido, resulta aplicable el contenido del artículo 16 de la LFRTV. </w:t>
      </w:r>
    </w:p>
    <w:p>
      <w:pPr>
        <w:pStyle w:val="Normal"/>
        <w:suppressAutoHyphens w:val="true"/>
        <w:spacing w:before="0" w:after="0"/>
        <w:jc w:val="both"/>
        <w:rPr>
          <w:rFonts w:ascii="ITC Avant Garde" w:hAnsi="ITC Avant Garde" w:eastAsia="Times New Roman"/>
          <w:b/>
          <w:b/>
          <w:lang w:eastAsia="ar-SA"/>
        </w:rPr>
      </w:pPr>
      <w:r>
        <w:rPr>
          <w:rFonts w:eastAsia="Times New Roman" w:ascii="ITC Avant Garde" w:hAnsi="ITC Avant Garde"/>
          <w:b/>
          <w:lang w:eastAsia="ar-SA"/>
        </w:rPr>
      </w:r>
    </w:p>
    <w:p>
      <w:pPr>
        <w:pStyle w:val="Normal"/>
        <w:suppressAutoHyphens w:val="true"/>
        <w:spacing w:before="0" w:after="0"/>
        <w:jc w:val="both"/>
        <w:rPr>
          <w:rFonts w:ascii="ITC Avant Garde" w:hAnsi="ITC Avant Garde" w:eastAsia="Times New Roman"/>
          <w:sz w:val="21"/>
          <w:szCs w:val="21"/>
          <w:lang w:eastAsia="ar-SA"/>
        </w:rPr>
      </w:pPr>
      <w:r>
        <w:rPr>
          <w:rFonts w:cs="Tahoma" w:ascii="ITC Avant Garde" w:hAnsi="ITC Avant Garde"/>
          <w:bCs/>
          <w:color w:val="000000"/>
          <w:lang w:eastAsia="es-MX"/>
        </w:rPr>
        <w:t xml:space="preserve">Al respecto, el artículo 16 de la LFRTV, derivado del </w:t>
      </w:r>
      <w:r>
        <w:rPr>
          <w:rFonts w:cs="Tahoma" w:ascii="ITC Avant Garde" w:hAnsi="ITC Avant Garde"/>
          <w:bCs/>
          <w:i/>
          <w:color w:val="000000"/>
          <w:lang w:eastAsia="es-MX"/>
        </w:rPr>
        <w:t>“</w:t>
      </w:r>
      <w:r>
        <w:rPr>
          <w:rFonts w:cs="Tahoma" w:ascii="ITC Avant Garde" w:hAnsi="ITC Avant Garde"/>
          <w:bCs/>
          <w:i/>
          <w:color w:val="000000"/>
          <w:lang w:val="en-US" w:eastAsia="es-MX"/>
        </w:rPr>
        <w:t>Decreto que Reforma, Adiciona y Deroga diversas disposiciones de la Ley Federal de Telecomunicaciones y de la Ley Federal de Radio y Televisión”</w:t>
      </w:r>
      <w:r>
        <w:rPr>
          <w:rFonts w:cs="Tahoma" w:ascii="ITC Avant Garde" w:hAnsi="ITC Avant Garde"/>
          <w:bCs/>
          <w:color w:val="000000"/>
          <w:lang w:val="en-US" w:eastAsia="es-MX"/>
        </w:rPr>
        <w:t xml:space="preserve">, publicado en el DOF el 11 de abril de 2006, fue modificado </w:t>
      </w:r>
      <w:r>
        <w:rPr>
          <w:rFonts w:cs="Tahoma" w:ascii="ITC Avant Garde" w:hAnsi="ITC Avant Garde"/>
          <w:bCs/>
          <w:color w:val="000000"/>
          <w:lang w:eastAsia="es-MX"/>
        </w:rPr>
        <w:t>a efecto de señalar que al proceso de refrendo al que puede estar sujeta una concesión no le sería aplicable el procedimiento de licitación establecido en el artículo 17 de la misma, relativo a nuevas concesiones, quedando de la siguiente forma:</w:t>
      </w:r>
    </w:p>
    <w:p>
      <w:pPr>
        <w:pStyle w:val="Normal"/>
        <w:suppressAutoHyphens w:val="true"/>
        <w:spacing w:before="0" w:after="0"/>
        <w:jc w:val="both"/>
        <w:rPr>
          <w:rFonts w:ascii="ITC Avant Garde" w:hAnsi="ITC Avant Garde" w:eastAsia="Times New Roman"/>
          <w:sz w:val="21"/>
          <w:szCs w:val="21"/>
          <w:lang w:eastAsia="ar-SA"/>
        </w:rPr>
      </w:pPr>
      <w:r>
        <w:rPr>
          <w:rFonts w:eastAsia="Times New Roman" w:ascii="ITC Avant Garde" w:hAnsi="ITC Avant Garde"/>
          <w:sz w:val="21"/>
          <w:szCs w:val="21"/>
          <w:lang w:eastAsia="ar-SA"/>
        </w:rPr>
      </w:r>
    </w:p>
    <w:p>
      <w:pPr>
        <w:pStyle w:val="Normal"/>
        <w:suppressAutoHyphens w:val="true"/>
        <w:spacing w:before="0" w:after="0"/>
        <w:ind w:left="567" w:right="899" w:hanging="0"/>
        <w:jc w:val="both"/>
        <w:rPr>
          <w:rFonts w:ascii="ITC Avant Garde" w:hAnsi="ITC Avant Garde" w:eastAsia="Times New Roman"/>
          <w:i/>
          <w:i/>
          <w:sz w:val="18"/>
          <w:szCs w:val="18"/>
          <w:lang w:eastAsia="ar-SA"/>
        </w:rPr>
      </w:pPr>
      <w:r>
        <w:rPr>
          <w:rFonts w:eastAsia="Times New Roman" w:ascii="ITC Avant Garde" w:hAnsi="ITC Avant Garde"/>
          <w:i/>
          <w:sz w:val="18"/>
          <w:szCs w:val="18"/>
          <w:lang w:eastAsia="ar-SA"/>
        </w:rPr>
        <w:t>"Artículo 16. El término de una concesión será de 20 años y podrá ser refrendada al mismo concesionario que tendrá preferencia sobre terceros. El refrendo de las concesiones, salvo en el caso de renuncia, no estará sujeto al procedimiento del artículo 17 de esta Ley."</w:t>
      </w:r>
    </w:p>
    <w:p>
      <w:pPr>
        <w:pStyle w:val="Normal"/>
        <w:suppressAutoHyphens w:val="true"/>
        <w:spacing w:before="0" w:after="0"/>
        <w:jc w:val="both"/>
        <w:rPr>
          <w:rFonts w:ascii="ITC Avant Garde" w:hAnsi="ITC Avant Garde" w:eastAsia="Times New Roman"/>
          <w:sz w:val="21"/>
          <w:szCs w:val="21"/>
          <w:lang w:eastAsia="ar-SA"/>
        </w:rPr>
      </w:pPr>
      <w:r>
        <w:rPr>
          <w:rFonts w:eastAsia="Times New Roman" w:ascii="ITC Avant Garde" w:hAnsi="ITC Avant Garde"/>
          <w:sz w:val="21"/>
          <w:szCs w:val="21"/>
          <w:lang w:eastAsia="ar-SA"/>
        </w:rPr>
      </w:r>
    </w:p>
    <w:p>
      <w:pPr>
        <w:pStyle w:val="Normal"/>
        <w:spacing w:before="0" w:after="0"/>
        <w:jc w:val="both"/>
        <w:rPr>
          <w:rFonts w:ascii="ITC Avant Garde" w:hAnsi="ITC Avant Garde"/>
          <w:bCs/>
        </w:rPr>
      </w:pPr>
      <w:r>
        <w:rPr>
          <w:rFonts w:ascii="ITC Avant Garde" w:hAnsi="ITC Avant Garde"/>
          <w:bCs/>
        </w:rPr>
        <w:t>En ese orden de ideas, el 20 de agosto de 2007, fue publicada en el DOF la sentencia relativa a la Acción de Inconstitucionalidad 26/2006, por medio de la cual el Pleno de la Suprema Corte de Justicia de la Nación (en lo sucesivo SCJN) resolvió declarar inconstitucionales diversos preceptos de la LFRTV.</w:t>
      </w:r>
    </w:p>
    <w:p>
      <w:pPr>
        <w:pStyle w:val="Normal"/>
        <w:spacing w:before="0" w:after="0"/>
        <w:jc w:val="both"/>
        <w:rPr>
          <w:rFonts w:ascii="ITC Avant Garde" w:hAnsi="ITC Avant Garde"/>
          <w:bCs/>
        </w:rPr>
      </w:pPr>
      <w:r>
        <w:rPr>
          <w:rFonts w:ascii="ITC Avant Garde" w:hAnsi="ITC Avant Garde"/>
          <w:bCs/>
        </w:rPr>
        <w:t>Entre los artículos que la SCJN declaró parcialmente inconstitucionales, se encuentra el artículo 16 de la LFRTV, respecto del cual se suprimieron de nuestro orden jurídico ciertas porciones normativas, para quedar como sigue:</w:t>
      </w:r>
    </w:p>
    <w:p>
      <w:pPr>
        <w:pStyle w:val="Normal"/>
        <w:suppressAutoHyphens w:val="true"/>
        <w:spacing w:before="0" w:after="0"/>
        <w:jc w:val="both"/>
        <w:rPr>
          <w:rFonts w:ascii="ITC Avant Garde" w:hAnsi="ITC Avant Garde" w:eastAsia="Times New Roman"/>
          <w:sz w:val="21"/>
          <w:szCs w:val="21"/>
          <w:lang w:eastAsia="ar-SA"/>
        </w:rPr>
      </w:pPr>
      <w:r>
        <w:rPr>
          <w:rFonts w:eastAsia="Times New Roman" w:ascii="ITC Avant Garde" w:hAnsi="ITC Avant Garde"/>
          <w:sz w:val="21"/>
          <w:szCs w:val="21"/>
          <w:lang w:eastAsia="ar-SA"/>
        </w:rPr>
      </w:r>
    </w:p>
    <w:p>
      <w:pPr>
        <w:pStyle w:val="Normal"/>
        <w:suppressAutoHyphens w:val="true"/>
        <w:spacing w:before="0" w:after="0"/>
        <w:ind w:left="567" w:right="899" w:hanging="0"/>
        <w:jc w:val="both"/>
        <w:rPr>
          <w:rFonts w:ascii="ITC Avant Garde" w:hAnsi="ITC Avant Garde" w:eastAsia="Times New Roman"/>
          <w:i/>
          <w:i/>
          <w:sz w:val="18"/>
          <w:szCs w:val="18"/>
          <w:lang w:eastAsia="ar-SA"/>
        </w:rPr>
      </w:pPr>
      <w:r>
        <w:rPr>
          <w:rFonts w:eastAsia="Times New Roman" w:ascii="ITC Avant Garde" w:hAnsi="ITC Avant Garde"/>
          <w:i/>
          <w:sz w:val="18"/>
          <w:szCs w:val="18"/>
          <w:lang w:eastAsia="ar-SA"/>
        </w:rPr>
        <w:t>"Artículo 16.- Una concesión podrá ser refrendada al mismo concesionario que tendrá preferencia sobre terceros. "</w:t>
      </w:r>
    </w:p>
    <w:p>
      <w:pPr>
        <w:pStyle w:val="Normal"/>
        <w:suppressAutoHyphens w:val="true"/>
        <w:spacing w:before="0" w:after="0"/>
        <w:ind w:left="567" w:right="899" w:hanging="0"/>
        <w:jc w:val="both"/>
        <w:rPr>
          <w:rFonts w:ascii="ITC Avant Garde" w:hAnsi="ITC Avant Garde" w:eastAsia="Times New Roman"/>
          <w:i/>
          <w:i/>
          <w:sz w:val="18"/>
          <w:szCs w:val="18"/>
          <w:lang w:eastAsia="ar-SA"/>
        </w:rPr>
      </w:pPr>
      <w:r>
        <w:rPr>
          <w:rFonts w:eastAsia="Times New Roman" w:ascii="ITC Avant Garde" w:hAnsi="ITC Avant Garde"/>
          <w:i/>
          <w:sz w:val="18"/>
          <w:szCs w:val="18"/>
          <w:lang w:eastAsia="ar-SA"/>
        </w:rPr>
      </w:r>
    </w:p>
    <w:p>
      <w:pPr>
        <w:pStyle w:val="Normal"/>
        <w:spacing w:before="0" w:after="0"/>
        <w:jc w:val="both"/>
        <w:rPr>
          <w:rFonts w:ascii="ITC Avant Garde" w:hAnsi="ITC Avant Garde"/>
          <w:bCs/>
        </w:rPr>
      </w:pPr>
      <w:r>
        <w:rPr>
          <w:rFonts w:ascii="ITC Avant Garde" w:hAnsi="ITC Avant Garde"/>
          <w:bCs/>
        </w:rPr>
        <w:t>En ese sentido, al haberse declarado la inconstitucionalidad de una porción normativa del citado precepto, relativa al procedimiento aplicable para el otorgamiento del refrendo de concesiones de frecuencias para la prestación del servicio público de radiodifusión, y a efecto de normar el mismo, se considera procedente aplicar, por una parte, la porción normativa del referido artículo que fue declarada válida en dicha Acción de Inconstitucionalidad, y por otra, el artículo 19 de la LFT, aplicable en términos de la fracción I, del artículo 7-A de la LFRTV, el cual establece que las concesiones sobre bandas de frecuencias podrán ser prorrogadas hasta por plazos iguales a los originalmente establecidos, siempre que el concesionario; hubiere cumplido con las condiciones previstas en la Concesión que se pretenda prorrogar; lo solicite antes de que inicie la última quinta parte del plazo de la Concesión; y acepte las nuevas condiciones que se establezcan, disposiciones aplicadas en términos del segundo párrafo del artículo Séptimo Transitorio del Decreto de Reforma Constitucional.</w:t>
      </w:r>
    </w:p>
    <w:p>
      <w:pPr>
        <w:pStyle w:val="Normal"/>
        <w:suppressAutoHyphens w:val="true"/>
        <w:spacing w:before="0" w:after="0"/>
        <w:ind w:right="-62" w:hanging="0"/>
        <w:jc w:val="both"/>
        <w:rPr>
          <w:rFonts w:ascii="ITC Avant Garde" w:hAnsi="ITC Avant Garde" w:eastAsia="Times New Roman"/>
          <w:sz w:val="21"/>
          <w:szCs w:val="21"/>
          <w:lang w:val="es-ES" w:eastAsia="ar-SA"/>
        </w:rPr>
      </w:pPr>
      <w:r>
        <w:rPr>
          <w:rFonts w:eastAsia="Times New Roman" w:ascii="ITC Avant Garde" w:hAnsi="ITC Avant Garde"/>
          <w:sz w:val="21"/>
          <w:szCs w:val="21"/>
          <w:lang w:val="es-ES" w:eastAsia="ar-SA"/>
        </w:rPr>
      </w:r>
    </w:p>
    <w:p>
      <w:pPr>
        <w:pStyle w:val="Normal"/>
        <w:suppressAutoHyphens w:val="true"/>
        <w:spacing w:before="0" w:after="0"/>
        <w:ind w:right="-62" w:hanging="0"/>
        <w:jc w:val="both"/>
        <w:rPr>
          <w:rFonts w:ascii="ITC Avant Garde" w:hAnsi="ITC Avant Garde" w:eastAsia="Times New Roman"/>
          <w:lang w:val="en-US" w:eastAsia="ar-SA"/>
        </w:rPr>
      </w:pPr>
      <w:r>
        <w:rPr>
          <w:rFonts w:cs="Tahoma" w:ascii="ITC Avant Garde" w:hAnsi="ITC Avant Garde"/>
          <w:bCs/>
          <w:color w:val="000000"/>
          <w:lang w:eastAsia="es-MX"/>
        </w:rPr>
        <w:t>Aunado a lo antes indicado, conforme a los artículos 27</w:t>
      </w:r>
      <w:r>
        <w:rPr>
          <w:rFonts w:eastAsia="Times New Roman" w:ascii="ITC Avant Garde" w:hAnsi="ITC Avant Garde"/>
          <w:lang w:val="es-ES" w:eastAsia="ar-SA"/>
        </w:rPr>
        <w:t xml:space="preserve"> </w:t>
      </w:r>
      <w:r>
        <w:rPr>
          <w:rFonts w:eastAsia="Times New Roman" w:ascii="ITC Avant Garde" w:hAnsi="ITC Avant Garde"/>
          <w:lang w:val="en-US" w:eastAsia="ar-SA"/>
        </w:rPr>
        <w:t>párrafos cuarto y sexto y 134 de la Constitución, el espectro radioeléctrico</w:t>
      </w:r>
      <w:r>
        <w:rPr>
          <w:rFonts w:eastAsia="Times New Roman" w:ascii="ITC Avant Garde" w:hAnsi="ITC Avant Garde"/>
          <w:lang w:val="es-ES" w:eastAsia="ar-SA"/>
        </w:rPr>
        <w:t xml:space="preserve"> constituye </w:t>
      </w:r>
      <w:r>
        <w:rPr>
          <w:rFonts w:eastAsia="Times New Roman" w:ascii="ITC Avant Garde" w:hAnsi="ITC Avant Garde"/>
          <w:lang w:val="en-US" w:eastAsia="ar-SA"/>
        </w:rPr>
        <w:t>un bien del dominio directo de la Nación, cuyo uso, aprovechamiento o explotación puede ser otorgado en concesión a los particulares para prestar el servicio público de radiodifusión en el que el Estado tiene derecho a recibir una contraprestación económica.</w:t>
      </w:r>
    </w:p>
    <w:p>
      <w:pPr>
        <w:pStyle w:val="Normal"/>
        <w:suppressAutoHyphens w:val="true"/>
        <w:spacing w:before="0" w:after="0"/>
        <w:ind w:right="-62" w:hanging="0"/>
        <w:jc w:val="both"/>
        <w:rPr>
          <w:rFonts w:ascii="ITC Avant Garde" w:hAnsi="ITC Avant Garde" w:eastAsia="Times New Roman"/>
          <w:lang w:val="en-US" w:eastAsia="ar-SA"/>
        </w:rPr>
      </w:pPr>
      <w:r>
        <w:rPr>
          <w:rFonts w:eastAsia="Times New Roman" w:ascii="ITC Avant Garde" w:hAnsi="ITC Avant Garde"/>
          <w:lang w:val="en-US" w:eastAsia="ar-SA"/>
        </w:rPr>
      </w:r>
    </w:p>
    <w:p>
      <w:pPr>
        <w:pStyle w:val="Normal"/>
        <w:spacing w:before="0" w:after="0"/>
        <w:jc w:val="both"/>
        <w:rPr>
          <w:rFonts w:ascii="ITC Avant Garde" w:hAnsi="ITC Avant Garde" w:eastAsia="Times New Roman"/>
          <w:lang w:val="en-US" w:eastAsia="ar-SA"/>
        </w:rPr>
      </w:pPr>
      <w:r>
        <w:rPr>
          <w:rFonts w:cs="Tahoma" w:ascii="ITC Avant Garde" w:hAnsi="ITC Avant Garde"/>
          <w:bCs/>
          <w:color w:val="000000"/>
          <w:lang w:eastAsia="es-MX"/>
        </w:rPr>
        <w:t>Asimismo, conforme a dispuesto en los artículos 29 fracción VII y 50 fracción XII del Estatuto Orgánico, se requiere la emisión de las opiniones o dictámenes correspondientes de las Unidades de Espectro Radioeléctrico y de Competencia Económica en el marco de sus respectivas atribuciones en relación con la solicitud que nos ocupa.</w:t>
      </w:r>
    </w:p>
    <w:p>
      <w:pPr>
        <w:pStyle w:val="Normal"/>
        <w:suppressAutoHyphens w:val="true"/>
        <w:spacing w:before="0" w:after="0"/>
        <w:ind w:right="-62" w:hanging="0"/>
        <w:jc w:val="both"/>
        <w:rPr>
          <w:rFonts w:ascii="ITC Avant Garde" w:hAnsi="ITC Avant Garde" w:eastAsia="Times New Roman"/>
          <w:lang w:val="en-US" w:eastAsia="ar-SA"/>
        </w:rPr>
      </w:pPr>
      <w:r>
        <w:rPr>
          <w:rFonts w:eastAsia="Times New Roman" w:ascii="ITC Avant Garde" w:hAnsi="ITC Avant Garde"/>
          <w:lang w:val="en-US" w:eastAsia="ar-SA"/>
        </w:rPr>
      </w:r>
    </w:p>
    <w:p>
      <w:pPr>
        <w:pStyle w:val="Normal"/>
        <w:spacing w:before="0" w:after="0"/>
        <w:jc w:val="both"/>
        <w:rPr>
          <w:rFonts w:ascii="ITC Avant Garde" w:hAnsi="ITC Avant Garde" w:eastAsia="Times New Roman"/>
          <w:sz w:val="21"/>
          <w:szCs w:val="21"/>
          <w:lang w:val="es-ES" w:eastAsia="ar-SA"/>
        </w:rPr>
      </w:pPr>
      <w:r>
        <w:rPr>
          <w:rFonts w:cs="Tahoma" w:ascii="ITC Avant Garde" w:hAnsi="ITC Avant Garde"/>
          <w:bCs/>
          <w:color w:val="000000"/>
          <w:lang w:eastAsia="es-MX"/>
        </w:rPr>
        <w:t>Cabe destacar que para este tipo de solicitudes debe acatarse el requisito de procedencia establecido por el artículo 125 fracción V de la Ley Federal de Derechos, el cual dispone la obligación de pagar los derechos por el estudio y revisión del cumplimiento de obligaciones de la concesión que se solicita refrendar, como es el caso que nos ocupa.</w:t>
      </w:r>
    </w:p>
    <w:p>
      <w:pPr>
        <w:pStyle w:val="Normal"/>
        <w:spacing w:before="0" w:after="0"/>
        <w:jc w:val="both"/>
        <w:rPr>
          <w:rFonts w:ascii="ITC Avant Garde" w:hAnsi="ITC Avant Garde" w:cs="Tahoma"/>
          <w:bCs/>
          <w:color w:val="000000"/>
          <w:lang w:val="es-ES" w:eastAsia="es-MX"/>
        </w:rPr>
      </w:pPr>
      <w:r>
        <w:rPr>
          <w:rFonts w:cs="Tahoma" w:ascii="ITC Avant Garde" w:hAnsi="ITC Avant Garde"/>
          <w:bCs/>
          <w:color w:val="000000"/>
          <w:lang w:val="es-ES" w:eastAsia="es-MX"/>
        </w:rPr>
      </w:r>
    </w:p>
    <w:p>
      <w:pPr>
        <w:pStyle w:val="Normal"/>
        <w:spacing w:before="0" w:after="0"/>
        <w:jc w:val="both"/>
        <w:rPr>
          <w:rFonts w:ascii="ITC Avant Garde" w:hAnsi="ITC Avant Garde" w:cs="Tahoma"/>
          <w:bCs/>
          <w:color w:val="000000"/>
          <w:lang w:val="es-ES" w:eastAsia="es-MX"/>
        </w:rPr>
      </w:pPr>
      <w:r>
        <w:rPr>
          <w:rFonts w:cs="Tahoma" w:ascii="ITC Avant Garde" w:hAnsi="ITC Avant Garde"/>
          <w:b/>
          <w:bCs/>
          <w:color w:val="000000"/>
          <w:lang w:val="es-ES" w:eastAsia="es-MX"/>
        </w:rPr>
        <w:t>Tercero.- Calidad de Agente Económico Preponderante del Concesionario</w:t>
      </w:r>
      <w:r>
        <w:rPr>
          <w:rFonts w:cs="Tahoma" w:ascii="ITC Avant Garde" w:hAnsi="ITC Avant Garde"/>
          <w:bCs/>
          <w:color w:val="000000"/>
          <w:lang w:val="es-ES" w:eastAsia="es-MX"/>
        </w:rPr>
        <w:t>.- El artículo Cuarto Transitorio del Decreto de Reforma Constitucional establece la posibilidad de que los actuales concesionarios de radiodifusión, telecomunicaciones y telefonía obtengan autorización para prestar servicios adicionales a los que son objeto de su concesión o para transitar al modelo de concesión única, siempre que se encuentren en cumplimiento de las obligaciones previstas en las leyes y en sus títulos de concesión.  Para el caso de los agentes económicos preponderantes, se establece que sólo podrán obtener dicha autorización cuando se encuentren en cumplimiento de las medidas que se les hayan impuesto conforme a lo previsto por las fracciones III y IV del artículo Octavo Transitorio del propio Decreto de Reforma Constitucional.</w:t>
      </w:r>
    </w:p>
    <w:p>
      <w:pPr>
        <w:pStyle w:val="Normal"/>
        <w:spacing w:before="0" w:after="0"/>
        <w:jc w:val="both"/>
        <w:rPr>
          <w:rFonts w:ascii="ITC Avant Garde" w:hAnsi="ITC Avant Garde" w:cs="Tahoma"/>
          <w:bCs/>
          <w:color w:val="000000"/>
          <w:lang w:val="es-ES" w:eastAsia="es-MX"/>
        </w:rPr>
      </w:pPr>
      <w:r>
        <w:rPr>
          <w:rFonts w:cs="Tahoma" w:ascii="ITC Avant Garde" w:hAnsi="ITC Avant Garde"/>
          <w:bCs/>
          <w:color w:val="000000"/>
          <w:lang w:val="es-ES" w:eastAsia="es-MX"/>
        </w:rPr>
      </w:r>
    </w:p>
    <w:p>
      <w:pPr>
        <w:pStyle w:val="Normal"/>
        <w:spacing w:before="0" w:after="0"/>
        <w:jc w:val="both"/>
        <w:rPr>
          <w:rFonts w:ascii="ITC Avant Garde" w:hAnsi="ITC Avant Garde" w:cs="Tahoma"/>
          <w:bCs/>
          <w:color w:val="000000"/>
          <w:lang w:val="es-ES" w:eastAsia="es-MX"/>
        </w:rPr>
      </w:pPr>
      <w:r>
        <w:rPr>
          <w:rFonts w:cs="Tahoma" w:ascii="ITC Avant Garde" w:hAnsi="ITC Avant Garde"/>
          <w:bCs/>
          <w:color w:val="000000"/>
          <w:lang w:val="es-ES" w:eastAsia="es-MX"/>
        </w:rPr>
        <w:t xml:space="preserve">De lo anterior se desprende que el marco jurídico vigente establece disposiciones específicas para los agentes económicos declarados como preponderantes, con respecto al régimen que deberá observarse para transitar a la concesión única o para prestar servicios adicionales.  Lo anterior otorga un derecho a los particulares, dejando a su potestad la posibilidad de solicitar el tránsito de sus concesiones o para prestar servicios adicionales. </w:t>
      </w:r>
    </w:p>
    <w:p>
      <w:pPr>
        <w:pStyle w:val="Normal"/>
        <w:spacing w:before="0" w:after="0"/>
        <w:jc w:val="both"/>
        <w:rPr>
          <w:rFonts w:ascii="ITC Avant Garde" w:hAnsi="ITC Avant Garde" w:cs="Tahoma"/>
          <w:bCs/>
          <w:color w:val="000000"/>
          <w:lang w:val="es-ES" w:eastAsia="es-MX"/>
        </w:rPr>
      </w:pPr>
      <w:r>
        <w:rPr>
          <w:rFonts w:cs="Tahoma" w:ascii="ITC Avant Garde" w:hAnsi="ITC Avant Garde"/>
          <w:bCs/>
          <w:color w:val="000000"/>
          <w:lang w:val="es-ES" w:eastAsia="es-MX"/>
        </w:rPr>
      </w:r>
    </w:p>
    <w:p>
      <w:pPr>
        <w:pStyle w:val="Normal"/>
        <w:spacing w:before="0" w:after="0"/>
        <w:jc w:val="both"/>
        <w:rPr>
          <w:rFonts w:ascii="ITC Avant Garde" w:hAnsi="ITC Avant Garde"/>
        </w:rPr>
      </w:pPr>
      <w:r>
        <w:rPr>
          <w:rFonts w:ascii="ITC Avant Garde" w:hAnsi="ITC Avant Garde"/>
        </w:rPr>
        <w:t>Como se señaló anteriormente, para el caso de solicitudes de prórroga de vigencia de concesiones que el Instituto resuelva favorablemente, la consecuencia sería el otorgamiento de una concesión única. No obstante lo anterior, para el caso en que el solicitante de la prórroga forme parte del agente económico preponderante, deberá observarse lo señalado por el artículo Décimo Transitorio fracción II del Decreto de Ley, mismo que establece que para los casos en que el agente económico preponderante opte por transitar a la concesión única, deberá estar en cumplimiento efectivo de las medidas expedidas por el Instituto, cuando menos durante 18 (dieciocho) meses en forma continua.</w:t>
      </w:r>
    </w:p>
    <w:p>
      <w:pPr>
        <w:pStyle w:val="Normal"/>
        <w:spacing w:before="0" w:after="0"/>
        <w:jc w:val="both"/>
        <w:rPr>
          <w:rFonts w:ascii="ITC Avant Garde" w:hAnsi="ITC Avant Garde"/>
        </w:rPr>
      </w:pPr>
      <w:r>
        <w:rPr>
          <w:rFonts w:ascii="ITC Avant Garde" w:hAnsi="ITC Avant Garde"/>
        </w:rPr>
      </w:r>
    </w:p>
    <w:p>
      <w:pPr>
        <w:pStyle w:val="Normal"/>
        <w:spacing w:before="0" w:after="0"/>
        <w:jc w:val="both"/>
        <w:rPr>
          <w:rFonts w:ascii="ITC Avant Garde" w:hAnsi="ITC Avant Garde"/>
        </w:rPr>
      </w:pPr>
      <w:r>
        <w:rPr>
          <w:rFonts w:ascii="ITC Avant Garde" w:hAnsi="ITC Avant Garde"/>
        </w:rPr>
        <w:t>Atendiendo a que en su oportunidad el Instituto emitió las medidas señaladas en las fracciones III y IV del artículo Octavo Transitorio del Decreto de Reforma Constitucional, y que las mismas han entrado en vigor en distintas fechas, cabe destacar que a la fecha de la presente Resolución, el Instituto no ha emitido constancia alguna a Roberto Casimiro González Treviño respecto del cumplimiento efectivo de las medidas impuestas, por lo que de resolverse favorablemente la prórroga de la Concesión, resultaría improcedente el otorgamiento de una concesión única al Concesionario.</w:t>
      </w:r>
    </w:p>
    <w:p>
      <w:pPr>
        <w:pStyle w:val="Normal"/>
        <w:spacing w:before="0" w:after="0"/>
        <w:jc w:val="both"/>
        <w:rPr>
          <w:rFonts w:ascii="ITC Avant Garde" w:hAnsi="ITC Avant Garde"/>
        </w:rPr>
      </w:pPr>
      <w:r>
        <w:rPr>
          <w:rFonts w:ascii="ITC Avant Garde" w:hAnsi="ITC Avant Garde"/>
        </w:rPr>
      </w:r>
    </w:p>
    <w:p>
      <w:pPr>
        <w:pStyle w:val="Normal"/>
        <w:spacing w:before="0" w:after="0"/>
        <w:jc w:val="both"/>
        <w:rPr>
          <w:rFonts w:ascii="ITC Avant Garde" w:hAnsi="ITC Avant Garde"/>
        </w:rPr>
      </w:pPr>
      <w:r>
        <w:rPr>
          <w:rFonts w:ascii="ITC Avant Garde" w:hAnsi="ITC Avant Garde"/>
        </w:rPr>
        <w:t>Sin embargo, considerando que el servicio de radiodifusión que se presta al amparo de la Concesión objeto de refrendo es un servicio público de Interés general en términos del artículo 6 apartado B fracción III de la Constitución, el Estado debe garantizar la continuidad en la prestación del mismo. Por tal razón, el Instituto estima conveniente que en caso de que se determine procedente la solicitud de refrendo de mérito, se otorgaría a Roberto Casimiro González Treviño un título de concesión para uso comercial que le permita continuar prestando el servicio de televisión radiodifundida.</w:t>
      </w:r>
    </w:p>
    <w:p>
      <w:pPr>
        <w:pStyle w:val="Normal"/>
        <w:spacing w:before="0" w:after="0"/>
        <w:jc w:val="both"/>
        <w:rPr>
          <w:rFonts w:ascii="ITC Avant Garde" w:hAnsi="ITC Avant Garde"/>
        </w:rPr>
      </w:pPr>
      <w:r>
        <w:rPr>
          <w:rFonts w:ascii="ITC Avant Garde" w:hAnsi="ITC Avant Garde"/>
        </w:rPr>
      </w:r>
    </w:p>
    <w:p>
      <w:pPr>
        <w:pStyle w:val="Normal"/>
        <w:spacing w:before="0" w:after="0"/>
        <w:jc w:val="both"/>
        <w:rPr>
          <w:rFonts w:ascii="ITC Avant Garde" w:hAnsi="ITC Avant Garde"/>
        </w:rPr>
      </w:pPr>
      <w:r>
        <w:rPr>
          <w:rFonts w:ascii="ITC Avant Garde" w:hAnsi="ITC Avant Garde"/>
        </w:rPr>
        <w:t>Lo anterior no limita la posibilidad de que una vez que Roberto Casimiro González Treviño acredite el cumplimiento de las medidas Impuestas por el Instituto, este órgano autónomo le otorgue el título de concesión correspondiente que le permita prestar de manera convergente todos los servicios de telecomunicaciones o radiodifusión, siempre que el Concesionario cumpla con lo establecido en el último párrafo del artículo Cuarto Transitorio del Decreto de Reforma Constitucional, así como lo señalado al efecto por los artículos 276 de la Ley y 28 de los “Lineamientos generales para el otorgamiento de las concesiones a que se refiere el título cuarto de Ley Federal de Telecomunicaciones y Radiodifusión”, publicados en el Diario Oficial de la Federación el 24 de julio de 2015.</w:t>
      </w:r>
    </w:p>
    <w:p>
      <w:pPr>
        <w:pStyle w:val="Normal"/>
        <w:spacing w:before="0" w:after="0"/>
        <w:jc w:val="both"/>
        <w:rPr>
          <w:rFonts w:ascii="ITC Avant Garde" w:hAnsi="ITC Avant Garde" w:cs="Tahoma"/>
          <w:bCs/>
          <w:color w:val="000000"/>
          <w:lang w:val="es-ES" w:eastAsia="es-MX"/>
        </w:rPr>
      </w:pPr>
      <w:r>
        <w:rPr>
          <w:rFonts w:cs="Tahoma" w:ascii="ITC Avant Garde" w:hAnsi="ITC Avant Garde"/>
          <w:bCs/>
          <w:color w:val="000000"/>
          <w:lang w:val="es-ES" w:eastAsia="es-MX"/>
        </w:rPr>
      </w:r>
    </w:p>
    <w:p>
      <w:pPr>
        <w:pStyle w:val="Normal"/>
        <w:suppressAutoHyphens w:val="true"/>
        <w:spacing w:before="0" w:after="0"/>
        <w:ind w:right="-62" w:hanging="0"/>
        <w:jc w:val="both"/>
        <w:rPr>
          <w:rFonts w:ascii="ITC Avant Garde" w:hAnsi="ITC Avant Garde" w:eastAsia="Times New Roman"/>
          <w:sz w:val="21"/>
          <w:szCs w:val="21"/>
          <w:lang w:val="es-ES" w:eastAsia="ar-SA"/>
        </w:rPr>
      </w:pPr>
      <w:r>
        <w:rPr>
          <w:rFonts w:eastAsia="Times New Roman" w:ascii="ITC Avant Garde" w:hAnsi="ITC Avant Garde"/>
          <w:b/>
          <w:sz w:val="21"/>
          <w:szCs w:val="21"/>
          <w:lang w:val="es-ES" w:eastAsia="ar-SA"/>
        </w:rPr>
        <w:t xml:space="preserve">Cuarto.- Análisis de la solicitud de Refrendo. </w:t>
      </w:r>
      <w:r>
        <w:rPr>
          <w:rFonts w:eastAsia="Times New Roman" w:ascii="ITC Avant Garde" w:hAnsi="ITC Avant Garde"/>
          <w:sz w:val="21"/>
          <w:szCs w:val="21"/>
          <w:lang w:val="es-ES" w:eastAsia="ar-SA"/>
        </w:rPr>
        <w:t>El Concesionario, mediante escrito presentado el  2 de abril de 2008, solicitó el otorgamiento del refrendo de la Concesión para usar el canal 7 (banda de frecuencia 174-180 MHz) a través de la estación de televisión con distintivo de llamada XHRCG-TV, en Saltillo, Coahuila, en tal virtud, se procede conforme a lo establecido en la Ley en los siguientes términos:</w:t>
      </w:r>
    </w:p>
    <w:p>
      <w:pPr>
        <w:pStyle w:val="Normal"/>
        <w:suppressAutoHyphens w:val="true"/>
        <w:spacing w:before="0" w:after="0"/>
        <w:ind w:right="-62" w:hanging="0"/>
        <w:jc w:val="both"/>
        <w:rPr>
          <w:rFonts w:ascii="ITC Avant Garde" w:hAnsi="ITC Avant Garde" w:eastAsia="Times New Roman"/>
          <w:b/>
          <w:b/>
          <w:sz w:val="21"/>
          <w:szCs w:val="21"/>
          <w:lang w:val="es-ES" w:eastAsia="ar-SA"/>
        </w:rPr>
      </w:pPr>
      <w:r>
        <w:rPr>
          <w:rFonts w:eastAsia="Times New Roman" w:ascii="ITC Avant Garde" w:hAnsi="ITC Avant Garde"/>
          <w:b/>
          <w:sz w:val="21"/>
          <w:szCs w:val="21"/>
          <w:lang w:val="es-ES" w:eastAsia="ar-SA"/>
        </w:rPr>
      </w:r>
    </w:p>
    <w:p>
      <w:pPr>
        <w:pStyle w:val="ListParagraph"/>
        <w:numPr>
          <w:ilvl w:val="0"/>
          <w:numId w:val="2"/>
        </w:numPr>
        <w:spacing w:lineRule="auto" w:line="276"/>
        <w:ind w:left="644" w:right="48" w:hanging="360"/>
        <w:jc w:val="both"/>
        <w:rPr>
          <w:rFonts w:ascii="ITC Avant Garde" w:hAnsi="ITC Avant Garde"/>
          <w:b/>
          <w:b/>
          <w:bCs/>
          <w:sz w:val="22"/>
          <w:szCs w:val="22"/>
        </w:rPr>
      </w:pPr>
      <w:r>
        <w:rPr>
          <w:rFonts w:ascii="ITC Avant Garde" w:hAnsi="ITC Avant Garde"/>
          <w:b/>
          <w:bCs/>
          <w:sz w:val="22"/>
          <w:szCs w:val="22"/>
        </w:rPr>
        <w:t>Cumplimiento de obligaciones</w:t>
      </w:r>
      <w:r>
        <w:rPr>
          <w:rFonts w:ascii="ITC Avant Garde" w:hAnsi="ITC Avant Garde"/>
          <w:bCs/>
          <w:color w:val="000000"/>
          <w:sz w:val="22"/>
          <w:szCs w:val="22"/>
          <w:lang w:eastAsia="es-MX"/>
        </w:rPr>
        <w:t xml:space="preserve">. </w:t>
      </w:r>
      <w:r>
        <w:rPr>
          <w:rFonts w:ascii="ITC Avant Garde" w:hAnsi="ITC Avant Garde"/>
          <w:bCs/>
          <w:sz w:val="22"/>
          <w:szCs w:val="22"/>
          <w:lang w:eastAsia="ar-SA"/>
        </w:rPr>
        <w:t>Mediante</w:t>
      </w:r>
      <w:r>
        <w:rPr>
          <w:rFonts w:ascii="ITC Avant Garde" w:hAnsi="ITC Avant Garde"/>
          <w:bCs/>
          <w:color w:val="000000"/>
          <w:sz w:val="22"/>
          <w:szCs w:val="22"/>
          <w:lang w:eastAsia="es-MX"/>
        </w:rPr>
        <w:t xml:space="preserve"> oficio número </w:t>
      </w:r>
      <w:r>
        <w:rPr>
          <w:rFonts w:ascii="ITC Avant Garde" w:hAnsi="ITC Avant Garde"/>
          <w:bCs/>
          <w:sz w:val="22"/>
          <w:szCs w:val="22"/>
        </w:rPr>
        <w:t>IFT/225/UC/DG-SUV/5669/2015 del 29 de octubre de 2015</w:t>
      </w:r>
      <w:r>
        <w:rPr>
          <w:rFonts w:ascii="ITC Avant Garde" w:hAnsi="ITC Avant Garde"/>
          <w:bCs/>
          <w:sz w:val="21"/>
          <w:szCs w:val="21"/>
          <w:lang w:eastAsia="ar-SA"/>
        </w:rPr>
        <w:t xml:space="preserve">, </w:t>
      </w:r>
      <w:r>
        <w:rPr>
          <w:rFonts w:ascii="ITC Avant Garde" w:hAnsi="ITC Avant Garde"/>
          <w:sz w:val="22"/>
          <w:szCs w:val="22"/>
          <w:lang w:eastAsia="ar-SA"/>
        </w:rPr>
        <w:t>emitió el dictamen como resultado de la revisión documental del cumplimiento de obligaciones practicado al expediente del Concesionario, en el que se determinó que se encuentra en cumplimiento de las obligaciones derivadas del título de concesión.</w:t>
      </w:r>
    </w:p>
    <w:p>
      <w:pPr>
        <w:pStyle w:val="ListParagraph"/>
        <w:suppressAutoHyphens w:val="true"/>
        <w:ind w:left="720" w:right="-62" w:hanging="0"/>
        <w:jc w:val="both"/>
        <w:rPr>
          <w:rFonts w:ascii="ITC Avant Garde" w:hAnsi="ITC Avant Garde"/>
          <w:bCs/>
          <w:sz w:val="21"/>
          <w:szCs w:val="21"/>
          <w:lang w:eastAsia="ar-SA"/>
        </w:rPr>
      </w:pPr>
      <w:r>
        <w:rPr>
          <w:rFonts w:ascii="ITC Avant Garde" w:hAnsi="ITC Avant Garde"/>
          <w:bCs/>
          <w:sz w:val="21"/>
          <w:szCs w:val="21"/>
          <w:lang w:eastAsia="ar-SA"/>
        </w:rPr>
      </w:r>
    </w:p>
    <w:p>
      <w:pPr>
        <w:pStyle w:val="ListParagraph"/>
        <w:spacing w:lineRule="auto" w:line="276"/>
        <w:ind w:left="644" w:right="48" w:hanging="0"/>
        <w:jc w:val="both"/>
        <w:rPr>
          <w:rFonts w:ascii="ITC Avant Garde" w:hAnsi="ITC Avant Garde"/>
          <w:bCs/>
          <w:sz w:val="22"/>
          <w:szCs w:val="22"/>
        </w:rPr>
      </w:pPr>
      <w:r>
        <w:rPr>
          <w:rFonts w:ascii="ITC Avant Garde" w:hAnsi="ITC Avant Garde"/>
          <w:bCs/>
          <w:sz w:val="22"/>
          <w:szCs w:val="22"/>
        </w:rPr>
        <w:t>Con apoyo en el dictamen de la UC, se advierte que el Concesionario se encuentra en cumplimiento de sus obligaciones derivadas del título de concesión.</w:t>
      </w:r>
    </w:p>
    <w:p>
      <w:pPr>
        <w:pStyle w:val="Normal"/>
        <w:suppressAutoHyphens w:val="true"/>
        <w:spacing w:before="0" w:after="0"/>
        <w:ind w:right="-62" w:hanging="0"/>
        <w:jc w:val="both"/>
        <w:rPr>
          <w:rFonts w:ascii="ITC Avant Garde" w:hAnsi="ITC Avant Garde" w:eastAsia="Times New Roman"/>
          <w:bCs/>
          <w:sz w:val="21"/>
          <w:szCs w:val="21"/>
          <w:lang w:eastAsia="ar-SA"/>
        </w:rPr>
      </w:pPr>
      <w:r>
        <w:rPr>
          <w:rFonts w:eastAsia="Times New Roman" w:ascii="ITC Avant Garde" w:hAnsi="ITC Avant Garde"/>
          <w:bCs/>
          <w:sz w:val="21"/>
          <w:szCs w:val="21"/>
          <w:lang w:eastAsia="ar-SA"/>
        </w:rPr>
      </w:r>
    </w:p>
    <w:p>
      <w:pPr>
        <w:pStyle w:val="ListParagraph"/>
        <w:numPr>
          <w:ilvl w:val="0"/>
          <w:numId w:val="2"/>
        </w:numPr>
        <w:spacing w:lineRule="auto" w:line="276"/>
        <w:ind w:left="644" w:right="48" w:hanging="360"/>
        <w:jc w:val="both"/>
        <w:rPr>
          <w:rFonts w:ascii="ITC Avant Garde" w:hAnsi="ITC Avant Garde"/>
          <w:bCs/>
          <w:sz w:val="22"/>
          <w:szCs w:val="22"/>
        </w:rPr>
      </w:pPr>
      <w:r>
        <w:rPr>
          <w:rFonts w:ascii="ITC Avant Garde" w:hAnsi="ITC Avant Garde"/>
          <w:b/>
          <w:bCs/>
          <w:sz w:val="22"/>
          <w:szCs w:val="22"/>
        </w:rPr>
        <w:t>Temporalidad.</w:t>
      </w:r>
      <w:r>
        <w:rPr>
          <w:rFonts w:ascii="ITC Avant Garde" w:hAnsi="ITC Avant Garde"/>
          <w:bCs/>
          <w:sz w:val="22"/>
          <w:szCs w:val="22"/>
        </w:rPr>
        <w:t xml:space="preserve"> Por lo que hace al requisito de procedencia establecido por el referido artículo 19 de la LFT, relativo a que el Concesionario presente la solicitud de prórroga antes de que inicie la última quinta parte de la vigencia de la Concesión, este Instituto considera que no resulta aplicable dicho supuesto, toda vez que de manera particular, es a través de la presente Resolución que se determina la aplicación supletoria del referido precepto, y por tanto, no le es exigible al Concesionario, en razón de que el aludido plazo no era de su conocimiento para efectos de su observancia al momento de presentar la solicitud de refrendo correspondiente, en consecuencia ésta fue presentada en tiempo, ello en razón de que la Solicitud de Refrendo fue presentada el 2 de abril de 2008, considerando que la Concesión fue otorgada con vigencia de 20 (veinte) años contados a partir del 3 de julio de 1989 al 2 de julio de 2009. </w:t>
      </w:r>
    </w:p>
    <w:p>
      <w:pPr>
        <w:pStyle w:val="ListParagraph"/>
        <w:spacing w:lineRule="auto" w:line="276"/>
        <w:ind w:left="644" w:right="48" w:hanging="0"/>
        <w:jc w:val="both"/>
        <w:rPr>
          <w:rFonts w:ascii="ITC Avant Garde" w:hAnsi="ITC Avant Garde"/>
          <w:bCs/>
          <w:sz w:val="22"/>
          <w:szCs w:val="22"/>
        </w:rPr>
      </w:pPr>
      <w:r>
        <w:rPr>
          <w:rFonts w:ascii="ITC Avant Garde" w:hAnsi="ITC Avant Garde"/>
          <w:bCs/>
          <w:sz w:val="22"/>
          <w:szCs w:val="22"/>
        </w:rPr>
      </w:r>
    </w:p>
    <w:p>
      <w:pPr>
        <w:pStyle w:val="ListParagraph"/>
        <w:spacing w:lineRule="auto" w:line="276"/>
        <w:ind w:left="644" w:right="48" w:hanging="0"/>
        <w:jc w:val="both"/>
        <w:rPr>
          <w:rFonts w:ascii="ITC Avant Garde" w:hAnsi="ITC Avant Garde"/>
          <w:bCs/>
          <w:sz w:val="22"/>
          <w:szCs w:val="22"/>
        </w:rPr>
      </w:pPr>
      <w:r>
        <w:rPr>
          <w:rFonts w:ascii="ITC Avant Garde" w:hAnsi="ITC Avant Garde"/>
          <w:bCs/>
          <w:sz w:val="22"/>
          <w:szCs w:val="22"/>
        </w:rPr>
        <w:t>Por lo tanto, en el caso concreto, el Concesionario cumplió con el requisito de temporalidad para la presentación de la solicitud.</w:t>
      </w:r>
    </w:p>
    <w:p>
      <w:pPr>
        <w:pStyle w:val="Normal"/>
        <w:suppressAutoHyphens w:val="true"/>
        <w:spacing w:before="0" w:after="0"/>
        <w:ind w:right="-62" w:hanging="0"/>
        <w:jc w:val="both"/>
        <w:rPr>
          <w:rFonts w:ascii="ITC Avant Garde" w:hAnsi="ITC Avant Garde" w:eastAsia="Times New Roman"/>
          <w:bCs/>
          <w:sz w:val="21"/>
          <w:szCs w:val="21"/>
          <w:lang w:eastAsia="ar-SA"/>
        </w:rPr>
      </w:pPr>
      <w:r>
        <w:rPr>
          <w:rFonts w:eastAsia="Times New Roman" w:ascii="ITC Avant Garde" w:hAnsi="ITC Avant Garde"/>
          <w:bCs/>
          <w:sz w:val="21"/>
          <w:szCs w:val="21"/>
          <w:lang w:eastAsia="ar-SA"/>
        </w:rPr>
      </w:r>
    </w:p>
    <w:p>
      <w:pPr>
        <w:pStyle w:val="ListParagraph"/>
        <w:numPr>
          <w:ilvl w:val="0"/>
          <w:numId w:val="2"/>
        </w:numPr>
        <w:spacing w:lineRule="auto" w:line="276"/>
        <w:ind w:left="644" w:right="48" w:hanging="360"/>
        <w:jc w:val="both"/>
        <w:rPr>
          <w:rFonts w:ascii="ITC Avant Garde" w:hAnsi="ITC Avant Garde"/>
          <w:bCs/>
          <w:sz w:val="22"/>
          <w:szCs w:val="22"/>
        </w:rPr>
      </w:pPr>
      <w:r>
        <w:rPr>
          <w:rFonts w:ascii="ITC Avant Garde" w:hAnsi="ITC Avant Garde"/>
          <w:b/>
          <w:bCs/>
          <w:sz w:val="22"/>
          <w:szCs w:val="22"/>
        </w:rPr>
        <w:t>Aceptación de condiciones.</w:t>
      </w:r>
      <w:r>
        <w:rPr>
          <w:rFonts w:ascii="ITC Avant Garde" w:hAnsi="ITC Avant Garde"/>
          <w:bCs/>
          <w:sz w:val="22"/>
          <w:szCs w:val="22"/>
        </w:rPr>
        <w:t xml:space="preserve"> Por cuanto hace al requisito señalado en el artículo 19 de la LFT, mismo que refiere que el concesionario deberá aceptar las nuevas condiciones que establezca el propio Instituto, se considera que tendrá que hacerse del conocimiento del Concesionario las nuevas condiciones que se establecerán en el Título de Concesión que en su caso se otorgue, ello a efecto de que éste manifieste su conformidad y total aceptación de las mismas, previo a la entrega de dicho instrumento.</w:t>
      </w:r>
    </w:p>
    <w:p>
      <w:pPr>
        <w:pStyle w:val="ListParagraph"/>
        <w:spacing w:lineRule="auto" w:line="276"/>
        <w:ind w:left="644" w:right="48" w:hanging="0"/>
        <w:jc w:val="both"/>
        <w:rPr>
          <w:rFonts w:ascii="ITC Avant Garde" w:hAnsi="ITC Avant Garde"/>
          <w:bCs/>
          <w:sz w:val="22"/>
          <w:szCs w:val="22"/>
        </w:rPr>
      </w:pPr>
      <w:r>
        <w:rPr>
          <w:rFonts w:ascii="ITC Avant Garde" w:hAnsi="ITC Avant Garde"/>
          <w:bCs/>
          <w:sz w:val="22"/>
          <w:szCs w:val="22"/>
        </w:rPr>
      </w:r>
    </w:p>
    <w:p>
      <w:pPr>
        <w:pStyle w:val="Normal"/>
        <w:suppressAutoHyphens w:val="true"/>
        <w:spacing w:before="0" w:after="0"/>
        <w:ind w:right="-62" w:hanging="0"/>
        <w:jc w:val="both"/>
        <w:rPr>
          <w:rFonts w:ascii="ITC Avant Garde" w:hAnsi="ITC Avant Garde" w:cs="Tahoma"/>
          <w:bCs/>
          <w:color w:val="000000"/>
          <w:lang w:eastAsia="es-MX"/>
        </w:rPr>
      </w:pPr>
      <w:r>
        <w:rPr>
          <w:rFonts w:cs="Tahoma" w:ascii="ITC Avant Garde" w:hAnsi="ITC Avant Garde"/>
          <w:bCs/>
          <w:color w:val="000000"/>
          <w:lang w:eastAsia="es-MX"/>
        </w:rPr>
        <w:t>Asimismo, Roberto Casimiro González Treviño, adjuntó los comprobantes de pago de derechos a los que se refiere el artículo 125 fracciones V y VI de la Ley Federal de Derechos, por conceptos de estudio y revisión del cumplimiento de obligaciones de la concesión que se solicita refrendar, así como de expedición del título</w:t>
      </w:r>
    </w:p>
    <w:p>
      <w:pPr>
        <w:pStyle w:val="Normal"/>
        <w:suppressAutoHyphens w:val="true"/>
        <w:spacing w:before="0" w:after="0"/>
        <w:ind w:right="-62" w:hanging="0"/>
        <w:jc w:val="both"/>
        <w:rPr>
          <w:rFonts w:ascii="ITC Avant Garde" w:hAnsi="ITC Avant Garde" w:eastAsia="Times New Roman"/>
          <w:bCs/>
          <w:sz w:val="21"/>
          <w:szCs w:val="21"/>
          <w:lang w:eastAsia="ar-SA"/>
        </w:rPr>
      </w:pPr>
      <w:r>
        <w:rPr>
          <w:rFonts w:eastAsia="Times New Roman" w:ascii="ITC Avant Garde" w:hAnsi="ITC Avant Garde"/>
          <w:bCs/>
          <w:sz w:val="21"/>
          <w:szCs w:val="21"/>
          <w:lang w:eastAsia="ar-SA"/>
        </w:rPr>
      </w:r>
    </w:p>
    <w:p>
      <w:pPr>
        <w:pStyle w:val="Normal"/>
        <w:suppressAutoHyphens w:val="true"/>
        <w:spacing w:before="0" w:after="0"/>
        <w:ind w:right="-62" w:hanging="0"/>
        <w:jc w:val="both"/>
        <w:rPr/>
      </w:pPr>
      <w:r>
        <w:rPr>
          <w:rFonts w:cs="Tahoma" w:ascii="ITC Avant Garde" w:hAnsi="ITC Avant Garde"/>
          <w:bCs/>
          <w:color w:val="000000"/>
          <w:lang w:eastAsia="es-MX"/>
        </w:rPr>
        <w:t>Por otro lado, este Pleno estima que en atención a lo dispuesto en el numeral 6.2.2 de la “</w:t>
      </w:r>
      <w:r>
        <w:rPr>
          <w:rFonts w:cs="Tahoma" w:ascii="ITC Avant Garde" w:hAnsi="ITC Avant Garde"/>
          <w:bCs/>
          <w:color w:val="000000"/>
          <w:lang w:val="es-ES" w:eastAsia="es-MX"/>
        </w:rPr>
        <w:t>Disposición Técnica IFT-003-2014: Especificaciones y requerimientos mínimos para la instalación y operación de las estaciones de radiodifusión de televisión analógica (bandas VHF y UHF)”, la anchura de la banda necesaria de un canal para la emisión de señales de televisión es de 6 MHz, por tanto, en la medida en que se hace un uso continuo de este ancho de banda para las transmisiones de televisión radiodifundida es que se hace un uso correcto y eficiente del espectro concesionado para tal fin.</w:t>
      </w:r>
    </w:p>
    <w:p>
      <w:pPr>
        <w:pStyle w:val="ListParagraph"/>
        <w:spacing w:lineRule="auto" w:line="276"/>
        <w:ind w:left="644" w:right="48" w:hanging="0"/>
        <w:jc w:val="both"/>
        <w:rPr/>
      </w:pPr>
      <w:r>
        <w:rPr/>
      </w:r>
    </w:p>
    <w:p>
      <w:pPr>
        <w:pStyle w:val="Normal"/>
        <w:suppressAutoHyphens w:val="true"/>
        <w:spacing w:before="0" w:after="0"/>
        <w:ind w:right="-62" w:hanging="0"/>
        <w:jc w:val="both"/>
        <w:rPr>
          <w:rFonts w:ascii="ITC Avant Garde" w:hAnsi="ITC Avant Garde" w:cs="Tahoma"/>
          <w:bCs/>
          <w:color w:val="000000"/>
          <w:lang w:val="es-ES" w:eastAsia="es-MX"/>
        </w:rPr>
      </w:pPr>
      <w:r>
        <w:rPr>
          <w:rFonts w:cs="Tahoma" w:ascii="ITC Avant Garde" w:hAnsi="ITC Avant Garde"/>
          <w:bCs/>
          <w:color w:val="000000"/>
          <w:lang w:val="es-ES" w:eastAsia="es-MX"/>
        </w:rPr>
        <w:t xml:space="preserve">De manera particular, el concesionario a través del cumplimiento de su obligación de la presentación de la información a que se refiere el “Acuerdo </w:t>
      </w:r>
      <w:r>
        <w:rPr>
          <w:rFonts w:cs="Tahoma" w:ascii="ITC Avant Garde" w:hAnsi="ITC Avant Garde"/>
          <w:bCs/>
          <w:color w:val="000000"/>
          <w:lang w:eastAsia="es-MX"/>
        </w:rPr>
        <w:t>por el que se modifica el Acuerdo por el que se integra en un solo documento, la información técnica, programática, estadística y económica que los concesionarios y permisionarios de radiodifusión deben exhibir anualmente a las secretarías de Comunicaciones y Transportes y de Gobernación, publicado el 30 de abril de 1997”</w:t>
      </w:r>
      <w:r>
        <w:rPr>
          <w:rFonts w:cs="Tahoma" w:ascii="ITC Avant Garde" w:hAnsi="ITC Avant Garde"/>
          <w:bCs/>
          <w:color w:val="000000"/>
          <w:lang w:val="es-ES" w:eastAsia="es-MX"/>
        </w:rPr>
        <w:t>, da cuenta de la operación que de forma continua ha realizado en la prestación del servicio público de radiodifusión mediante la estación con distintivo de llamada XHRCG-TV, lo cual representa para el Instituto la evaluación de que dicho concesionario ha dado un buen uso del espectro radioeléctrico a la concesión objeto de la prórroga que nos ocupa.</w:t>
      </w:r>
    </w:p>
    <w:p>
      <w:pPr>
        <w:pStyle w:val="Normal"/>
        <w:suppressAutoHyphens w:val="true"/>
        <w:spacing w:before="0" w:after="0"/>
        <w:ind w:right="-62" w:hanging="0"/>
        <w:jc w:val="both"/>
        <w:rPr>
          <w:rFonts w:ascii="ITC Avant Garde" w:hAnsi="ITC Avant Garde" w:eastAsia="Times New Roman"/>
          <w:bCs/>
          <w:color w:val="000000"/>
          <w:lang w:eastAsia="es-MX"/>
        </w:rPr>
      </w:pPr>
      <w:r>
        <w:rPr>
          <w:rFonts w:eastAsia="Times New Roman" w:ascii="ITC Avant Garde" w:hAnsi="ITC Avant Garde"/>
          <w:bCs/>
          <w:color w:val="000000"/>
          <w:lang w:eastAsia="es-MX"/>
        </w:rPr>
      </w:r>
    </w:p>
    <w:p>
      <w:pPr>
        <w:pStyle w:val="Normal"/>
        <w:suppressAutoHyphens w:val="true"/>
        <w:spacing w:before="0" w:after="0"/>
        <w:ind w:right="-62" w:hanging="0"/>
        <w:jc w:val="both"/>
        <w:rPr>
          <w:rFonts w:ascii="ITC Avant Garde" w:hAnsi="ITC Avant Garde" w:eastAsia="Times New Roman"/>
          <w:bCs/>
          <w:color w:val="000000"/>
          <w:lang w:eastAsia="es-MX"/>
        </w:rPr>
      </w:pPr>
      <w:r>
        <w:rPr>
          <w:rFonts w:eastAsia="Times New Roman" w:ascii="ITC Avant Garde" w:hAnsi="ITC Avant Garde"/>
          <w:bCs/>
          <w:color w:val="000000"/>
          <w:lang w:eastAsia="es-MX"/>
        </w:rPr>
      </w:r>
    </w:p>
    <w:p>
      <w:pPr>
        <w:pStyle w:val="Normal"/>
        <w:suppressAutoHyphens w:val="true"/>
        <w:spacing w:before="0" w:after="0"/>
        <w:ind w:right="-62" w:hanging="0"/>
        <w:jc w:val="both"/>
        <w:rPr>
          <w:rFonts w:ascii="ITC Avant Garde" w:hAnsi="ITC Avant Garde" w:cs="Tahoma"/>
          <w:bCs/>
          <w:color w:val="000000"/>
          <w:lang w:val="es-ES" w:eastAsia="es-MX"/>
        </w:rPr>
      </w:pPr>
      <w:r>
        <w:rPr>
          <w:rFonts w:eastAsia="Times New Roman" w:ascii="ITC Avant Garde" w:hAnsi="ITC Avant Garde"/>
          <w:bCs/>
          <w:iCs/>
          <w:color w:val="000000"/>
          <w:lang w:val="es-ES" w:eastAsia="es-MX"/>
        </w:rPr>
        <w:t>Adicionalmente, se considera que la figura del refrendo de concesión, reporta beneficios importantes para la continuidad en la prestación de los servicios de radiodifusión, así como incentiva la inversión y el desarrollo tecnológico, además que favorece la generación, mantenimiento y estabilidad de las fuentes de trabajo que genera la operación y funcionamiento de las estaciones de radiodifusión. Esto, sin que represente un menoscabo a las facultades regulatorias de la autoridad, ni restricción a la rectoría del Estado, planeación del espectro radioeléctrico para imprimir dinamismo y crecimiento a la economía, dominio directo de la Nación sobre ciertos bienes relevantes, como lo es el espectro radioeléctrico, puesto que la autoridad reguladora, se encuentra en la aptitud legal de incorporar las condiciones necesarias que estime adecuadas para satisfacer los principios y finalidades a que se refiere el artículo 6° apartado B fracción III de la Constitución en armonía con los objetivos constitucionales que persigue este Instituto, consistente en promover el desarrollo eficiente de la radiodifusión.</w:t>
      </w:r>
      <w:r>
        <w:rPr>
          <w:rFonts w:cs="Tahoma" w:ascii="ITC Avant Garde" w:hAnsi="ITC Avant Garde"/>
          <w:bCs/>
          <w:color w:val="000000"/>
          <w:lang w:eastAsia="es-MX"/>
        </w:rPr>
        <w:t xml:space="preserve"> </w:t>
      </w:r>
    </w:p>
    <w:p>
      <w:pPr>
        <w:pStyle w:val="Normal"/>
        <w:suppressAutoHyphens w:val="true"/>
        <w:spacing w:before="0" w:after="0"/>
        <w:ind w:right="-62" w:hanging="0"/>
        <w:jc w:val="both"/>
        <w:rPr>
          <w:rFonts w:ascii="ITC Avant Garde" w:hAnsi="ITC Avant Garde" w:eastAsia="Times New Roman"/>
          <w:bCs/>
          <w:iCs/>
          <w:color w:val="000000"/>
          <w:lang w:val="es-ES" w:eastAsia="es-MX"/>
        </w:rPr>
      </w:pPr>
      <w:r>
        <w:rPr>
          <w:rFonts w:eastAsia="Times New Roman" w:ascii="ITC Avant Garde" w:hAnsi="ITC Avant Garde"/>
          <w:bCs/>
          <w:iCs/>
          <w:color w:val="000000"/>
          <w:lang w:val="es-ES" w:eastAsia="es-MX"/>
        </w:rPr>
      </w:r>
    </w:p>
    <w:p>
      <w:pPr>
        <w:pStyle w:val="Normal"/>
        <w:suppressAutoHyphens w:val="true"/>
        <w:spacing w:before="0" w:after="0"/>
        <w:ind w:right="-62" w:hanging="0"/>
        <w:jc w:val="both"/>
        <w:rPr>
          <w:rFonts w:ascii="ITC Avant Garde" w:hAnsi="ITC Avant Garde" w:eastAsia="Times New Roman"/>
          <w:bCs/>
          <w:color w:val="000000"/>
          <w:lang w:eastAsia="es-MX"/>
        </w:rPr>
      </w:pPr>
      <w:r>
        <w:rPr>
          <w:rFonts w:eastAsia="Times New Roman" w:ascii="ITC Avant Garde" w:hAnsi="ITC Avant Garde"/>
          <w:bCs/>
          <w:iCs/>
          <w:color w:val="000000"/>
          <w:lang w:val="es-ES" w:eastAsia="es-MX"/>
        </w:rPr>
        <w:t>En conclusión, al haberse satisfecho los</w:t>
      </w:r>
      <w:r>
        <w:rPr>
          <w:rFonts w:cs="Tahoma" w:ascii="ITC Avant Garde" w:hAnsi="ITC Avant Garde"/>
          <w:bCs/>
          <w:color w:val="000000"/>
          <w:lang w:eastAsia="es-MX"/>
        </w:rPr>
        <w:t xml:space="preserve"> requisitos exigibles, atento a las disposiciones legales y administrativas aplicables, y al no advertirse ninguna causa o impedimento legal, se considera procedente el otorgamiento de</w:t>
      </w:r>
      <w:r>
        <w:rPr>
          <w:rFonts w:eastAsia="Times New Roman" w:ascii="ITC Avant Garde" w:hAnsi="ITC Avant Garde"/>
          <w:bCs/>
          <w:color w:val="000000"/>
          <w:lang w:eastAsia="es-MX"/>
        </w:rPr>
        <w:t xml:space="preserve"> la prórroga de la Concesión, bajo el entendido, de que el Concesionario deberá aceptar las condiciones a que se refiere el Considerando Séptimo de la presente resolución. </w:t>
      </w:r>
    </w:p>
    <w:p>
      <w:pPr>
        <w:pStyle w:val="Normal"/>
        <w:suppressAutoHyphens w:val="true"/>
        <w:spacing w:before="0" w:after="0"/>
        <w:ind w:right="-62" w:hanging="0"/>
        <w:jc w:val="both"/>
        <w:rPr>
          <w:rFonts w:ascii="ITC Avant Garde" w:hAnsi="ITC Avant Garde" w:eastAsia="Times New Roman"/>
          <w:bCs/>
          <w:color w:val="000000"/>
          <w:lang w:eastAsia="es-MX"/>
        </w:rPr>
      </w:pPr>
      <w:r>
        <w:rPr>
          <w:rFonts w:eastAsia="Times New Roman" w:ascii="ITC Avant Garde" w:hAnsi="ITC Avant Garde"/>
          <w:bCs/>
          <w:color w:val="000000"/>
          <w:lang w:eastAsia="es-MX"/>
        </w:rPr>
      </w:r>
    </w:p>
    <w:p>
      <w:pPr>
        <w:pStyle w:val="Normal"/>
        <w:spacing w:lineRule="auto" w:line="240"/>
        <w:ind w:right="48" w:hanging="0"/>
        <w:jc w:val="both"/>
        <w:rPr>
          <w:rFonts w:ascii="ITC Avant Garde" w:hAnsi="ITC Avant Garde"/>
          <w:bCs/>
          <w:color w:val="000000"/>
          <w:lang w:eastAsia="es-MX"/>
        </w:rPr>
      </w:pPr>
      <w:r>
        <w:rPr>
          <w:rFonts w:cs="Tahoma" w:ascii="ITC Avant Garde" w:hAnsi="ITC Avant Garde"/>
          <w:b/>
          <w:bCs/>
          <w:color w:val="000000"/>
          <w:lang w:eastAsia="es-MX"/>
        </w:rPr>
        <w:t>Quinto.- Opinión en materia de competencia económica.</w:t>
      </w:r>
      <w:r>
        <w:rPr>
          <w:rFonts w:cs="Tahoma" w:ascii="ITC Avant Garde" w:hAnsi="ITC Avant Garde"/>
          <w:bCs/>
          <w:color w:val="000000"/>
          <w:lang w:eastAsia="es-MX"/>
        </w:rPr>
        <w:t xml:space="preserve"> De conformidad con el artículo 50 fracción XII del Estatuto Orgánico, </w:t>
      </w:r>
      <w:r>
        <w:rPr>
          <w:rFonts w:ascii="ITC Avant Garde" w:hAnsi="ITC Avant Garde"/>
          <w:bCs/>
          <w:color w:val="000000"/>
          <w:lang w:eastAsia="es-MX"/>
        </w:rPr>
        <w:t>la Dirección General de Concentraciones y Concesiones adscrita a la UCE, mediante oficio número IFT/226/UCE/DG-CCON/270/2015, de fecha 27 de octubre de 2015 anexó su opinión en materia de competencia económica que en su numeral V.7 estableció:</w:t>
      </w:r>
    </w:p>
    <w:p>
      <w:pPr>
        <w:pStyle w:val="ListParagraph"/>
        <w:spacing w:lineRule="auto" w:line="276"/>
        <w:ind w:left="644" w:right="473" w:hanging="0"/>
        <w:jc w:val="both"/>
        <w:rPr>
          <w:rFonts w:ascii="ITC Avant Garde" w:hAnsi="ITC Avant Garde"/>
          <w:bCs/>
          <w:color w:val="000000"/>
          <w:sz w:val="22"/>
          <w:szCs w:val="22"/>
          <w:lang w:eastAsia="es-MX"/>
        </w:rPr>
      </w:pPr>
      <w:r>
        <w:rPr>
          <w:rFonts w:ascii="ITC Avant Garde" w:hAnsi="ITC Avant Garde"/>
          <w:bCs/>
          <w:color w:val="000000"/>
          <w:sz w:val="22"/>
          <w:szCs w:val="22"/>
          <w:lang w:eastAsia="es-MX"/>
        </w:rPr>
      </w:r>
    </w:p>
    <w:p>
      <w:pPr>
        <w:pStyle w:val="Normal"/>
        <w:spacing w:before="0" w:after="0"/>
        <w:ind w:left="993" w:right="899" w:hanging="0"/>
        <w:jc w:val="both"/>
        <w:rPr>
          <w:rFonts w:ascii="ITC Avant Garde" w:hAnsi="ITC Avant Garde" w:eastAsia="Times New Roman"/>
          <w:bCs/>
          <w:i/>
          <w:i/>
          <w:color w:val="000000"/>
          <w:sz w:val="18"/>
          <w:lang w:eastAsia="es-MX"/>
        </w:rPr>
      </w:pPr>
      <w:r>
        <w:rPr>
          <w:rFonts w:eastAsia="Times New Roman" w:ascii="ITC Avant Garde" w:hAnsi="ITC Avant Garde"/>
          <w:bCs/>
          <w:i/>
          <w:color w:val="000000"/>
          <w:sz w:val="18"/>
          <w:lang w:eastAsia="es-MX"/>
        </w:rPr>
        <w:t>“</w:t>
      </w:r>
      <w:r>
        <w:rPr>
          <w:rFonts w:eastAsia="Times New Roman" w:ascii="ITC Avant Garde" w:hAnsi="ITC Avant Garde"/>
          <w:bCs/>
          <w:i/>
          <w:color w:val="000000"/>
          <w:sz w:val="18"/>
          <w:lang w:eastAsia="es-MX"/>
        </w:rPr>
        <w:t>V.7. Opinión en materia de competencia económica de la Solicitud”</w:t>
      </w:r>
    </w:p>
    <w:p>
      <w:pPr>
        <w:pStyle w:val="Normal"/>
        <w:spacing w:before="0" w:after="0"/>
        <w:ind w:left="993" w:right="899" w:hanging="0"/>
        <w:jc w:val="both"/>
        <w:rPr>
          <w:rFonts w:ascii="ITC Avant Garde" w:hAnsi="ITC Avant Garde" w:eastAsia="Times New Roman"/>
          <w:bCs/>
          <w:i/>
          <w:i/>
          <w:color w:val="000000"/>
          <w:sz w:val="18"/>
          <w:lang w:eastAsia="es-MX"/>
        </w:rPr>
      </w:pPr>
      <w:r>
        <w:rPr>
          <w:rFonts w:eastAsia="Times New Roman" w:ascii="ITC Avant Garde" w:hAnsi="ITC Avant Garde"/>
          <w:bCs/>
          <w:i/>
          <w:color w:val="000000"/>
          <w:sz w:val="18"/>
          <w:lang w:eastAsia="es-MX"/>
        </w:rPr>
      </w:r>
    </w:p>
    <w:p>
      <w:pPr>
        <w:pStyle w:val="Normal"/>
        <w:spacing w:before="0" w:after="0"/>
        <w:ind w:left="993" w:right="899" w:hanging="0"/>
        <w:jc w:val="both"/>
        <w:rPr>
          <w:rFonts w:ascii="ITC Avant Garde" w:hAnsi="ITC Avant Garde" w:eastAsia="Times New Roman"/>
          <w:bCs/>
          <w:i/>
          <w:i/>
          <w:color w:val="000000"/>
          <w:sz w:val="18"/>
          <w:lang w:eastAsia="es-MX"/>
        </w:rPr>
      </w:pPr>
      <w:r>
        <w:rPr>
          <w:rFonts w:eastAsia="Times New Roman" w:ascii="ITC Avant Garde" w:hAnsi="ITC Avant Garde"/>
          <w:bCs/>
          <w:i/>
          <w:color w:val="000000"/>
          <w:sz w:val="18"/>
          <w:lang w:eastAsia="es-MX"/>
        </w:rPr>
        <w:t>De los elementos antes presentados, se observa que el GIETV, del cual forma parte el Solicitante, es concesionario, directa o indirectamente, de 4 (cuatro) estaciones de TV Abierta Comercial con cobertura de servicio en Saltillo, Coahuila, las cuales representan 57.14% de las estaciones totales comerciales en esa localidad.</w:t>
      </w:r>
    </w:p>
    <w:p>
      <w:pPr>
        <w:pStyle w:val="Normal"/>
        <w:spacing w:before="0" w:after="0"/>
        <w:ind w:left="993" w:right="899" w:hanging="0"/>
        <w:jc w:val="both"/>
        <w:rPr>
          <w:rFonts w:ascii="ITC Avant Garde" w:hAnsi="ITC Avant Garde" w:eastAsia="Times New Roman"/>
          <w:bCs/>
          <w:i/>
          <w:i/>
          <w:color w:val="000000"/>
          <w:sz w:val="18"/>
          <w:lang w:eastAsia="es-MX"/>
        </w:rPr>
      </w:pPr>
      <w:r>
        <w:rPr>
          <w:rFonts w:eastAsia="Times New Roman" w:ascii="ITC Avant Garde" w:hAnsi="ITC Avant Garde"/>
          <w:bCs/>
          <w:i/>
          <w:color w:val="000000"/>
          <w:sz w:val="18"/>
          <w:lang w:eastAsia="es-MX"/>
        </w:rPr>
      </w:r>
    </w:p>
    <w:p>
      <w:pPr>
        <w:pStyle w:val="Normal"/>
        <w:spacing w:before="0" w:after="0"/>
        <w:ind w:left="993" w:right="899" w:hanging="0"/>
        <w:jc w:val="both"/>
        <w:rPr>
          <w:rFonts w:ascii="ITC Avant Garde" w:hAnsi="ITC Avant Garde" w:eastAsia="Times New Roman"/>
          <w:bCs/>
          <w:i/>
          <w:i/>
          <w:color w:val="000000"/>
          <w:sz w:val="18"/>
          <w:lang w:eastAsia="es-MX"/>
        </w:rPr>
      </w:pPr>
      <w:r>
        <w:rPr>
          <w:rFonts w:eastAsia="Times New Roman" w:ascii="ITC Avant Garde" w:hAnsi="ITC Avant Garde"/>
          <w:bCs/>
          <w:i/>
          <w:color w:val="000000"/>
          <w:sz w:val="18"/>
          <w:lang w:eastAsia="es-MX"/>
        </w:rPr>
        <w:t>Los concesionarios de las 4 (cuatro) estaciones de TV Abierta Comercial que prestan servicios en la misma localidad (i.e. es decir Canal RCG, Radiotelevisora de México Norte S.A. de C.V., T.V. de los Mochis, S.A. de C.V. y  Televimex, S.A. de C.V.), al ser integrantes del AEPR están sujetos a medidas específicas enfocadas a evitar que se afecte la competencia y libre concurrencia en los mercados en que participan.</w:t>
      </w:r>
    </w:p>
    <w:p>
      <w:pPr>
        <w:pStyle w:val="Normal"/>
        <w:spacing w:before="0" w:after="0"/>
        <w:ind w:left="993" w:right="899" w:hanging="0"/>
        <w:jc w:val="both"/>
        <w:rPr>
          <w:rFonts w:ascii="ITC Avant Garde" w:hAnsi="ITC Avant Garde" w:eastAsia="Times New Roman"/>
          <w:bCs/>
          <w:i/>
          <w:i/>
          <w:color w:val="000000"/>
          <w:sz w:val="18"/>
          <w:lang w:eastAsia="es-MX"/>
        </w:rPr>
      </w:pPr>
      <w:r>
        <w:rPr>
          <w:rFonts w:eastAsia="Times New Roman" w:ascii="ITC Avant Garde" w:hAnsi="ITC Avant Garde"/>
          <w:bCs/>
          <w:i/>
          <w:color w:val="000000"/>
          <w:sz w:val="18"/>
          <w:lang w:eastAsia="es-MX"/>
        </w:rPr>
      </w:r>
    </w:p>
    <w:p>
      <w:pPr>
        <w:pStyle w:val="Normal"/>
        <w:spacing w:before="0" w:after="0"/>
        <w:ind w:left="993" w:right="899" w:hanging="0"/>
        <w:jc w:val="both"/>
        <w:rPr>
          <w:rFonts w:ascii="ITC Avant Garde" w:hAnsi="ITC Avant Garde" w:eastAsia="Times New Roman"/>
          <w:bCs/>
          <w:i/>
          <w:i/>
          <w:color w:val="000000"/>
          <w:sz w:val="18"/>
          <w:lang w:eastAsia="es-MX"/>
        </w:rPr>
      </w:pPr>
      <w:r>
        <w:rPr>
          <w:rFonts w:eastAsia="Times New Roman" w:ascii="ITC Avant Garde" w:hAnsi="ITC Avant Garde"/>
          <w:bCs/>
          <w:i/>
          <w:color w:val="000000"/>
          <w:sz w:val="18"/>
          <w:lang w:eastAsia="es-MX"/>
        </w:rPr>
        <w:t>Las medidas específicas a las que se hace referencia en el párrafo anterior, conforme al artículo Octavo Transitorio de Decreto de Reforma de Telecomunicaciones, estarán vigentes hasta que, por declaratoria del Instituto, existan condiciones de competencia efectiva en el mercado de que se trate; asimismo, conforme a la condición Trigésima de las medidas que deberán cumplir los integrantes del AEPR, el impacto de dichas medidas en términos de competencia será evaluado cada dos años y, en su caso, se podrá ordenar la separación estructural, funcional, o la desincorporación de activos del AEPR.</w:t>
      </w:r>
    </w:p>
    <w:p>
      <w:pPr>
        <w:pStyle w:val="Normal"/>
        <w:spacing w:before="0" w:after="0"/>
        <w:ind w:left="993" w:right="899" w:hanging="0"/>
        <w:jc w:val="both"/>
        <w:rPr>
          <w:rFonts w:ascii="ITC Avant Garde" w:hAnsi="ITC Avant Garde" w:eastAsia="Times New Roman"/>
          <w:bCs/>
          <w:i/>
          <w:i/>
          <w:color w:val="000000"/>
          <w:sz w:val="18"/>
          <w:lang w:eastAsia="es-MX"/>
        </w:rPr>
      </w:pPr>
      <w:r>
        <w:rPr>
          <w:rFonts w:eastAsia="Times New Roman" w:ascii="ITC Avant Garde" w:hAnsi="ITC Avant Garde"/>
          <w:bCs/>
          <w:i/>
          <w:color w:val="000000"/>
          <w:sz w:val="18"/>
          <w:lang w:eastAsia="es-MX"/>
        </w:rPr>
      </w:r>
    </w:p>
    <w:p>
      <w:pPr>
        <w:pStyle w:val="Normal"/>
        <w:spacing w:before="0" w:after="0"/>
        <w:ind w:left="993" w:right="899" w:hanging="0"/>
        <w:jc w:val="both"/>
        <w:rPr>
          <w:rFonts w:ascii="ITC Avant Garde" w:hAnsi="ITC Avant Garde" w:eastAsia="Times New Roman"/>
          <w:bCs/>
          <w:i/>
          <w:i/>
          <w:color w:val="000000"/>
          <w:sz w:val="18"/>
          <w:lang w:eastAsia="es-MX"/>
        </w:rPr>
      </w:pPr>
      <w:r>
        <w:rPr>
          <w:rFonts w:eastAsia="Times New Roman" w:ascii="ITC Avant Garde" w:hAnsi="ITC Avant Garde"/>
          <w:bCs/>
          <w:i/>
          <w:color w:val="000000"/>
          <w:sz w:val="18"/>
          <w:lang w:eastAsia="es-MX"/>
        </w:rPr>
        <w:t>Por lo anterior, con la información disponible, en caso de que se otorgue autorización para que Canal RCG continúe proveyendo el servicio de TV Abierta Comercial, se advierte que existen medidas enfocadas a contrarrestar posibles efectos contrarios en el proceso de competencia y libre concurrencia en la provisión de servicios de TV Abierta Comercial en la localidad de Saltillo, Coahuila, cuyo impacto en términos de competencia será evaluado cada 2 (dos) años y, en su caso, se podrá ordenar la separación estructural, funcional, o la desincorporación de activos de AEPR.</w:t>
      </w:r>
    </w:p>
    <w:p>
      <w:pPr>
        <w:pStyle w:val="Normal"/>
        <w:spacing w:before="0" w:after="0"/>
        <w:ind w:left="993" w:right="899" w:hanging="0"/>
        <w:jc w:val="both"/>
        <w:rPr>
          <w:rFonts w:ascii="ITC Avant Garde" w:hAnsi="ITC Avant Garde" w:eastAsia="Times New Roman"/>
          <w:bCs/>
          <w:i/>
          <w:i/>
          <w:color w:val="000000"/>
          <w:sz w:val="18"/>
          <w:lang w:eastAsia="es-MX"/>
        </w:rPr>
      </w:pPr>
      <w:r>
        <w:rPr>
          <w:rFonts w:eastAsia="Times New Roman" w:ascii="ITC Avant Garde" w:hAnsi="ITC Avant Garde"/>
          <w:bCs/>
          <w:i/>
          <w:color w:val="000000"/>
          <w:sz w:val="18"/>
          <w:lang w:eastAsia="es-MX"/>
        </w:rPr>
      </w:r>
    </w:p>
    <w:p>
      <w:pPr>
        <w:pStyle w:val="Normal"/>
        <w:spacing w:before="0" w:after="0"/>
        <w:ind w:left="993" w:right="899" w:hanging="0"/>
        <w:jc w:val="both"/>
        <w:rPr>
          <w:rFonts w:ascii="ITC Avant Garde" w:hAnsi="ITC Avant Garde" w:eastAsia="Times New Roman"/>
          <w:bCs/>
          <w:i/>
          <w:i/>
          <w:color w:val="000000"/>
          <w:sz w:val="18"/>
          <w:lang w:eastAsia="es-MX"/>
        </w:rPr>
      </w:pPr>
      <w:r>
        <w:rPr>
          <w:rFonts w:eastAsia="Times New Roman" w:ascii="ITC Avant Garde" w:hAnsi="ITC Avant Garde"/>
          <w:bCs/>
          <w:i/>
          <w:color w:val="000000"/>
          <w:sz w:val="18"/>
          <w:lang w:eastAsia="es-MX"/>
        </w:rPr>
        <w:t>El análisis y la opinión que se emiten en este documento se circunscriben a la evaluación, en materia de competencia económica, en caso que Canal RCG mantenga los derechos para el uso, aprovechamiento o explotación del espectro radioeléctrico con fines de lucro previsto en la concesión objeto de la Solicitud que se analiza.</w:t>
      </w:r>
    </w:p>
    <w:p>
      <w:pPr>
        <w:pStyle w:val="Normal"/>
        <w:spacing w:before="0" w:after="0"/>
        <w:ind w:left="993" w:right="899" w:hanging="0"/>
        <w:jc w:val="both"/>
        <w:rPr>
          <w:rFonts w:ascii="ITC Avant Garde" w:hAnsi="ITC Avant Garde" w:eastAsia="Times New Roman"/>
          <w:bCs/>
          <w:i/>
          <w:i/>
          <w:color w:val="000000"/>
          <w:sz w:val="18"/>
          <w:lang w:eastAsia="es-MX"/>
        </w:rPr>
      </w:pPr>
      <w:r>
        <w:rPr>
          <w:rFonts w:eastAsia="Times New Roman" w:ascii="ITC Avant Garde" w:hAnsi="ITC Avant Garde"/>
          <w:bCs/>
          <w:i/>
          <w:color w:val="000000"/>
          <w:sz w:val="18"/>
          <w:lang w:eastAsia="es-MX"/>
        </w:rPr>
      </w:r>
    </w:p>
    <w:p>
      <w:pPr>
        <w:pStyle w:val="Normal"/>
        <w:spacing w:before="0" w:after="0"/>
        <w:ind w:left="993" w:right="899" w:hanging="0"/>
        <w:jc w:val="both"/>
        <w:rPr>
          <w:rFonts w:ascii="ITC Avant Garde" w:hAnsi="ITC Avant Garde" w:eastAsia="Times New Roman"/>
          <w:bCs/>
          <w:i/>
          <w:i/>
          <w:color w:val="000000"/>
          <w:sz w:val="18"/>
          <w:lang w:eastAsia="es-MX"/>
        </w:rPr>
      </w:pPr>
      <w:r>
        <w:rPr>
          <w:rFonts w:eastAsia="Times New Roman" w:ascii="ITC Avant Garde" w:hAnsi="ITC Avant Garde"/>
          <w:bCs/>
          <w:i/>
          <w:color w:val="000000"/>
          <w:sz w:val="18"/>
          <w:lang w:eastAsia="es-MX"/>
        </w:rPr>
        <w:t>Lo anterior, no prejuzga respecto de la viabilidad legal de la Solicitud, ni sobre otras autorizaciones requisitos u obligaciones que, en su caso, Canal RCG deba obtener de este Instituto u otra autoridad competente. Tampoco se prejuzga sobre violaciones a la Ley Federal de Competencia Económica, la Ley Federal de Telecomunicaciones y Radiodifusión u otros ordenamientos, en que haya incurrido o pueda incurrir Canal RCG.”</w:t>
      </w:r>
    </w:p>
    <w:p>
      <w:pPr>
        <w:pStyle w:val="Normal"/>
        <w:suppressAutoHyphens w:val="true"/>
        <w:spacing w:before="0" w:after="0"/>
        <w:ind w:right="48" w:hanging="0"/>
        <w:jc w:val="both"/>
        <w:rPr>
          <w:rFonts w:ascii="ITC Avant Garde" w:hAnsi="ITC Avant Garde"/>
          <w:bCs/>
        </w:rPr>
      </w:pPr>
      <w:r>
        <w:rPr>
          <w:rFonts w:ascii="ITC Avant Garde" w:hAnsi="ITC Avant Garde"/>
          <w:bCs/>
        </w:rPr>
      </w:r>
    </w:p>
    <w:p>
      <w:pPr>
        <w:pStyle w:val="Normal"/>
        <w:suppressAutoHyphens w:val="true"/>
        <w:spacing w:before="0" w:after="0"/>
        <w:ind w:right="48" w:hanging="0"/>
        <w:jc w:val="both"/>
        <w:rPr>
          <w:rFonts w:ascii="ITC Avant Garde" w:hAnsi="ITC Avant Garde" w:eastAsia="Times New Roman"/>
          <w:bCs/>
          <w:color w:val="000000"/>
          <w:lang w:eastAsia="es-MX"/>
        </w:rPr>
      </w:pPr>
      <w:r>
        <w:rPr>
          <w:rFonts w:ascii="ITC Avant Garde" w:hAnsi="ITC Avant Garde"/>
          <w:bCs/>
        </w:rPr>
        <w:t xml:space="preserve">Con base en la información disponible de este Instituto, y </w:t>
      </w:r>
      <w:r>
        <w:rPr>
          <w:rFonts w:ascii="ITC Avant Garde" w:hAnsi="ITC Avant Garde"/>
          <w:iCs/>
        </w:rPr>
        <w:t>en términos de la opinión en materia de competencia económica, la UCE</w:t>
      </w:r>
      <w:r>
        <w:rPr>
          <w:rFonts w:ascii="ITC Avant Garde" w:hAnsi="ITC Avant Garde"/>
          <w:bCs/>
        </w:rPr>
        <w:t xml:space="preserve"> concluye que en caso de que se otorgue el </w:t>
      </w:r>
      <w:r>
        <w:rPr>
          <w:rFonts w:eastAsia="Times New Roman" w:ascii="ITC Avant Garde" w:hAnsi="ITC Avant Garde"/>
          <w:bCs/>
          <w:color w:val="000000"/>
          <w:lang w:eastAsia="es-MX"/>
        </w:rPr>
        <w:t>refrendo de la Concesión, para que continúe proveyendo el servicio de televisión radiodifundida, se advierte que existen medidas que pueden contrarrestar posibles efectos contrarios en el proceso de competencia y libre concurrencia en la provisión de dichos servicios en la localidad de Saltillo, Coahuila.</w:t>
      </w:r>
    </w:p>
    <w:p>
      <w:pPr>
        <w:pStyle w:val="Normal"/>
        <w:suppressAutoHyphens w:val="true"/>
        <w:spacing w:before="0" w:after="0"/>
        <w:ind w:right="-62" w:hanging="0"/>
        <w:jc w:val="both"/>
        <w:rPr>
          <w:rFonts w:ascii="ITC Avant Garde" w:hAnsi="ITC Avant Garde" w:eastAsia="Times New Roman"/>
          <w:bCs/>
          <w:color w:val="000000"/>
          <w:lang w:eastAsia="es-MX"/>
        </w:rPr>
      </w:pPr>
      <w:r>
        <w:rPr>
          <w:rFonts w:eastAsia="Times New Roman" w:ascii="ITC Avant Garde" w:hAnsi="ITC Avant Garde"/>
          <w:bCs/>
          <w:color w:val="000000"/>
          <w:lang w:eastAsia="es-MX"/>
        </w:rPr>
      </w:r>
    </w:p>
    <w:p>
      <w:pPr>
        <w:pStyle w:val="Normal"/>
        <w:suppressAutoHyphens w:val="true"/>
        <w:spacing w:before="0" w:after="0"/>
        <w:ind w:right="-62" w:hanging="0"/>
        <w:jc w:val="both"/>
        <w:rPr>
          <w:rFonts w:ascii="ITC Avant Garde" w:hAnsi="ITC Avant Garde" w:eastAsia="Times New Roman"/>
          <w:bCs/>
          <w:color w:val="000000"/>
          <w:lang w:eastAsia="es-MX"/>
        </w:rPr>
      </w:pPr>
      <w:r>
        <w:rPr>
          <w:rFonts w:eastAsia="Times New Roman" w:ascii="ITC Avant Garde" w:hAnsi="ITC Avant Garde"/>
          <w:b/>
          <w:bCs/>
          <w:lang w:eastAsia="ar-SA"/>
        </w:rPr>
        <w:t>Sexto.- Concesiones para uso comercial.</w:t>
      </w:r>
      <w:r>
        <w:rPr>
          <w:rFonts w:eastAsia="Times New Roman" w:ascii="ITC Avant Garde" w:hAnsi="ITC Avant Garde"/>
          <w:bCs/>
          <w:color w:val="000000"/>
          <w:lang w:eastAsia="es-MX"/>
        </w:rPr>
        <w:t xml:space="preserve"> Como se precisó previamente, en el presente procedimiento de prórroga resultan aplicables las disposiciones anteriores al Decreto de Reforma Constitucional. En tal sentido, no obstante que fueron satisfechos los requisitos establecidos en la LFRTV para la prórroga de la Concesión, el régimen aplicable al otorgamiento del título correspondiente será el previsto en la Ley, en atención a que las condiciones regulatorias que deberá observar el concesionario deben ser acordes a las disposiciones constitucionales y legales vigentes al momento en el que se resuelve su otorgamiento al tratarse de actividades reguladas relacionadas con la prestación de un servicio de interés público; razón por la cual la figura jurídica de refrendo debe equipararse a la de prórroga, conforme al objeto para el cual se solicita su otorgamiento. </w:t>
      </w:r>
    </w:p>
    <w:p>
      <w:pPr>
        <w:pStyle w:val="Normal"/>
        <w:suppressAutoHyphens w:val="true"/>
        <w:spacing w:before="0" w:after="0"/>
        <w:ind w:right="-62" w:hanging="0"/>
        <w:jc w:val="both"/>
        <w:rPr>
          <w:rFonts w:ascii="ITC Avant Garde" w:hAnsi="ITC Avant Garde"/>
          <w:bCs/>
          <w:color w:val="000000"/>
        </w:rPr>
      </w:pPr>
      <w:r>
        <w:rPr>
          <w:rFonts w:ascii="ITC Avant Garde" w:hAnsi="ITC Avant Garde"/>
          <w:bCs/>
          <w:color w:val="000000"/>
        </w:rPr>
      </w:r>
    </w:p>
    <w:p>
      <w:pPr>
        <w:pStyle w:val="Normal"/>
        <w:spacing w:before="0" w:after="0"/>
        <w:jc w:val="both"/>
        <w:rPr>
          <w:rFonts w:ascii="ITC Avant Garde" w:hAnsi="ITC Avant Garde" w:eastAsia="Times New Roman"/>
          <w:lang w:val="en-US" w:eastAsia="es-ES"/>
        </w:rPr>
      </w:pPr>
      <w:r>
        <w:rPr>
          <w:rFonts w:ascii="ITC Avant Garde" w:hAnsi="ITC Avant Garde"/>
          <w:bCs/>
          <w:color w:val="000000"/>
        </w:rPr>
        <w:t>En consecuencia, atento a lo expuesto en el párrafo anterior, así como en razón de haberse satisfecho los requisitos señalados en el Considerando Tercero de la presente Resolución, procede el otorgamiento de una concesión de uso comercial toda</w:t>
      </w:r>
      <w:r>
        <w:rPr>
          <w:rFonts w:eastAsia="Times New Roman" w:ascii="ITC Avant Garde" w:hAnsi="ITC Avant Garde"/>
          <w:bCs/>
          <w:color w:val="000000"/>
          <w:lang w:eastAsia="es-MX"/>
        </w:rPr>
        <w:t xml:space="preserve"> vez que el uso, operación y explotación de las bandas de frecuencia del espectro radioeléctrico es con fines de lucro, </w:t>
      </w:r>
      <w:r>
        <w:rPr>
          <w:rFonts w:eastAsia="Times New Roman" w:ascii="ITC Avant Garde" w:hAnsi="ITC Avant Garde"/>
          <w:lang w:val="en-US" w:eastAsia="es-ES"/>
        </w:rPr>
        <w:t xml:space="preserve">en términos de lo dispuesto por el artículo 76 fracción I de la Ley. </w:t>
      </w:r>
    </w:p>
    <w:p>
      <w:pPr>
        <w:pStyle w:val="Normal"/>
        <w:suppressAutoHyphens w:val="true"/>
        <w:spacing w:before="0" w:after="0"/>
        <w:ind w:right="-62" w:hanging="0"/>
        <w:jc w:val="both"/>
        <w:rPr>
          <w:rFonts w:ascii="ITC Avant Garde" w:hAnsi="ITC Avant Garde" w:eastAsia="Times New Roman"/>
          <w:bCs/>
          <w:color w:val="000000"/>
          <w:lang w:eastAsia="es-MX"/>
        </w:rPr>
      </w:pPr>
      <w:r>
        <w:rPr>
          <w:rFonts w:eastAsia="Times New Roman" w:ascii="ITC Avant Garde" w:hAnsi="ITC Avant Garde"/>
          <w:bCs/>
          <w:color w:val="000000"/>
          <w:lang w:eastAsia="es-MX"/>
        </w:rPr>
      </w:r>
    </w:p>
    <w:p>
      <w:pPr>
        <w:pStyle w:val="Normal"/>
        <w:suppressAutoHyphens w:val="true"/>
        <w:spacing w:before="0" w:after="0"/>
        <w:ind w:right="-62" w:hanging="0"/>
        <w:jc w:val="both"/>
        <w:rPr>
          <w:rFonts w:ascii="ITC Avant Garde" w:hAnsi="ITC Avant Garde" w:cs="Tahoma"/>
          <w:bCs/>
          <w:color w:val="000000"/>
          <w:lang w:val="es-ES" w:eastAsia="es-MX"/>
        </w:rPr>
      </w:pPr>
      <w:r>
        <w:rPr>
          <w:rFonts w:eastAsia="Times New Roman" w:ascii="ITC Avant Garde" w:hAnsi="ITC Avant Garde"/>
          <w:lang w:val="en-US" w:eastAsia="es-ES"/>
        </w:rPr>
        <w:t xml:space="preserve">Ahora bien, en atención a que Televisión Roberto Casimiro González Treviño fue determinada como parte integrante del agente económico preponderante en el sector de radiodifusión a través del </w:t>
      </w:r>
      <w:r>
        <w:rPr>
          <w:rFonts w:ascii="ITC Avant Garde" w:hAnsi="ITC Avant Garde"/>
          <w:lang w:eastAsia="es-MX"/>
        </w:rPr>
        <w:t xml:space="preserve">Acuerdo P/IFT/EXT/060314/77 de fecha 6 de marzo de 2014 emitido por el Pleno del Instituto, en términos del </w:t>
      </w:r>
      <w:r>
        <w:rPr>
          <w:rFonts w:cs="Tahoma" w:ascii="ITC Avant Garde" w:hAnsi="ITC Avant Garde"/>
          <w:bCs/>
          <w:color w:val="000000"/>
          <w:lang w:val="es-ES" w:eastAsia="es-MX"/>
        </w:rPr>
        <w:t>artículo Cuarto Transitorio del Decreto de Reforma Constitucional para obtener la autorización para prestar servicios adicionales a los que son objeto de su concesión o para transitar al modelo de concesión única, es indispensable que se encuentren en cumplimiento de las medidas que se les hayan impuesto conforme a lo previsto por las fracciones III y IV del artículo Octavo Transitorio del propio Decreto de Reforma Constitucional.</w:t>
      </w:r>
    </w:p>
    <w:p>
      <w:pPr>
        <w:pStyle w:val="Normal"/>
        <w:suppressAutoHyphens w:val="true"/>
        <w:spacing w:before="0" w:after="0"/>
        <w:ind w:right="-62" w:hanging="0"/>
        <w:jc w:val="both"/>
        <w:rPr>
          <w:rFonts w:ascii="ITC Avant Garde" w:hAnsi="ITC Avant Garde" w:eastAsia="Times New Roman"/>
          <w:lang w:val="en-US" w:eastAsia="es-ES"/>
        </w:rPr>
      </w:pPr>
      <w:r>
        <w:rPr>
          <w:rFonts w:eastAsia="Times New Roman" w:ascii="ITC Avant Garde" w:hAnsi="ITC Avant Garde"/>
          <w:lang w:val="en-US" w:eastAsia="es-ES"/>
        </w:rPr>
      </w:r>
    </w:p>
    <w:p>
      <w:pPr>
        <w:pStyle w:val="Normal"/>
        <w:spacing w:before="0" w:after="0"/>
        <w:jc w:val="both"/>
        <w:rPr>
          <w:rFonts w:ascii="ITC Avant Garde" w:hAnsi="ITC Avant Garde" w:cs="Tahoma"/>
          <w:bCs/>
          <w:color w:val="000000"/>
          <w:lang w:val="es-ES" w:eastAsia="es-MX"/>
        </w:rPr>
      </w:pPr>
      <w:r>
        <w:rPr>
          <w:rFonts w:ascii="ITC Avant Garde" w:hAnsi="ITC Avant Garde"/>
        </w:rPr>
        <w:t>A este respecto, para el caso de solicitudes de refrendo de concesiones que el Instituto resuelva favorablemente, la consecuencia sería el otorgamiento de una concesión única en este acto administrativo en términos de lo dispuesto por los artículos 66 y 75 párrafo segundo de la Ley,</w:t>
      </w:r>
      <w:r>
        <w:rPr>
          <w:rFonts w:ascii="ITC Avant Garde" w:hAnsi="ITC Avant Garde"/>
          <w:bCs/>
          <w:color w:val="000000"/>
        </w:rPr>
        <w:t xml:space="preserve"> en virtud de que ésta es la que confiere el derecho de prestar todo tipo de servicios de telecomunicaciones y radiodifusión. </w:t>
      </w:r>
      <w:r>
        <w:rPr>
          <w:rFonts w:ascii="ITC Avant Garde" w:hAnsi="ITC Avant Garde"/>
        </w:rPr>
        <w:t>Sin embargo, dado que no existen elementos que permitan advertir que se ha observado lo señalado por el artículo Décimo Transitorio penúltimo párrafo del Decreto de Ley</w:t>
      </w:r>
      <w:r>
        <w:rPr>
          <w:rStyle w:val="FootnoteAnchor"/>
          <w:rFonts w:ascii="ITC Avant Garde" w:hAnsi="ITC Avant Garde"/>
        </w:rPr>
        <w:footnoteReference w:id="2"/>
      </w:r>
      <w:r>
        <w:rPr>
          <w:rFonts w:ascii="ITC Avant Garde" w:hAnsi="ITC Avant Garde"/>
        </w:rPr>
        <w:t>, este Instituto estima que no es jurídicamente posible el otorgamiento de la Concesión única de uso comercial.</w:t>
      </w:r>
    </w:p>
    <w:p>
      <w:pPr>
        <w:pStyle w:val="Normal"/>
        <w:suppressAutoHyphens w:val="true"/>
        <w:spacing w:before="0" w:after="0"/>
        <w:ind w:right="-62" w:hanging="0"/>
        <w:jc w:val="both"/>
        <w:rPr>
          <w:rFonts w:ascii="ITC Avant Garde" w:hAnsi="ITC Avant Garde" w:cs="Tahoma"/>
          <w:bCs/>
          <w:color w:val="000000"/>
          <w:lang w:val="es-ES" w:eastAsia="es-MX"/>
        </w:rPr>
      </w:pPr>
      <w:r>
        <w:rPr>
          <w:rFonts w:cs="Tahoma" w:ascii="ITC Avant Garde" w:hAnsi="ITC Avant Garde"/>
          <w:bCs/>
          <w:color w:val="000000"/>
          <w:lang w:val="es-ES" w:eastAsia="es-MX"/>
        </w:rPr>
      </w:r>
    </w:p>
    <w:p>
      <w:pPr>
        <w:pStyle w:val="Normal"/>
        <w:spacing w:before="0" w:after="0"/>
        <w:jc w:val="both"/>
        <w:rPr>
          <w:rFonts w:ascii="ITC Avant Garde" w:hAnsi="ITC Avant Garde"/>
        </w:rPr>
      </w:pPr>
      <w:r>
        <w:rPr>
          <w:rFonts w:ascii="ITC Avant Garde" w:hAnsi="ITC Avant Garde"/>
        </w:rPr>
        <w:t>No obstante, esta autoridad considera que con el propósito de garantizar y proteger la continuidad del servicio público de radiodifusión de acuerdo con el artículo 6 apartado B fracción III de la Constitución, en la especie, debe otorgarse a Roberto Casimiro González Treviño un título de concesión para uso comercial que le permita continuar prestando el servicio de televisión radiodifundida.</w:t>
      </w:r>
    </w:p>
    <w:p>
      <w:pPr>
        <w:pStyle w:val="Normal"/>
        <w:spacing w:before="0" w:after="0"/>
        <w:jc w:val="both"/>
        <w:rPr>
          <w:rFonts w:ascii="ITC Avant Garde" w:hAnsi="ITC Avant Garde"/>
        </w:rPr>
      </w:pPr>
      <w:r>
        <w:rPr>
          <w:rFonts w:ascii="ITC Avant Garde" w:hAnsi="ITC Avant Garde"/>
        </w:rPr>
      </w:r>
    </w:p>
    <w:p>
      <w:pPr>
        <w:pStyle w:val="Normal"/>
        <w:spacing w:before="0" w:after="0"/>
        <w:jc w:val="both"/>
        <w:rPr>
          <w:rFonts w:ascii="ITC Avant Garde" w:hAnsi="ITC Avant Garde" w:eastAsia="Times New Roman"/>
          <w:b/>
          <w:b/>
          <w:bCs/>
          <w:lang w:val="es-ES" w:eastAsia="ar-SA"/>
        </w:rPr>
      </w:pPr>
      <w:r>
        <w:rPr>
          <w:rFonts w:ascii="ITC Avant Garde" w:hAnsi="ITC Avant Garde"/>
        </w:rPr>
        <w:t>Como se señaló en el Considerando tercero de la presente resolución, lo anterior no limita la posibilidad de que una vez que Roberto Casimiro González Treviño acredite el cumplimiento de las medidas Impuestas por el Instituto, este órgano autónomo le otorgue el título de concesión correspondiente que le permita prestar de manera convergente todos los servicios de telecomunicaciones o radiodifusión, siempre que el Concesionario cumpla con lo establecido en el último párrafo del artículo Cuarto Transitorio del Decreto de Reforma Constitucional, así como lo señalado al efecto por los artículos 276 de la Ley y 28 de los “Lineamientos generales para el otorgamiento de las concesiones a que se refiere el título cuarto de Ley Federal de Telecomunicaciones y Radiodifusión”, publicado en el Diario Oficial de la Federación el 24 de julio de 2015.</w:t>
      </w:r>
    </w:p>
    <w:p>
      <w:pPr>
        <w:pStyle w:val="Normal"/>
        <w:suppressAutoHyphens w:val="true"/>
        <w:spacing w:before="0" w:after="0"/>
        <w:ind w:right="-62" w:hanging="0"/>
        <w:jc w:val="both"/>
        <w:rPr>
          <w:rFonts w:ascii="ITC Avant Garde" w:hAnsi="ITC Avant Garde" w:eastAsia="Times New Roman"/>
          <w:lang w:val="en-US" w:eastAsia="es-ES"/>
        </w:rPr>
      </w:pPr>
      <w:r>
        <w:rPr>
          <w:rFonts w:eastAsia="Times New Roman" w:ascii="ITC Avant Garde" w:hAnsi="ITC Avant Garde"/>
          <w:lang w:val="en-US" w:eastAsia="es-ES"/>
        </w:rPr>
      </w:r>
    </w:p>
    <w:p>
      <w:pPr>
        <w:pStyle w:val="Normal"/>
        <w:spacing w:before="0" w:after="0"/>
        <w:jc w:val="both"/>
        <w:rPr>
          <w:rFonts w:ascii="ITC Avant Garde" w:hAnsi="ITC Avant Garde"/>
          <w:bCs/>
          <w:color w:val="000000"/>
        </w:rPr>
      </w:pPr>
      <w:r>
        <w:rPr>
          <w:rFonts w:eastAsia="Times New Roman" w:ascii="ITC Avant Garde" w:hAnsi="ITC Avant Garde"/>
          <w:b/>
          <w:bCs/>
          <w:lang w:val="es-ES" w:eastAsia="ar-SA"/>
        </w:rPr>
        <w:t>Séptimo.</w:t>
      </w:r>
      <w:r>
        <w:rPr>
          <w:rFonts w:eastAsia="Times New Roman" w:ascii="ITC Avant Garde" w:hAnsi="ITC Avant Garde"/>
          <w:bCs/>
          <w:lang w:val="es-ES" w:eastAsia="ar-SA"/>
        </w:rPr>
        <w:t xml:space="preserve">- </w:t>
      </w:r>
      <w:r>
        <w:rPr>
          <w:rFonts w:eastAsia="Times New Roman" w:ascii="ITC Avant Garde" w:hAnsi="ITC Avant Garde"/>
          <w:b/>
          <w:bCs/>
          <w:lang w:val="es-ES" w:eastAsia="ar-SA"/>
        </w:rPr>
        <w:t>Vigencia de la concesión para uso comercial.</w:t>
      </w:r>
      <w:r>
        <w:rPr>
          <w:rFonts w:ascii="ITC Avant Garde" w:hAnsi="ITC Avant Garde"/>
          <w:bCs/>
        </w:rPr>
        <w:t xml:space="preserve"> En términos de lo dispuesto por el artículo 75 de la</w:t>
      </w:r>
      <w:r>
        <w:rPr>
          <w:rFonts w:ascii="ITC Avant Garde" w:hAnsi="ITC Avant Garde"/>
          <w:bCs/>
          <w:color w:val="000000"/>
          <w:lang w:eastAsia="es-MX"/>
        </w:rPr>
        <w:t xml:space="preserve"> Ley, la vigencia de las concesiones sobre el espectro radioeléctrico para uso comercial, serán hasta por 20 (veinte) años, por lo que</w:t>
      </w:r>
      <w:r>
        <w:rPr>
          <w:rFonts w:ascii="ITC Avant Garde" w:hAnsi="ITC Avant Garde"/>
          <w:bCs/>
          <w:color w:val="000000"/>
        </w:rPr>
        <w:t xml:space="preserve"> se considera que la concesión </w:t>
      </w:r>
      <w:r>
        <w:rPr>
          <w:rFonts w:eastAsia="Times New Roman" w:ascii="ITC Avant Garde" w:hAnsi="ITC Avant Garde"/>
          <w:lang w:val="en-US" w:eastAsia="es-ES"/>
        </w:rPr>
        <w:t xml:space="preserve">para usar, aprovechar y explotar bandas de frecuencia del espectro radioeléctrico para uso comercial se otorgue con una </w:t>
      </w:r>
      <w:r>
        <w:rPr>
          <w:rFonts w:ascii="ITC Avant Garde" w:hAnsi="ITC Avant Garde"/>
          <w:bCs/>
          <w:color w:val="000000"/>
        </w:rPr>
        <w:t xml:space="preserve">vigencia de </w:t>
      </w:r>
      <w:r>
        <w:rPr>
          <w:rFonts w:eastAsia="Times New Roman" w:ascii="ITC Avant Garde" w:hAnsi="ITC Avant Garde"/>
          <w:bCs/>
          <w:lang w:eastAsia="ar-SA"/>
        </w:rPr>
        <w:t>20 (veinte) años</w:t>
      </w:r>
      <w:r>
        <w:rPr>
          <w:rFonts w:ascii="ITC Avant Garde" w:hAnsi="ITC Avant Garde"/>
          <w:bCs/>
          <w:color w:val="000000"/>
        </w:rPr>
        <w:t xml:space="preserve"> contada a partir del día 3 de julio de 2009 y vencimiento al 3 de julio de 2029. </w:t>
      </w:r>
    </w:p>
    <w:p>
      <w:pPr>
        <w:pStyle w:val="Normal"/>
        <w:spacing w:before="0" w:after="0"/>
        <w:jc w:val="both"/>
        <w:rPr>
          <w:rFonts w:ascii="ITC Avant Garde" w:hAnsi="ITC Avant Garde"/>
          <w:bCs/>
          <w:color w:val="000000"/>
        </w:rPr>
      </w:pPr>
      <w:r>
        <w:rPr>
          <w:rFonts w:ascii="ITC Avant Garde" w:hAnsi="ITC Avant Garde"/>
          <w:bCs/>
          <w:color w:val="000000"/>
        </w:rPr>
      </w:r>
    </w:p>
    <w:p>
      <w:pPr>
        <w:pStyle w:val="Normal"/>
        <w:spacing w:before="0" w:after="0"/>
        <w:jc w:val="both"/>
        <w:rPr>
          <w:rFonts w:ascii="ITC Avant Garde" w:hAnsi="ITC Avant Garde"/>
        </w:rPr>
      </w:pPr>
      <w:r>
        <w:rPr>
          <w:rFonts w:ascii="ITC Avant Garde" w:hAnsi="ITC Avant Garde"/>
          <w:bCs/>
          <w:color w:val="000000"/>
        </w:rPr>
        <w:t>En tanto que el título de concesión que le permita a Roberto Casimiro González Treviño, la prestación del servicio público de televisión radiodifundida tendrá una vigencia de 20 (veinte) años, contados a partir de la misma fecha.</w:t>
      </w:r>
    </w:p>
    <w:p>
      <w:pPr>
        <w:pStyle w:val="Normal"/>
        <w:suppressAutoHyphens w:val="true"/>
        <w:spacing w:before="0" w:after="0"/>
        <w:ind w:right="-62" w:hanging="0"/>
        <w:jc w:val="both"/>
        <w:rPr>
          <w:rFonts w:ascii="ITC Avant Garde" w:hAnsi="ITC Avant Garde" w:eastAsia="Times New Roman"/>
          <w:lang w:val="en-US" w:eastAsia="es-ES"/>
        </w:rPr>
      </w:pPr>
      <w:r>
        <w:rPr>
          <w:rFonts w:eastAsia="Times New Roman" w:ascii="ITC Avant Garde" w:hAnsi="ITC Avant Garde"/>
          <w:lang w:val="en-US" w:eastAsia="es-ES"/>
        </w:rPr>
      </w:r>
    </w:p>
    <w:p>
      <w:pPr>
        <w:pStyle w:val="Normal"/>
        <w:spacing w:before="0" w:after="0"/>
        <w:jc w:val="both"/>
        <w:rPr>
          <w:rFonts w:ascii="ITC Avant Garde" w:hAnsi="ITC Avant Garde"/>
          <w:bCs/>
          <w:color w:val="000000"/>
        </w:rPr>
      </w:pPr>
      <w:r>
        <w:rPr>
          <w:rFonts w:ascii="ITC Avant Garde" w:hAnsi="ITC Avant Garde"/>
          <w:bCs/>
          <w:color w:val="000000"/>
        </w:rPr>
        <w:t>Al respecto, es importante resaltar que la vigencia propuesta, se ajusta a lo estipulado en la Ley, toda vez que se trata de un nuevo acto de otorgamiento regulado de manera distinta al anterior marco legal, por lo que se considera que no existe impedimento alguno para que el Instituto conforme a sus atribuciones conferidas establezca un nuevo periodo de vigencia de las concesiones a otorgar.</w:t>
      </w:r>
    </w:p>
    <w:p>
      <w:pPr>
        <w:pStyle w:val="Normal"/>
        <w:suppressAutoHyphens w:val="true"/>
        <w:spacing w:before="0" w:after="0"/>
        <w:ind w:right="-62" w:hanging="0"/>
        <w:jc w:val="both"/>
        <w:rPr>
          <w:rFonts w:ascii="ITC Avant Garde" w:hAnsi="ITC Avant Garde" w:eastAsia="Times New Roman"/>
          <w:lang w:val="en-US" w:eastAsia="es-ES"/>
        </w:rPr>
      </w:pPr>
      <w:r>
        <w:rPr>
          <w:rFonts w:eastAsia="Times New Roman" w:ascii="ITC Avant Garde" w:hAnsi="ITC Avant Garde"/>
          <w:lang w:val="en-US" w:eastAsia="es-ES"/>
        </w:rPr>
      </w:r>
    </w:p>
    <w:p>
      <w:pPr>
        <w:pStyle w:val="Normal"/>
        <w:suppressAutoHyphens w:val="true"/>
        <w:spacing w:before="0" w:after="0"/>
        <w:ind w:right="-62" w:hanging="0"/>
        <w:jc w:val="both"/>
        <w:rPr>
          <w:rFonts w:ascii="ITC Avant Garde" w:hAnsi="ITC Avant Garde" w:eastAsia="Times New Roman"/>
          <w:lang w:val="en-US" w:eastAsia="ar-SA"/>
        </w:rPr>
      </w:pPr>
      <w:r>
        <w:rPr>
          <w:rFonts w:eastAsia="Times New Roman" w:ascii="ITC Avant Garde" w:hAnsi="ITC Avant Garde"/>
          <w:b/>
          <w:bCs/>
          <w:lang w:val="es-ES" w:eastAsia="ar-SA"/>
        </w:rPr>
        <w:t>Octavo.</w:t>
      </w:r>
      <w:r>
        <w:rPr>
          <w:rFonts w:eastAsia="Times New Roman" w:ascii="ITC Avant Garde" w:hAnsi="ITC Avant Garde"/>
          <w:bCs/>
          <w:lang w:val="es-ES" w:eastAsia="ar-SA"/>
        </w:rPr>
        <w:t xml:space="preserve">- </w:t>
      </w:r>
      <w:r>
        <w:rPr>
          <w:rFonts w:eastAsia="Times New Roman" w:ascii="ITC Avant Garde" w:hAnsi="ITC Avant Garde"/>
          <w:b/>
          <w:lang w:val="es-ES" w:eastAsia="ar-SA"/>
        </w:rPr>
        <w:t xml:space="preserve">Contraprestación. </w:t>
      </w:r>
      <w:r>
        <w:rPr>
          <w:rFonts w:eastAsia="Times New Roman" w:ascii="ITC Avant Garde" w:hAnsi="ITC Avant Garde"/>
          <w:lang w:val="en-US" w:eastAsia="ar-SA"/>
        </w:rPr>
        <w:t>L</w:t>
      </w:r>
      <w:r>
        <w:rPr>
          <w:rFonts w:eastAsia="Times New Roman" w:ascii="ITC Avant Garde" w:hAnsi="ITC Avant Garde"/>
          <w:lang w:val="es-ES" w:eastAsia="ar-SA"/>
        </w:rPr>
        <w:t xml:space="preserve">a frecuencia objeto de concesión en términos de los </w:t>
      </w:r>
      <w:r>
        <w:rPr>
          <w:rFonts w:eastAsia="Times New Roman" w:ascii="ITC Avant Garde" w:hAnsi="ITC Avant Garde"/>
          <w:lang w:val="en-US" w:eastAsia="ar-SA"/>
        </w:rPr>
        <w:t>párrafos cuarto y sexto del artículo 27 de la Constitución,</w:t>
      </w:r>
      <w:r>
        <w:rPr>
          <w:rFonts w:eastAsia="Times New Roman" w:ascii="ITC Avant Garde" w:hAnsi="ITC Avant Garde"/>
          <w:lang w:val="es-ES" w:eastAsia="ar-SA"/>
        </w:rPr>
        <w:t xml:space="preserve"> constituye </w:t>
      </w:r>
      <w:bookmarkStart w:id="0" w:name="0_4"/>
      <w:bookmarkStart w:id="1" w:name="0_3"/>
      <w:bookmarkStart w:id="2" w:name="0_2"/>
      <w:bookmarkStart w:id="3" w:name="0_1"/>
      <w:bookmarkEnd w:id="0"/>
      <w:bookmarkEnd w:id="1"/>
      <w:bookmarkEnd w:id="2"/>
      <w:bookmarkEnd w:id="3"/>
      <w:r>
        <w:rPr>
          <w:rFonts w:eastAsia="Times New Roman" w:ascii="ITC Avant Garde" w:hAnsi="ITC Avant Garde"/>
          <w:lang w:val="en-US" w:eastAsia="ar-SA"/>
        </w:rPr>
        <w:t>un bien del dominio directo de la Nación, cuyo uso, aprovechamiento o explotación puede ser otorgado en concesión a los particulares para prestar el servicio público de radiodifusión.</w:t>
      </w:r>
    </w:p>
    <w:p>
      <w:pPr>
        <w:pStyle w:val="Normal"/>
        <w:suppressAutoHyphens w:val="true"/>
        <w:spacing w:before="0" w:after="0"/>
        <w:ind w:right="-62" w:hanging="0"/>
        <w:jc w:val="both"/>
        <w:rPr>
          <w:rFonts w:ascii="ITC Avant Garde" w:hAnsi="ITC Avant Garde" w:eastAsia="Times New Roman"/>
          <w:lang w:val="en-US" w:eastAsia="ar-SA"/>
        </w:rPr>
      </w:pPr>
      <w:r>
        <w:rPr>
          <w:rFonts w:eastAsia="Times New Roman" w:ascii="ITC Avant Garde" w:hAnsi="ITC Avant Garde"/>
          <w:lang w:val="en-US" w:eastAsia="ar-SA"/>
        </w:rPr>
      </w:r>
    </w:p>
    <w:p>
      <w:pPr>
        <w:pStyle w:val="Normal"/>
        <w:suppressAutoHyphens w:val="true"/>
        <w:spacing w:before="0" w:after="0"/>
        <w:ind w:right="-62" w:hanging="0"/>
        <w:jc w:val="both"/>
        <w:rPr>
          <w:rFonts w:ascii="ITC Avant Garde" w:hAnsi="ITC Avant Garde" w:eastAsia="Times New Roman"/>
          <w:lang w:val="en-US" w:eastAsia="ar-SA"/>
        </w:rPr>
      </w:pPr>
      <w:r>
        <w:rPr>
          <w:rFonts w:eastAsia="Times New Roman" w:ascii="ITC Avant Garde" w:hAnsi="ITC Avant Garde"/>
          <w:lang w:val="en-US" w:eastAsia="ar-SA"/>
        </w:rPr>
        <w:t xml:space="preserve">El espacio aéreo </w:t>
      </w:r>
      <w:r>
        <w:rPr>
          <w:rFonts w:eastAsia="Times New Roman" w:ascii="ITC Avant Garde" w:hAnsi="ITC Avant Garde"/>
          <w:lang w:val="es-ES" w:eastAsia="ar-SA"/>
        </w:rPr>
        <w:t xml:space="preserve">es el medio en el que se propagan las ondas electromagnéticas, que se utilizan para la difusión de ideas, señales, signos o imágenes, mediante la instalación, funcionamiento y operación de estaciones de radio y televisión, </w:t>
      </w:r>
      <w:r>
        <w:rPr>
          <w:rFonts w:eastAsia="Times New Roman" w:ascii="ITC Avant Garde" w:hAnsi="ITC Avant Garde"/>
          <w:lang w:val="en-US" w:eastAsia="ar-SA"/>
        </w:rPr>
        <w:t xml:space="preserve">es decir, el espectro radioeléctrico, conforme a lo establecido en el artículo 134 de la propia Constitución, constituye un recurso económico del Estado, al efecto dicho precepto establece: </w:t>
      </w:r>
    </w:p>
    <w:p>
      <w:pPr>
        <w:pStyle w:val="Normal"/>
        <w:suppressAutoHyphens w:val="true"/>
        <w:spacing w:before="0" w:after="0"/>
        <w:ind w:right="-62" w:hanging="0"/>
        <w:jc w:val="both"/>
        <w:rPr>
          <w:rFonts w:ascii="ITC Avant Garde" w:hAnsi="ITC Avant Garde" w:eastAsia="Times New Roman"/>
          <w:lang w:val="en-US" w:eastAsia="ar-SA"/>
        </w:rPr>
      </w:pPr>
      <w:r>
        <w:rPr>
          <w:rFonts w:eastAsia="Times New Roman" w:ascii="ITC Avant Garde" w:hAnsi="ITC Avant Garde"/>
          <w:lang w:val="en-US" w:eastAsia="ar-SA"/>
        </w:rPr>
      </w:r>
    </w:p>
    <w:p>
      <w:pPr>
        <w:pStyle w:val="Normal"/>
        <w:suppressAutoHyphens w:val="true"/>
        <w:spacing w:before="0" w:after="0"/>
        <w:ind w:left="567" w:right="425" w:hanging="0"/>
        <w:jc w:val="both"/>
        <w:rPr>
          <w:rFonts w:ascii="ITC Avant Garde" w:hAnsi="ITC Avant Garde" w:eastAsia="Times New Roman"/>
          <w:i/>
          <w:i/>
          <w:sz w:val="18"/>
          <w:lang w:eastAsia="ar-SA"/>
        </w:rPr>
      </w:pPr>
      <w:r>
        <w:rPr>
          <w:rFonts w:eastAsia="Times New Roman" w:ascii="ITC Avant Garde" w:hAnsi="ITC Avant Garde"/>
          <w:b/>
          <w:bCs/>
          <w:i/>
          <w:sz w:val="18"/>
          <w:lang w:eastAsia="ar-SA"/>
        </w:rPr>
        <w:t>“</w:t>
      </w:r>
      <w:r>
        <w:rPr>
          <w:rFonts w:eastAsia="Times New Roman" w:ascii="ITC Avant Garde" w:hAnsi="ITC Avant Garde"/>
          <w:b/>
          <w:bCs/>
          <w:i/>
          <w:sz w:val="18"/>
          <w:lang w:eastAsia="ar-SA"/>
        </w:rPr>
        <w:t xml:space="preserve">Artículo 134. </w:t>
      </w:r>
      <w:r>
        <w:rPr>
          <w:rFonts w:eastAsia="Times New Roman" w:ascii="ITC Avant Garde" w:hAnsi="ITC Avant Garde"/>
          <w:i/>
          <w:sz w:val="18"/>
          <w:lang w:eastAsia="ar-SA"/>
        </w:rPr>
        <w:t xml:space="preserve">Los recursos económicos de que dispongan la Federación, los estados, los municipios, el Distrito Federal y los órganos político-administrativos de sus demarcaciones territoriales, </w:t>
      </w:r>
      <w:r>
        <w:rPr>
          <w:rFonts w:eastAsia="Times New Roman" w:ascii="ITC Avant Garde" w:hAnsi="ITC Avant Garde"/>
          <w:b/>
          <w:i/>
          <w:sz w:val="18"/>
          <w:lang w:eastAsia="ar-SA"/>
        </w:rPr>
        <w:t>se administrarán con eficiencia, eficacia, economía, transparencia y honradez para satisfacer los objetivos a los que estén destinados.</w:t>
      </w:r>
      <w:r>
        <w:rPr>
          <w:rFonts w:eastAsia="Times New Roman" w:ascii="ITC Avant Garde" w:hAnsi="ITC Avant Garde"/>
          <w:i/>
          <w:sz w:val="18"/>
          <w:lang w:eastAsia="ar-SA"/>
        </w:rPr>
        <w:t xml:space="preserve"> </w:t>
      </w:r>
    </w:p>
    <w:p>
      <w:pPr>
        <w:pStyle w:val="Normal"/>
        <w:suppressAutoHyphens w:val="true"/>
        <w:spacing w:before="0" w:after="0"/>
        <w:ind w:left="567" w:right="425" w:hanging="0"/>
        <w:jc w:val="both"/>
        <w:rPr>
          <w:rFonts w:ascii="ITC Avant Garde" w:hAnsi="ITC Avant Garde" w:eastAsia="Times New Roman"/>
          <w:i/>
          <w:i/>
          <w:sz w:val="18"/>
          <w:lang w:eastAsia="ar-SA"/>
        </w:rPr>
      </w:pPr>
      <w:r>
        <w:rPr>
          <w:rFonts w:eastAsia="Times New Roman" w:ascii="ITC Avant Garde" w:hAnsi="ITC Avant Garde"/>
          <w:i/>
          <w:sz w:val="18"/>
          <w:lang w:eastAsia="ar-SA"/>
        </w:rPr>
      </w:r>
    </w:p>
    <w:p>
      <w:pPr>
        <w:pStyle w:val="Normal"/>
        <w:suppressAutoHyphens w:val="true"/>
        <w:spacing w:before="0" w:after="0"/>
        <w:ind w:left="567" w:right="425" w:hanging="0"/>
        <w:jc w:val="both"/>
        <w:rPr>
          <w:rFonts w:ascii="ITC Avant Garde" w:hAnsi="ITC Avant Garde" w:eastAsia="Times New Roman"/>
          <w:i/>
          <w:i/>
          <w:iCs/>
          <w:sz w:val="18"/>
          <w:lang w:eastAsia="ar-SA"/>
        </w:rPr>
      </w:pPr>
      <w:r>
        <w:rPr>
          <w:rFonts w:eastAsia="Times New Roman" w:ascii="ITC Avant Garde" w:hAnsi="ITC Avant Garde"/>
          <w:i/>
          <w:iCs/>
          <w:sz w:val="18"/>
          <w:lang w:eastAsia="ar-SA"/>
        </w:rPr>
        <w:t>…</w:t>
      </w:r>
    </w:p>
    <w:p>
      <w:pPr>
        <w:pStyle w:val="Normal"/>
        <w:suppressAutoHyphens w:val="true"/>
        <w:spacing w:before="0" w:after="0"/>
        <w:ind w:left="567" w:right="425" w:hanging="0"/>
        <w:jc w:val="both"/>
        <w:rPr>
          <w:rFonts w:ascii="ITC Avant Garde" w:hAnsi="ITC Avant Garde" w:eastAsia="Times New Roman"/>
          <w:i/>
          <w:i/>
          <w:iCs/>
          <w:sz w:val="18"/>
          <w:lang w:eastAsia="ar-SA"/>
        </w:rPr>
      </w:pPr>
      <w:r>
        <w:rPr>
          <w:rFonts w:eastAsia="Times New Roman" w:ascii="ITC Avant Garde" w:hAnsi="ITC Avant Garde"/>
          <w:i/>
          <w:iCs/>
          <w:sz w:val="18"/>
          <w:lang w:eastAsia="ar-SA"/>
        </w:rPr>
        <w:t>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pPr>
        <w:pStyle w:val="Normal"/>
        <w:suppressAutoHyphens w:val="true"/>
        <w:spacing w:before="0" w:after="0"/>
        <w:ind w:left="567" w:right="425" w:hanging="0"/>
        <w:jc w:val="both"/>
        <w:rPr>
          <w:rFonts w:ascii="ITC Avant Garde" w:hAnsi="ITC Avant Garde" w:eastAsia="Times New Roman"/>
          <w:i/>
          <w:i/>
          <w:iCs/>
          <w:sz w:val="18"/>
          <w:lang w:eastAsia="ar-SA"/>
        </w:rPr>
      </w:pPr>
      <w:r>
        <w:rPr>
          <w:rFonts w:eastAsia="Times New Roman" w:ascii="ITC Avant Garde" w:hAnsi="ITC Avant Garde"/>
          <w:i/>
          <w:iCs/>
          <w:sz w:val="18"/>
          <w:lang w:eastAsia="ar-SA"/>
        </w:rPr>
      </w:r>
    </w:p>
    <w:p>
      <w:pPr>
        <w:pStyle w:val="Normal"/>
        <w:suppressAutoHyphens w:val="true"/>
        <w:spacing w:before="0" w:after="0"/>
        <w:ind w:left="567" w:right="425" w:hanging="0"/>
        <w:jc w:val="both"/>
        <w:rPr>
          <w:rFonts w:ascii="ITC Avant Garde" w:hAnsi="ITC Avant Garde" w:eastAsia="Times New Roman"/>
          <w:b/>
          <w:b/>
          <w:i/>
          <w:i/>
          <w:iCs/>
          <w:sz w:val="18"/>
          <w:lang w:eastAsia="ar-SA"/>
        </w:rPr>
      </w:pPr>
      <w:r>
        <w:rPr>
          <w:rFonts w:eastAsia="Times New Roman" w:ascii="ITC Avant Garde" w:hAnsi="ITC Avant Garde"/>
          <w:i/>
          <w:iCs/>
          <w:sz w:val="18"/>
          <w:lang w:eastAsia="ar-SA"/>
        </w:rPr>
        <w:t xml:space="preserve">Cuando las licitaciones a que hace referencia el párrafo anterior no sean idóneas para asegurar dichas condiciones, </w:t>
      </w:r>
      <w:r>
        <w:rPr>
          <w:rFonts w:eastAsia="Times New Roman" w:ascii="ITC Avant Garde" w:hAnsi="ITC Avant Garde"/>
          <w:b/>
          <w:i/>
          <w:iCs/>
          <w:sz w:val="18"/>
          <w:lang w:eastAsia="ar-SA"/>
        </w:rPr>
        <w:t>las leyes establecerán las bases, procedimientos, reglas, requisitos y demás elementos para acreditar la economía, eficacia, eficiencia, imparcialidad y honradez que aseguren las mejores condiciones para el Estado.</w:t>
      </w:r>
    </w:p>
    <w:p>
      <w:pPr>
        <w:pStyle w:val="Normal"/>
        <w:suppressAutoHyphens w:val="true"/>
        <w:spacing w:before="0" w:after="0"/>
        <w:ind w:left="567" w:right="425" w:hanging="0"/>
        <w:jc w:val="both"/>
        <w:rPr>
          <w:rFonts w:ascii="ITC Avant Garde" w:hAnsi="ITC Avant Garde" w:eastAsia="Times New Roman"/>
          <w:b/>
          <w:b/>
          <w:i/>
          <w:i/>
          <w:iCs/>
          <w:sz w:val="18"/>
          <w:lang w:eastAsia="ar-SA"/>
        </w:rPr>
      </w:pPr>
      <w:r>
        <w:rPr>
          <w:rFonts w:eastAsia="Times New Roman" w:ascii="ITC Avant Garde" w:hAnsi="ITC Avant Garde"/>
          <w:b/>
          <w:i/>
          <w:iCs/>
          <w:sz w:val="18"/>
          <w:lang w:eastAsia="ar-SA"/>
        </w:rPr>
      </w:r>
    </w:p>
    <w:p>
      <w:pPr>
        <w:pStyle w:val="Normal"/>
        <w:suppressAutoHyphens w:val="true"/>
        <w:spacing w:before="0" w:after="0"/>
        <w:ind w:left="567" w:right="425" w:hanging="0"/>
        <w:jc w:val="both"/>
        <w:rPr>
          <w:rFonts w:ascii="ITC Avant Garde" w:hAnsi="ITC Avant Garde" w:eastAsia="Times New Roman"/>
          <w:sz w:val="18"/>
          <w:lang w:eastAsia="ar-SA"/>
        </w:rPr>
      </w:pPr>
      <w:r>
        <w:rPr>
          <w:rFonts w:eastAsia="Times New Roman" w:ascii="ITC Avant Garde" w:hAnsi="ITC Avant Garde"/>
          <w:i/>
          <w:iCs/>
          <w:sz w:val="18"/>
          <w:lang w:eastAsia="ar-SA"/>
        </w:rPr>
        <w:t>...”</w:t>
      </w:r>
      <w:r>
        <w:rPr>
          <w:rFonts w:eastAsia="Times New Roman" w:ascii="ITC Avant Garde" w:hAnsi="ITC Avant Garde"/>
          <w:sz w:val="18"/>
          <w:lang w:eastAsia="ar-SA"/>
        </w:rPr>
        <w:t xml:space="preserve"> </w:t>
      </w:r>
    </w:p>
    <w:p>
      <w:pPr>
        <w:pStyle w:val="Normal"/>
        <w:suppressAutoHyphens w:val="true"/>
        <w:spacing w:before="0" w:after="0"/>
        <w:ind w:right="-62" w:hanging="0"/>
        <w:jc w:val="both"/>
        <w:rPr>
          <w:rFonts w:ascii="ITC Avant Garde" w:hAnsi="ITC Avant Garde" w:eastAsia="Times New Roman"/>
          <w:lang w:val="en-US" w:eastAsia="ar-SA"/>
        </w:rPr>
      </w:pPr>
      <w:r>
        <w:rPr>
          <w:rFonts w:eastAsia="Times New Roman" w:ascii="ITC Avant Garde" w:hAnsi="ITC Avant Garde"/>
          <w:lang w:val="en-US" w:eastAsia="ar-SA"/>
        </w:rPr>
      </w:r>
    </w:p>
    <w:p>
      <w:pPr>
        <w:pStyle w:val="Normal"/>
        <w:suppressAutoHyphens w:val="true"/>
        <w:spacing w:before="0" w:after="0"/>
        <w:ind w:right="-62" w:hanging="0"/>
        <w:jc w:val="both"/>
        <w:rPr>
          <w:rFonts w:ascii="ITC Avant Garde" w:hAnsi="ITC Avant Garde" w:eastAsia="Times New Roman"/>
          <w:lang w:eastAsia="ar-SA"/>
        </w:rPr>
      </w:pPr>
      <w:r>
        <w:rPr>
          <w:rFonts w:eastAsia="Times New Roman" w:ascii="ITC Avant Garde" w:hAnsi="ITC Avant Garde"/>
          <w:lang w:val="en-US" w:eastAsia="ar-SA"/>
        </w:rPr>
        <w:t>En ese sentido, es importante señalar que</w:t>
      </w:r>
      <w:r>
        <w:rPr>
          <w:rFonts w:eastAsia="Times New Roman" w:ascii="ITC Avant Garde" w:hAnsi="ITC Avant Garde"/>
          <w:i/>
          <w:sz w:val="16"/>
          <w:szCs w:val="16"/>
          <w:lang w:eastAsia="ar-SA"/>
        </w:rPr>
        <w:t xml:space="preserve">, </w:t>
      </w:r>
      <w:r>
        <w:rPr>
          <w:rFonts w:eastAsia="Times New Roman" w:ascii="ITC Avant Garde" w:hAnsi="ITC Avant Garde"/>
          <w:lang w:eastAsia="ar-SA"/>
        </w:rPr>
        <w:t>entendidos los recursos económicos como bienes del dominio de la nación susceptibles de entregarse a cambio de un precio, el espectro radioeléctrico debe considerarse también como recurso económico en su amplia acepción, al que son aplicables los principios contenidos en el citado artículo 134 Constitucional, respecto del género enajenaciones; por lo que respecto del otorgamiento de la prórroga de la concesión que el Estado realiza, éste tiene derecho a recibir una contraprestación económica, máxime que, en el caso que nos ocupa, da lugar a una explotación con un fin comercial.</w:t>
      </w:r>
    </w:p>
    <w:p>
      <w:pPr>
        <w:pStyle w:val="Normal"/>
        <w:suppressAutoHyphens w:val="true"/>
        <w:spacing w:before="0" w:after="0"/>
        <w:ind w:right="-62" w:hanging="0"/>
        <w:jc w:val="both"/>
        <w:rPr>
          <w:rFonts w:ascii="ITC Avant Garde" w:hAnsi="ITC Avant Garde" w:eastAsia="Times New Roman"/>
          <w:lang w:val="en-US" w:eastAsia="ar-SA"/>
        </w:rPr>
      </w:pPr>
      <w:r>
        <w:rPr>
          <w:rFonts w:eastAsia="Times New Roman" w:ascii="ITC Avant Garde" w:hAnsi="ITC Avant Garde"/>
          <w:lang w:val="en-US" w:eastAsia="ar-SA"/>
        </w:rPr>
      </w:r>
    </w:p>
    <w:p>
      <w:pPr>
        <w:pStyle w:val="Normal"/>
        <w:suppressAutoHyphens w:val="true"/>
        <w:spacing w:before="0" w:after="0"/>
        <w:ind w:right="-62" w:hanging="0"/>
        <w:jc w:val="both"/>
        <w:rPr>
          <w:rFonts w:ascii="ITC Avant Garde" w:hAnsi="ITC Avant Garde" w:eastAsia="Times New Roman"/>
          <w:lang w:val="en-US" w:eastAsia="ar-SA"/>
        </w:rPr>
      </w:pPr>
      <w:r>
        <w:rPr>
          <w:rFonts w:eastAsia="Times New Roman" w:ascii="ITC Avant Garde" w:hAnsi="ITC Avant Garde"/>
          <w:lang w:val="en-US" w:eastAsia="ar-SA"/>
        </w:rPr>
        <w:t xml:space="preserve">Específicamente, el derecho del Estado a recibir una contraprestación económica por el otorgamiento de una concesión que otorga el uso, aprovechamiento y explotación de un bien del dominio directo de la nación, se encuentra establecida en el artículo 17 de la LFRTV, el cual establece lo siguiente: </w:t>
      </w:r>
    </w:p>
    <w:p>
      <w:pPr>
        <w:pStyle w:val="Normal"/>
        <w:suppressAutoHyphens w:val="true"/>
        <w:spacing w:before="0" w:after="0"/>
        <w:ind w:right="-62" w:hanging="0"/>
        <w:jc w:val="both"/>
        <w:rPr>
          <w:rFonts w:ascii="ITC Avant Garde" w:hAnsi="ITC Avant Garde" w:eastAsia="Times New Roman"/>
          <w:lang w:val="en-US" w:eastAsia="ar-SA"/>
        </w:rPr>
      </w:pPr>
      <w:r>
        <w:rPr>
          <w:rFonts w:eastAsia="Times New Roman" w:ascii="ITC Avant Garde" w:hAnsi="ITC Avant Garde"/>
          <w:lang w:val="en-US" w:eastAsia="ar-SA"/>
        </w:rPr>
      </w:r>
    </w:p>
    <w:p>
      <w:pPr>
        <w:pStyle w:val="Normal"/>
        <w:suppressAutoHyphens w:val="true"/>
        <w:spacing w:before="0" w:after="0"/>
        <w:ind w:left="567" w:right="425" w:hanging="0"/>
        <w:jc w:val="both"/>
        <w:rPr>
          <w:rFonts w:ascii="ITC Avant Garde" w:hAnsi="ITC Avant Garde" w:eastAsia="Times New Roman"/>
          <w:i/>
          <w:i/>
          <w:sz w:val="18"/>
          <w:lang w:val="en-US" w:eastAsia="ar-SA"/>
        </w:rPr>
      </w:pPr>
      <w:r>
        <w:rPr>
          <w:rFonts w:eastAsia="Times New Roman" w:ascii="ITC Avant Garde" w:hAnsi="ITC Avant Garde"/>
          <w:i/>
          <w:sz w:val="18"/>
          <w:lang w:val="en-US" w:eastAsia="ar-SA"/>
        </w:rPr>
        <w:t>“</w:t>
      </w:r>
      <w:r>
        <w:rPr>
          <w:rFonts w:eastAsia="Times New Roman" w:ascii="ITC Avant Garde" w:hAnsi="ITC Avant Garde"/>
          <w:i/>
          <w:sz w:val="18"/>
          <w:lang w:val="en-US" w:eastAsia="ar-SA"/>
        </w:rPr>
        <w:t xml:space="preserve">Artículo 17. Las concesiones previstas en la presente ley se otorgarán mediante licitación pública. </w:t>
      </w:r>
      <w:r>
        <w:rPr>
          <w:rFonts w:eastAsia="Times New Roman" w:ascii="ITC Avant Garde" w:hAnsi="ITC Avant Garde"/>
          <w:b/>
          <w:i/>
          <w:sz w:val="18"/>
          <w:u w:val="single"/>
          <w:lang w:val="en-US" w:eastAsia="ar-SA"/>
        </w:rPr>
        <w:t>El Gobierno Federal tendrá derecho a recibir una contraprestación económica por el otorgamiento de la concesión correspondiente.</w:t>
      </w:r>
      <w:r>
        <w:rPr>
          <w:rFonts w:eastAsia="Times New Roman" w:ascii="ITC Avant Garde" w:hAnsi="ITC Avant Garde"/>
          <w:i/>
          <w:sz w:val="18"/>
          <w:u w:val="single"/>
          <w:lang w:val="en-US" w:eastAsia="ar-SA"/>
        </w:rPr>
        <w:t>”</w:t>
      </w:r>
    </w:p>
    <w:p>
      <w:pPr>
        <w:pStyle w:val="Normal"/>
        <w:suppressAutoHyphens w:val="true"/>
        <w:spacing w:before="0" w:after="0"/>
        <w:ind w:right="-62" w:hanging="0"/>
        <w:jc w:val="both"/>
        <w:rPr>
          <w:rFonts w:ascii="ITC Avant Garde" w:hAnsi="ITC Avant Garde" w:eastAsia="Times New Roman"/>
          <w:lang w:val="en-US" w:eastAsia="ar-SA"/>
        </w:rPr>
      </w:pPr>
      <w:r>
        <w:rPr>
          <w:rFonts w:eastAsia="Times New Roman" w:ascii="ITC Avant Garde" w:hAnsi="ITC Avant Garde"/>
          <w:lang w:val="en-US" w:eastAsia="ar-SA"/>
        </w:rPr>
      </w:r>
    </w:p>
    <w:p>
      <w:pPr>
        <w:pStyle w:val="Normal"/>
        <w:suppressAutoHyphens w:val="true"/>
        <w:spacing w:before="0" w:after="0"/>
        <w:ind w:right="-62" w:hanging="0"/>
        <w:jc w:val="both"/>
        <w:rPr>
          <w:rFonts w:ascii="ITC Avant Garde" w:hAnsi="ITC Avant Garde" w:eastAsia="Times New Roman"/>
          <w:lang w:eastAsia="ar-SA"/>
        </w:rPr>
      </w:pPr>
      <w:r>
        <w:rPr>
          <w:rFonts w:eastAsia="Times New Roman" w:ascii="ITC Avant Garde" w:hAnsi="ITC Avant Garde"/>
          <w:lang w:val="en-US" w:eastAsia="ar-SA"/>
        </w:rPr>
        <w:t xml:space="preserve">Derivado de lo anterior, </w:t>
      </w:r>
      <w:r>
        <w:rPr>
          <w:rFonts w:eastAsia="Times New Roman" w:ascii="ITC Avant Garde" w:hAnsi="ITC Avant Garde"/>
          <w:lang w:eastAsia="ar-SA"/>
        </w:rPr>
        <w:t>es necesario identificar el alcance de dicho precepto en relación con el pago de una contraprestación a favor del Estado.</w:t>
      </w:r>
    </w:p>
    <w:p>
      <w:pPr>
        <w:pStyle w:val="Normal"/>
        <w:suppressAutoHyphens w:val="true"/>
        <w:spacing w:before="0" w:after="0"/>
        <w:ind w:right="-62" w:hanging="0"/>
        <w:jc w:val="both"/>
        <w:rPr>
          <w:rFonts w:ascii="ITC Avant Garde" w:hAnsi="ITC Avant Garde" w:eastAsia="Times New Roman"/>
          <w:lang w:eastAsia="ar-SA"/>
        </w:rPr>
      </w:pPr>
      <w:r>
        <w:rPr>
          <w:rFonts w:eastAsia="Times New Roman" w:ascii="ITC Avant Garde" w:hAnsi="ITC Avant Garde"/>
          <w:lang w:eastAsia="ar-SA"/>
        </w:rPr>
      </w:r>
    </w:p>
    <w:p>
      <w:pPr>
        <w:pStyle w:val="Normal"/>
        <w:suppressAutoHyphens w:val="true"/>
        <w:spacing w:before="0" w:after="0"/>
        <w:ind w:right="-62" w:hanging="0"/>
        <w:jc w:val="both"/>
        <w:rPr>
          <w:rFonts w:ascii="ITC Avant Garde" w:hAnsi="ITC Avant Garde" w:eastAsia="Times New Roman"/>
          <w:lang w:eastAsia="ar-SA"/>
        </w:rPr>
      </w:pPr>
      <w:r>
        <w:rPr>
          <w:rFonts w:eastAsia="Times New Roman" w:ascii="ITC Avant Garde" w:hAnsi="ITC Avant Garde"/>
          <w:lang w:eastAsia="ar-SA"/>
        </w:rPr>
        <w:t xml:space="preserve">Al respecto, es importante señalar que el término “otorgamiento”, de acuerdo con el Diccionario de la Real Academia Española deriva del verbo </w:t>
      </w:r>
      <w:r>
        <w:rPr>
          <w:rFonts w:eastAsia="Times New Roman" w:ascii="ITC Avant Garde" w:hAnsi="ITC Avant Garde"/>
          <w:b/>
          <w:i/>
          <w:lang w:eastAsia="ar-SA"/>
        </w:rPr>
        <w:t>otorgar</w:t>
      </w:r>
      <w:r>
        <w:rPr>
          <w:rFonts w:eastAsia="Times New Roman" w:ascii="ITC Avant Garde" w:hAnsi="ITC Avant Garde"/>
          <w:lang w:eastAsia="ar-SA"/>
        </w:rPr>
        <w:t>, definido éste como “</w:t>
      </w:r>
      <w:r>
        <w:rPr>
          <w:rFonts w:eastAsia="Times New Roman" w:ascii="ITC Avant Garde" w:hAnsi="ITC Avant Garde"/>
          <w:i/>
          <w:lang w:eastAsia="ar-SA"/>
        </w:rPr>
        <w:t>consentir, condescender o conceder algo que se pide o se pregunta”</w:t>
      </w:r>
      <w:r>
        <w:rPr>
          <w:rStyle w:val="FootnoteAnchor"/>
          <w:rFonts w:eastAsia="Times New Roman" w:ascii="ITC Avant Garde" w:hAnsi="ITC Avant Garde"/>
          <w:i/>
          <w:lang w:eastAsia="ar-SA"/>
        </w:rPr>
        <w:footnoteReference w:id="3"/>
      </w:r>
      <w:r>
        <w:rPr>
          <w:rFonts w:eastAsia="Times New Roman" w:ascii="ITC Avant Garde" w:hAnsi="ITC Avant Garde"/>
          <w:lang w:eastAsia="ar-SA"/>
        </w:rPr>
        <w:t>.</w:t>
      </w:r>
    </w:p>
    <w:p>
      <w:pPr>
        <w:pStyle w:val="Normal"/>
        <w:suppressAutoHyphens w:val="true"/>
        <w:spacing w:before="0" w:after="0"/>
        <w:ind w:right="-62" w:hanging="0"/>
        <w:jc w:val="both"/>
        <w:rPr>
          <w:rFonts w:ascii="ITC Avant Garde" w:hAnsi="ITC Avant Garde" w:eastAsia="Times New Roman"/>
          <w:lang w:val="en-US" w:eastAsia="ar-SA"/>
        </w:rPr>
      </w:pPr>
      <w:r>
        <w:rPr>
          <w:rFonts w:eastAsia="Times New Roman" w:ascii="ITC Avant Garde" w:hAnsi="ITC Avant Garde"/>
          <w:lang w:val="en-US" w:eastAsia="ar-SA"/>
        </w:rPr>
      </w:r>
    </w:p>
    <w:p>
      <w:pPr>
        <w:pStyle w:val="Normal"/>
        <w:suppressAutoHyphens w:val="true"/>
        <w:spacing w:before="0" w:after="0"/>
        <w:ind w:right="-62" w:hanging="0"/>
        <w:jc w:val="both"/>
        <w:rPr>
          <w:rFonts w:ascii="ITC Avant Garde" w:hAnsi="ITC Avant Garde" w:eastAsia="Times New Roman"/>
          <w:lang w:val="en-US" w:eastAsia="ar-SA"/>
        </w:rPr>
      </w:pPr>
      <w:r>
        <w:rPr>
          <w:rFonts w:eastAsia="Times New Roman" w:ascii="ITC Avant Garde" w:hAnsi="ITC Avant Garde"/>
          <w:lang w:val="en-US" w:eastAsia="ar-SA"/>
        </w:rPr>
      </w:r>
    </w:p>
    <w:p>
      <w:pPr>
        <w:pStyle w:val="Normal"/>
        <w:spacing w:before="0" w:after="0"/>
        <w:jc w:val="both"/>
        <w:rPr>
          <w:rFonts w:ascii="ITC Avant Garde" w:hAnsi="ITC Avant Garde"/>
        </w:rPr>
      </w:pPr>
      <w:r>
        <w:rPr>
          <w:rFonts w:ascii="ITC Avant Garde" w:hAnsi="ITC Avant Garde"/>
        </w:rPr>
        <w:t>Conforme a ello, la acepción “otorgar”, no es limitante a la entrega de nuevas concesiones, sino que se refiere a todo aquel acto mediante el cual el Estado cede el derecho de uso, aprovechamiento y explotación de bienes dominio de la Nación, sea por primera ocasión, como en el caso del otorgamiento de frecuencias de radiodifusión a razón y con motivo de un procedimiento licitatorio, o bien, como es el caso que nos ocupa, a razón de un acto mediante el cual se reitera beneficio del otorgamiento de la misma concesión, es decir, prorroga la autorización para seguir usando, aprovechando y explotando el bien previamente concesionado, (frecuencia atribuida para la prestación del servicio de radiodifusión).</w:t>
      </w:r>
    </w:p>
    <w:p>
      <w:pPr>
        <w:pStyle w:val="Normal"/>
        <w:spacing w:before="0" w:after="0"/>
        <w:jc w:val="both"/>
        <w:rPr>
          <w:rFonts w:ascii="ITC Avant Garde" w:hAnsi="ITC Avant Garde"/>
        </w:rPr>
      </w:pPr>
      <w:r>
        <w:rPr>
          <w:rFonts w:ascii="ITC Avant Garde" w:hAnsi="ITC Avant Garde"/>
        </w:rPr>
      </w:r>
    </w:p>
    <w:p>
      <w:pPr>
        <w:pStyle w:val="Normal"/>
        <w:suppressAutoHyphens w:val="true"/>
        <w:spacing w:before="0" w:after="0"/>
        <w:ind w:right="-62" w:hanging="0"/>
        <w:jc w:val="both"/>
        <w:rPr>
          <w:rFonts w:ascii="ITC Avant Garde" w:hAnsi="ITC Avant Garde" w:eastAsia="Times New Roman"/>
          <w:lang w:val="en-US" w:eastAsia="ar-SA"/>
        </w:rPr>
      </w:pPr>
      <w:r>
        <w:rPr>
          <w:rFonts w:eastAsia="Times New Roman" w:ascii="ITC Avant Garde" w:hAnsi="ITC Avant Garde"/>
          <w:lang w:val="en-US" w:eastAsia="ar-SA"/>
        </w:rPr>
        <w:t xml:space="preserve">En ese sentido, el solicitante de la prórroga se encuentra en la misma situación en la que se ubica todo aquel que obtiene por primera vez una concesión, toda vez que no obstante haber sido concesionario de un bien de dominio directo de la Nación no le es reconocido ningún derecho real sobre el bien materia de concesión, toda vez que sólo concede el derecho </w:t>
      </w:r>
      <w:r>
        <w:rPr>
          <w:rFonts w:eastAsia="Times New Roman" w:ascii="ITC Avant Garde" w:hAnsi="ITC Avant Garde"/>
          <w:lang w:eastAsia="ar-SA"/>
        </w:rPr>
        <w:t>de uso, aprovechamiento o explotación, de acuerdo con las reglas y condiciones que establezcan las leyes y el título de la Concesión, durante el tiempo en que éste se encuentren vigente</w:t>
      </w:r>
      <w:r>
        <w:rPr>
          <w:rFonts w:eastAsia="Times New Roman" w:ascii="ITC Avant Garde" w:hAnsi="ITC Avant Garde"/>
          <w:lang w:val="en-US" w:eastAsia="ar-SA"/>
        </w:rPr>
        <w:t>, ello de conformidad con lo dispuesto en los artículos 3, 6, 7, 8, 13, 16 y 17 de la Ley General de Bienes Nacionales en vigor al momento de la presentación de la solicitud.</w:t>
      </w:r>
    </w:p>
    <w:p>
      <w:pPr>
        <w:pStyle w:val="Normal"/>
        <w:suppressAutoHyphens w:val="true"/>
        <w:spacing w:before="0" w:after="0"/>
        <w:ind w:right="-62" w:hanging="0"/>
        <w:jc w:val="both"/>
        <w:rPr>
          <w:rFonts w:ascii="ITC Avant Garde" w:hAnsi="ITC Avant Garde" w:eastAsia="Times New Roman"/>
          <w:lang w:val="en-US" w:eastAsia="ar-SA"/>
        </w:rPr>
      </w:pPr>
      <w:r>
        <w:rPr>
          <w:rFonts w:eastAsia="Times New Roman" w:ascii="ITC Avant Garde" w:hAnsi="ITC Avant Garde"/>
          <w:lang w:val="en-US" w:eastAsia="ar-SA"/>
        </w:rPr>
      </w:r>
    </w:p>
    <w:p>
      <w:pPr>
        <w:pStyle w:val="Normal"/>
        <w:suppressAutoHyphens w:val="true"/>
        <w:spacing w:before="0" w:after="0"/>
        <w:ind w:right="-62" w:hanging="0"/>
        <w:jc w:val="both"/>
        <w:rPr>
          <w:rFonts w:ascii="ITC Avant Garde" w:hAnsi="ITC Avant Garde"/>
          <w:lang w:eastAsia="ar-SA"/>
        </w:rPr>
      </w:pPr>
      <w:r>
        <w:rPr>
          <w:rFonts w:ascii="ITC Avant Garde" w:hAnsi="ITC Avant Garde"/>
          <w:lang w:val="en-US" w:eastAsia="ar-SA"/>
        </w:rPr>
        <w:t xml:space="preserve">El procedimiento de determinación del pago de una contraprestación por el otorgamiento de una concesión para usar, aprovechar y explotar bandas de frecuencia del espectro radioeléctrico para uso comercial debe realizarse conforme al artículo Sexto Transitorio del Decreto de Ley en relación con el segundo párrafo del artículo Séptimo Transitorio del Decreto de Reforma Constitucional, toda vez que como se indicó en el Considerando Segundo de la presente Resolución, la atención y análisis de la solicitud de prórroga de la concesión originaria se realizó de conformidad con las </w:t>
      </w:r>
      <w:r>
        <w:rPr>
          <w:rFonts w:eastAsia="Times New Roman" w:ascii="ITC Avant Garde" w:hAnsi="ITC Avant Garde"/>
          <w:lang w:eastAsia="ar-SA"/>
        </w:rPr>
        <w:t>disposiciones legales y administrativas aplicables al momento de la presentación de la Solicitud.</w:t>
      </w:r>
    </w:p>
    <w:p>
      <w:pPr>
        <w:pStyle w:val="Normal"/>
        <w:suppressAutoHyphens w:val="true"/>
        <w:spacing w:before="0" w:after="0"/>
        <w:ind w:right="-62" w:hanging="0"/>
        <w:jc w:val="both"/>
        <w:rPr>
          <w:rFonts w:ascii="ITC Avant Garde" w:hAnsi="ITC Avant Garde"/>
          <w:lang w:eastAsia="ar-SA"/>
        </w:rPr>
      </w:pPr>
      <w:r>
        <w:rPr>
          <w:rFonts w:ascii="ITC Avant Garde" w:hAnsi="ITC Avant Garde"/>
          <w:lang w:eastAsia="ar-SA"/>
        </w:rPr>
      </w:r>
    </w:p>
    <w:p>
      <w:pPr>
        <w:pStyle w:val="Normal"/>
        <w:suppressAutoHyphens w:val="true"/>
        <w:spacing w:before="0" w:after="0"/>
        <w:ind w:right="-62" w:hanging="0"/>
        <w:jc w:val="both"/>
        <w:rPr>
          <w:rFonts w:ascii="ITC Avant Garde" w:hAnsi="ITC Avant Garde" w:eastAsia="Times New Roman"/>
          <w:lang w:val="es-ES" w:eastAsia="ar-SA"/>
        </w:rPr>
      </w:pPr>
      <w:r>
        <w:rPr>
          <w:rFonts w:eastAsia="Times New Roman" w:ascii="ITC Avant Garde" w:hAnsi="ITC Avant Garde"/>
          <w:lang w:eastAsia="ar-SA"/>
        </w:rPr>
        <w:t xml:space="preserve">En consecuencia, en ejercicio de las atribuciones establecidas el artículo 29 fracción VII del Estatuto Orgánico, la UER solicitó a la SHCP la autorización de los aprovechamientos correspondientes a la prórroga </w:t>
      </w:r>
      <w:r>
        <w:rPr>
          <w:rFonts w:eastAsia="Times New Roman" w:ascii="ITC Avant Garde" w:hAnsi="ITC Avant Garde"/>
          <w:lang w:val="es-ES" w:eastAsia="ar-SA"/>
        </w:rPr>
        <w:t xml:space="preserve">de la concesión que nos ocupa por veinte años; en respuesta, </w:t>
      </w:r>
      <w:r>
        <w:rPr>
          <w:rFonts w:ascii="ITC Avant Garde" w:hAnsi="ITC Avant Garde"/>
          <w:lang w:eastAsia="ar-SA"/>
        </w:rPr>
        <w:t xml:space="preserve">mediante oficio No. 349-B-237 del 05 de junio de 2015, emitido por la Unidad de Política de Ingresos No Tributarios de la SHCP, se autorizó el monto propuesto por concepto de contraprestación </w:t>
      </w:r>
      <w:r>
        <w:rPr>
          <w:rFonts w:eastAsia="Times New Roman" w:ascii="ITC Avant Garde" w:hAnsi="ITC Avant Garde"/>
          <w:lang w:val="es-ES" w:eastAsia="ar-SA"/>
        </w:rPr>
        <w:t xml:space="preserve">que le corresponde cubrir al Concesionario por el otorgamiento de la prórroga solicitada respecto del uso, aprovechamiento y explotación del canal 7 </w:t>
      </w:r>
      <w:r>
        <w:rPr>
          <w:rFonts w:eastAsia="Times New Roman" w:ascii="ITC Avant Garde" w:hAnsi="ITC Avant Garde"/>
          <w:bCs/>
          <w:lang w:val="es-ES" w:eastAsia="ar-SA"/>
        </w:rPr>
        <w:t>(banda de frecuencias 174-180 MHz)</w:t>
      </w:r>
      <w:r>
        <w:rPr>
          <w:rFonts w:eastAsia="Times New Roman" w:ascii="ITC Avant Garde" w:hAnsi="ITC Avant Garde"/>
          <w:lang w:val="es-ES" w:eastAsia="ar-SA"/>
        </w:rPr>
        <w:t xml:space="preserve"> en Saltillo, Coahuila, para la prestación del servicio de televisión radiodifundida.</w:t>
      </w:r>
    </w:p>
    <w:p>
      <w:pPr>
        <w:pStyle w:val="Normal"/>
        <w:suppressAutoHyphens w:val="true"/>
        <w:spacing w:before="0" w:after="0"/>
        <w:ind w:right="-62" w:hanging="0"/>
        <w:jc w:val="both"/>
        <w:rPr>
          <w:rFonts w:ascii="ITC Avant Garde" w:hAnsi="ITC Avant Garde" w:eastAsia="Times New Roman"/>
          <w:lang w:val="es-ES" w:eastAsia="ar-SA"/>
        </w:rPr>
      </w:pPr>
      <w:r>
        <w:rPr>
          <w:rFonts w:eastAsia="Times New Roman" w:ascii="ITC Avant Garde" w:hAnsi="ITC Avant Garde"/>
          <w:lang w:val="es-ES" w:eastAsia="ar-SA"/>
        </w:rPr>
      </w:r>
    </w:p>
    <w:p>
      <w:pPr>
        <w:pStyle w:val="Normal"/>
        <w:spacing w:before="0" w:after="0"/>
        <w:jc w:val="both"/>
        <w:rPr>
          <w:rFonts w:ascii="ITC Avant Garde" w:hAnsi="ITC Avant Garde"/>
          <w:lang w:eastAsia="ar-SA"/>
        </w:rPr>
      </w:pPr>
      <w:r>
        <w:rPr>
          <w:rFonts w:eastAsia="Times New Roman" w:ascii="ITC Avant Garde" w:hAnsi="ITC Avant Garde"/>
          <w:lang w:val="es-ES" w:eastAsia="ar-SA"/>
        </w:rPr>
        <w:t>En específico, en el</w:t>
      </w:r>
      <w:r>
        <w:rPr>
          <w:rFonts w:ascii="ITC Avant Garde" w:hAnsi="ITC Avant Garde"/>
          <w:lang w:eastAsia="ar-SA"/>
        </w:rPr>
        <w:t xml:space="preserve"> oficio 349-B-237 antes citado, la SHCP, dispuso lo siguiente:</w:t>
      </w:r>
    </w:p>
    <w:p>
      <w:pPr>
        <w:pStyle w:val="Normal"/>
        <w:spacing w:before="0" w:after="0"/>
        <w:jc w:val="both"/>
        <w:rPr>
          <w:rFonts w:ascii="ITC Avant Garde" w:hAnsi="ITC Avant Garde"/>
          <w:lang w:eastAsia="ar-SA"/>
        </w:rPr>
      </w:pPr>
      <w:r>
        <w:rPr>
          <w:rFonts w:ascii="ITC Avant Garde" w:hAnsi="ITC Avant Garde"/>
          <w:lang w:eastAsia="ar-SA"/>
        </w:rPr>
      </w:r>
    </w:p>
    <w:p>
      <w:pPr>
        <w:pStyle w:val="Normal"/>
        <w:spacing w:before="0" w:after="0"/>
        <w:ind w:left="567" w:hanging="0"/>
        <w:jc w:val="both"/>
        <w:rPr>
          <w:rFonts w:ascii="ITC Avant Garde" w:hAnsi="ITC Avant Garde"/>
          <w:i/>
          <w:i/>
          <w:sz w:val="18"/>
          <w:lang w:eastAsia="ar-SA"/>
        </w:rPr>
      </w:pPr>
      <w:r>
        <w:rPr>
          <w:rFonts w:ascii="ITC Avant Garde" w:hAnsi="ITC Avant Garde"/>
          <w:i/>
          <w:sz w:val="18"/>
          <w:lang w:eastAsia="ar-SA"/>
        </w:rPr>
        <w:t>“…</w:t>
      </w:r>
    </w:p>
    <w:p>
      <w:pPr>
        <w:pStyle w:val="ListParagraph"/>
        <w:numPr>
          <w:ilvl w:val="0"/>
          <w:numId w:val="1"/>
        </w:numPr>
        <w:spacing w:lineRule="auto" w:line="276"/>
        <w:ind w:left="1287" w:right="473" w:hanging="360"/>
        <w:jc w:val="both"/>
        <w:rPr>
          <w:rFonts w:ascii="ITC Avant Garde" w:hAnsi="ITC Avant Garde"/>
          <w:i/>
          <w:i/>
          <w:sz w:val="20"/>
          <w:lang w:eastAsia="ar-SA"/>
        </w:rPr>
      </w:pPr>
      <w:r>
        <w:rPr>
          <w:rFonts w:ascii="ITC Avant Garde" w:hAnsi="ITC Avant Garde"/>
          <w:i/>
          <w:sz w:val="18"/>
          <w:szCs w:val="22"/>
          <w:lang w:eastAsia="ar-SA"/>
        </w:rPr>
        <w:t>Que el artículo séptimo transitorio del Decreto por el que se reforman y adicionan diversas disposiciones de los artículos 6o., 7o., 27, 28, 73, 78, 94 y 105 de la Constitución Política de los Estados Unidos Mexicanos, en materia de telecomunicaciones señala en su segundo párrafo: “Los procedimientos iniciados con anterioridad a la integración de la Comisión Federal de Competencia Económica y del Instituto Federal de Telecomunicaciones, continuarán su trámite ante estos órganos en términos de la legislación aplicable al momento de su inicio”</w:t>
      </w:r>
    </w:p>
    <w:p>
      <w:pPr>
        <w:pStyle w:val="Normal"/>
        <w:spacing w:before="0" w:after="0"/>
        <w:ind w:left="567" w:right="473" w:hanging="0"/>
        <w:jc w:val="both"/>
        <w:rPr>
          <w:rFonts w:ascii="ITC Avant Garde" w:hAnsi="ITC Avant Garde"/>
          <w:i/>
          <w:i/>
          <w:sz w:val="18"/>
          <w:lang w:eastAsia="ar-SA"/>
        </w:rPr>
      </w:pPr>
      <w:r>
        <w:rPr>
          <w:rFonts w:ascii="ITC Avant Garde" w:hAnsi="ITC Avant Garde"/>
          <w:i/>
          <w:sz w:val="18"/>
          <w:lang w:eastAsia="ar-SA"/>
        </w:rPr>
      </w:r>
    </w:p>
    <w:p>
      <w:pPr>
        <w:pStyle w:val="ListParagraph"/>
        <w:numPr>
          <w:ilvl w:val="0"/>
          <w:numId w:val="1"/>
        </w:numPr>
        <w:spacing w:lineRule="auto" w:line="276"/>
        <w:ind w:left="1287" w:right="473" w:hanging="360"/>
        <w:jc w:val="both"/>
        <w:rPr>
          <w:rFonts w:ascii="ITC Avant Garde" w:hAnsi="ITC Avant Garde"/>
          <w:i/>
          <w:i/>
          <w:sz w:val="20"/>
          <w:lang w:eastAsia="ar-SA"/>
        </w:rPr>
      </w:pPr>
      <w:r>
        <w:rPr>
          <w:rFonts w:ascii="ITC Avant Garde" w:hAnsi="ITC Avant Garde"/>
          <w:i/>
          <w:sz w:val="18"/>
          <w:szCs w:val="22"/>
          <w:lang w:eastAsia="ar-SA"/>
        </w:rPr>
        <w:t>Que los montos de los aprovechamientos propuestos por el IFT fueron calculados tomando como referencia los resultados de la más reciente licitación pública que concluyó en 2015 de canales de transmisión para la prestación del servicio público de televisión radiodifundida digital (Licitación No. IFT-1) en la que resultó ganadora la empresa Cadena Tres, S.A. de C.V. que ofertó 1,808 millones de pesos por una concesión con una vigencia de 20 años de una cadena nacional de 6 MHz que equivalen a un pago de 2.835 pesos por MHz por habitante.</w:t>
      </w:r>
    </w:p>
    <w:p>
      <w:pPr>
        <w:pStyle w:val="ListParagraph"/>
        <w:rPr>
          <w:rFonts w:ascii="ITC Avant Garde" w:hAnsi="ITC Avant Garde"/>
          <w:i/>
          <w:i/>
          <w:sz w:val="20"/>
          <w:lang w:eastAsia="ar-SA"/>
        </w:rPr>
      </w:pPr>
      <w:r>
        <w:rPr>
          <w:rFonts w:ascii="ITC Avant Garde" w:hAnsi="ITC Avant Garde"/>
          <w:i/>
          <w:sz w:val="20"/>
          <w:lang w:eastAsia="ar-SA"/>
        </w:rPr>
      </w:r>
    </w:p>
    <w:p>
      <w:pPr>
        <w:pStyle w:val="ListParagraph"/>
        <w:numPr>
          <w:ilvl w:val="0"/>
          <w:numId w:val="1"/>
        </w:numPr>
        <w:spacing w:lineRule="auto" w:line="276"/>
        <w:ind w:left="1287" w:right="473" w:hanging="360"/>
        <w:jc w:val="both"/>
        <w:rPr>
          <w:rFonts w:ascii="ITC Avant Garde" w:hAnsi="ITC Avant Garde"/>
          <w:i/>
          <w:i/>
          <w:sz w:val="20"/>
          <w:lang w:eastAsia="ar-SA"/>
        </w:rPr>
      </w:pPr>
      <w:r>
        <w:rPr>
          <w:rFonts w:ascii="ITC Avant Garde" w:hAnsi="ITC Avant Garde"/>
          <w:i/>
          <w:sz w:val="18"/>
          <w:szCs w:val="22"/>
          <w:lang w:eastAsia="ar-SA"/>
        </w:rPr>
        <w:t>Que la población de la zona de cobertura de cada concesión fue determinada mediante la suma de la población principal, donde se ubica la estación, y la población de las localidades contenidas dentro de la zona de cobertura delimitada por sectores circulares conforme a los radios y aberturas especificados por ese Instituto.</w:t>
      </w:r>
    </w:p>
    <w:p>
      <w:pPr>
        <w:pStyle w:val="Normal"/>
        <w:spacing w:before="0" w:after="0"/>
        <w:ind w:left="567" w:right="473" w:hanging="0"/>
        <w:jc w:val="both"/>
        <w:rPr>
          <w:rFonts w:ascii="ITC Avant Garde" w:hAnsi="ITC Avant Garde"/>
          <w:i/>
          <w:i/>
          <w:sz w:val="18"/>
          <w:lang w:eastAsia="ar-SA"/>
        </w:rPr>
      </w:pPr>
      <w:r>
        <w:rPr>
          <w:rFonts w:ascii="ITC Avant Garde" w:hAnsi="ITC Avant Garde"/>
          <w:i/>
          <w:sz w:val="18"/>
          <w:lang w:eastAsia="ar-SA"/>
        </w:rPr>
      </w:r>
    </w:p>
    <w:p>
      <w:pPr>
        <w:pStyle w:val="ListParagraph"/>
        <w:numPr>
          <w:ilvl w:val="0"/>
          <w:numId w:val="1"/>
        </w:numPr>
        <w:spacing w:lineRule="auto" w:line="276"/>
        <w:ind w:left="1287" w:right="473" w:hanging="360"/>
        <w:jc w:val="both"/>
        <w:rPr>
          <w:rFonts w:ascii="ITC Avant Garde" w:hAnsi="ITC Avant Garde"/>
          <w:sz w:val="20"/>
          <w:lang w:eastAsia="ar-SA"/>
        </w:rPr>
      </w:pPr>
      <w:r>
        <w:rPr>
          <w:rFonts w:ascii="ITC Avant Garde" w:hAnsi="ITC Avant Garde"/>
          <w:i/>
          <w:sz w:val="18"/>
          <w:szCs w:val="22"/>
          <w:lang w:eastAsia="ar-SA"/>
        </w:rPr>
        <w:t xml:space="preserve">Que el otorgamiento de una prórroga de vigencia constituye un nuevo acto de otorgamiento de una concesión por un plazo determinado, lo cual no implica la renuncia del Gobierno Federal al pago de una contraprestación, a la que legítimamente hubiera tenido derecho de haberse concesionado las bandas de frecuencias mediante un procedimiento de licitación pública y, por otra parte, el concesionario, de no otorgarse la prórroga solicitada debiera acudir a dicho procedimiento de licitación para volver a obtener tales frecuencias pagando una contraprestación por el otorgamiento de la concesión correspondiente. </w:t>
      </w:r>
    </w:p>
    <w:p>
      <w:pPr>
        <w:pStyle w:val="Normal"/>
        <w:spacing w:before="0" w:after="0"/>
        <w:ind w:left="567" w:right="473" w:hanging="0"/>
        <w:jc w:val="both"/>
        <w:rPr>
          <w:rFonts w:ascii="ITC Avant Garde" w:hAnsi="ITC Avant Garde"/>
          <w:i/>
          <w:i/>
          <w:sz w:val="18"/>
          <w:lang w:eastAsia="ar-SA"/>
        </w:rPr>
      </w:pPr>
      <w:r>
        <w:rPr>
          <w:rFonts w:ascii="ITC Avant Garde" w:hAnsi="ITC Avant Garde"/>
          <w:i/>
          <w:sz w:val="18"/>
          <w:lang w:eastAsia="ar-SA"/>
        </w:rPr>
      </w:r>
    </w:p>
    <w:p>
      <w:pPr>
        <w:pStyle w:val="Normal"/>
        <w:spacing w:before="0" w:after="0"/>
        <w:ind w:left="567" w:right="473" w:hanging="0"/>
        <w:jc w:val="both"/>
        <w:rPr>
          <w:rFonts w:ascii="ITC Avant Garde" w:hAnsi="ITC Avant Garde"/>
          <w:i/>
          <w:i/>
          <w:sz w:val="18"/>
          <w:lang w:eastAsia="ar-SA"/>
        </w:rPr>
      </w:pPr>
      <w:r>
        <w:rPr>
          <w:rFonts w:ascii="ITC Avant Garde" w:hAnsi="ITC Avant Garde"/>
          <w:i/>
          <w:sz w:val="18"/>
          <w:lang w:eastAsia="ar-SA"/>
        </w:rPr>
        <w:t>Con base en lo anterior, esta Secretaría con fundamento en lo establecido en el artículo 31, fracción XI de la Ley Orgánica de la Administración Pública Federal; 38, fracción XXII del Reglamento Interior de la Secretaría de Hacienda y Crédito Público; 10 de la Ley de Ingresos de la Federación para el Ejercicio Fiscal de 2015; y 3º del Código Fiscal de la Federación; autoriza al IFT cobrar por concepto de la prórroga por 20 años, por 6 MHz con la cobertura que se señala en el anexo del presente oficio los aprovechamientos siguientes:</w:t>
      </w:r>
    </w:p>
    <w:p>
      <w:pPr>
        <w:pStyle w:val="Normal"/>
        <w:spacing w:before="0" w:after="0"/>
        <w:ind w:left="567" w:right="473" w:hanging="0"/>
        <w:jc w:val="both"/>
        <w:rPr>
          <w:rFonts w:ascii="ITC Avant Garde" w:hAnsi="ITC Avant Garde"/>
          <w:i/>
          <w:i/>
          <w:sz w:val="18"/>
          <w:lang w:eastAsia="ar-SA"/>
        </w:rPr>
      </w:pPr>
      <w:r>
        <w:rPr>
          <w:rFonts w:ascii="ITC Avant Garde" w:hAnsi="ITC Avant Garde"/>
          <w:i/>
          <w:sz w:val="18"/>
          <w:lang w:eastAsia="ar-SA"/>
        </w:rPr>
      </w:r>
    </w:p>
    <w:tbl>
      <w:tblPr>
        <w:tblStyle w:val="Tablaconcuadrcula"/>
        <w:tblW w:w="7371" w:type="dxa"/>
        <w:jc w:val="left"/>
        <w:tblInd w:w="1129" w:type="dxa"/>
        <w:tblCellMar>
          <w:top w:w="0" w:type="dxa"/>
          <w:left w:w="108" w:type="dxa"/>
          <w:bottom w:w="0" w:type="dxa"/>
          <w:right w:w="108" w:type="dxa"/>
        </w:tblCellMar>
        <w:tblLook w:val="04a0" w:noVBand="1" w:noHBand="0" w:lastColumn="0" w:firstColumn="1" w:lastRow="0" w:firstRow="1"/>
      </w:tblPr>
      <w:tblGrid>
        <w:gridCol w:w="3260"/>
        <w:gridCol w:w="2268"/>
        <w:gridCol w:w="1843"/>
      </w:tblGrid>
      <w:tr>
        <w:trPr>
          <w:tblHeader w:val="true"/>
        </w:trPr>
        <w:tc>
          <w:tcPr>
            <w:tcW w:w="3260" w:type="dxa"/>
            <w:tcBorders/>
            <w:shd w:color="auto" w:fill="D9D9D9" w:themeFill="background1" w:themeFillShade="d9" w:val="clear"/>
            <w:tcMar>
              <w:left w:w="108" w:type="dxa"/>
            </w:tcMar>
            <w:vAlign w:val="center"/>
          </w:tcPr>
          <w:p>
            <w:pPr>
              <w:pStyle w:val="Normal"/>
              <w:spacing w:lineRule="auto" w:line="240" w:before="0" w:after="0"/>
              <w:ind w:right="48" w:hanging="0"/>
              <w:jc w:val="center"/>
              <w:rPr>
                <w:rFonts w:ascii="ITC Avant Garde" w:hAnsi="ITC Avant Garde"/>
                <w:b/>
                <w:b/>
                <w:i/>
                <w:i/>
                <w:sz w:val="16"/>
                <w:szCs w:val="16"/>
                <w:lang w:eastAsia="ar-SA"/>
              </w:rPr>
            </w:pPr>
            <w:r>
              <w:rPr>
                <w:rFonts w:ascii="ITC Avant Garde" w:hAnsi="ITC Avant Garde"/>
                <w:b/>
                <w:i/>
                <w:sz w:val="16"/>
                <w:szCs w:val="16"/>
                <w:lang w:eastAsia="ar-SA"/>
              </w:rPr>
              <w:t>Concesionario</w:t>
            </w:r>
          </w:p>
        </w:tc>
        <w:tc>
          <w:tcPr>
            <w:tcW w:w="2268" w:type="dxa"/>
            <w:tcBorders/>
            <w:shd w:color="auto" w:fill="D9D9D9" w:themeFill="background1" w:themeFillShade="d9" w:val="clear"/>
            <w:tcMar>
              <w:left w:w="108" w:type="dxa"/>
            </w:tcMar>
            <w:vAlign w:val="center"/>
          </w:tcPr>
          <w:p>
            <w:pPr>
              <w:pStyle w:val="Normal"/>
              <w:spacing w:lineRule="auto" w:line="240" w:before="0" w:after="0"/>
              <w:ind w:right="48" w:hanging="0"/>
              <w:jc w:val="center"/>
              <w:rPr>
                <w:rFonts w:ascii="ITC Avant Garde" w:hAnsi="ITC Avant Garde"/>
                <w:b/>
                <w:b/>
                <w:i/>
                <w:i/>
                <w:sz w:val="16"/>
                <w:szCs w:val="16"/>
                <w:lang w:eastAsia="ar-SA"/>
              </w:rPr>
            </w:pPr>
            <w:r>
              <w:rPr>
                <w:rFonts w:ascii="ITC Avant Garde" w:hAnsi="ITC Avant Garde"/>
                <w:b/>
                <w:i/>
                <w:sz w:val="16"/>
                <w:szCs w:val="16"/>
                <w:lang w:eastAsia="ar-SA"/>
              </w:rPr>
              <w:t>Distintivo-Frecuencia</w:t>
            </w:r>
          </w:p>
        </w:tc>
        <w:tc>
          <w:tcPr>
            <w:tcW w:w="1843" w:type="dxa"/>
            <w:tcBorders/>
            <w:shd w:color="auto" w:fill="D9D9D9" w:themeFill="background1" w:themeFillShade="d9" w:val="clear"/>
            <w:tcMar>
              <w:left w:w="108" w:type="dxa"/>
            </w:tcMar>
            <w:vAlign w:val="center"/>
          </w:tcPr>
          <w:p>
            <w:pPr>
              <w:pStyle w:val="Normal"/>
              <w:spacing w:lineRule="auto" w:line="240" w:before="0" w:after="0"/>
              <w:ind w:right="48" w:hanging="0"/>
              <w:jc w:val="center"/>
              <w:rPr>
                <w:rFonts w:ascii="ITC Avant Garde" w:hAnsi="ITC Avant Garde"/>
                <w:b/>
                <w:b/>
                <w:i/>
                <w:i/>
                <w:sz w:val="16"/>
                <w:szCs w:val="16"/>
                <w:lang w:eastAsia="ar-SA"/>
              </w:rPr>
            </w:pPr>
            <w:r>
              <w:rPr>
                <w:rFonts w:ascii="ITC Avant Garde" w:hAnsi="ITC Avant Garde"/>
                <w:b/>
                <w:i/>
                <w:sz w:val="16"/>
                <w:szCs w:val="16"/>
                <w:lang w:eastAsia="ar-SA"/>
              </w:rPr>
              <w:t>Monto del aprovechamiento</w:t>
            </w:r>
          </w:p>
          <w:p>
            <w:pPr>
              <w:pStyle w:val="Normal"/>
              <w:spacing w:lineRule="auto" w:line="240" w:before="0" w:after="0"/>
              <w:ind w:right="48" w:hanging="0"/>
              <w:jc w:val="center"/>
              <w:rPr>
                <w:rFonts w:ascii="ITC Avant Garde" w:hAnsi="ITC Avant Garde"/>
                <w:b/>
                <w:b/>
                <w:i/>
                <w:i/>
                <w:sz w:val="16"/>
                <w:szCs w:val="16"/>
                <w:lang w:eastAsia="ar-SA"/>
              </w:rPr>
            </w:pPr>
            <w:r>
              <w:rPr>
                <w:rFonts w:ascii="ITC Avant Garde" w:hAnsi="ITC Avant Garde"/>
                <w:b/>
                <w:i/>
                <w:sz w:val="16"/>
                <w:szCs w:val="16"/>
                <w:lang w:eastAsia="ar-SA"/>
              </w:rPr>
              <w:t>(pesos)</w:t>
            </w:r>
          </w:p>
        </w:tc>
      </w:tr>
      <w:tr>
        <w:trPr>
          <w:trHeight w:val="420" w:hRule="atLeast"/>
        </w:trPr>
        <w:tc>
          <w:tcPr>
            <w:tcW w:w="3260" w:type="dxa"/>
            <w:tcBorders/>
            <w:shd w:fill="auto" w:val="clear"/>
            <w:tcMar>
              <w:left w:w="108" w:type="dxa"/>
            </w:tcMar>
            <w:vAlign w:val="center"/>
          </w:tcPr>
          <w:p>
            <w:pPr>
              <w:pStyle w:val="Normal"/>
              <w:spacing w:lineRule="auto" w:line="240" w:before="0" w:after="0"/>
              <w:ind w:right="48" w:hanging="0"/>
              <w:jc w:val="center"/>
              <w:rPr>
                <w:rFonts w:ascii="ITC Avant Garde" w:hAnsi="ITC Avant Garde"/>
                <w:i/>
                <w:i/>
                <w:sz w:val="16"/>
                <w:szCs w:val="16"/>
                <w:lang w:eastAsia="ar-SA"/>
              </w:rPr>
            </w:pPr>
            <w:r>
              <w:rPr>
                <w:rFonts w:ascii="ITC Avant Garde" w:hAnsi="ITC Avant Garde"/>
                <w:i/>
                <w:color w:val="000000"/>
                <w:sz w:val="16"/>
                <w:szCs w:val="16"/>
              </w:rPr>
              <w:t>Roberto Casimiro González Treviño</w:t>
            </w:r>
          </w:p>
        </w:tc>
        <w:tc>
          <w:tcPr>
            <w:tcW w:w="2268" w:type="dxa"/>
            <w:tcBorders/>
            <w:shd w:fill="auto" w:val="clear"/>
            <w:tcMar>
              <w:left w:w="108" w:type="dxa"/>
            </w:tcMar>
            <w:vAlign w:val="center"/>
          </w:tcPr>
          <w:p>
            <w:pPr>
              <w:pStyle w:val="Normal"/>
              <w:spacing w:lineRule="auto" w:line="240" w:before="0" w:after="0"/>
              <w:ind w:right="48" w:hanging="0"/>
              <w:jc w:val="center"/>
              <w:rPr>
                <w:rFonts w:ascii="ITC Avant Garde" w:hAnsi="ITC Avant Garde"/>
                <w:i/>
                <w:i/>
                <w:sz w:val="16"/>
                <w:szCs w:val="16"/>
                <w:lang w:eastAsia="ar-SA"/>
              </w:rPr>
            </w:pPr>
            <w:r>
              <w:rPr>
                <w:rFonts w:ascii="ITC Avant Garde" w:hAnsi="ITC Avant Garde"/>
                <w:i/>
                <w:sz w:val="16"/>
                <w:szCs w:val="16"/>
                <w:lang w:eastAsia="ar-SA"/>
              </w:rPr>
              <w:t>XHRCG, 174-180 MHz</w:t>
            </w:r>
          </w:p>
        </w:tc>
        <w:tc>
          <w:tcPr>
            <w:tcW w:w="1843" w:type="dxa"/>
            <w:tcBorders/>
            <w:shd w:fill="auto" w:val="clear"/>
            <w:tcMar>
              <w:left w:w="108" w:type="dxa"/>
            </w:tcMar>
            <w:vAlign w:val="center"/>
          </w:tcPr>
          <w:p>
            <w:pPr>
              <w:pStyle w:val="Normal"/>
              <w:spacing w:lineRule="auto" w:line="240" w:before="0" w:after="0"/>
              <w:ind w:right="48" w:hanging="0"/>
              <w:jc w:val="center"/>
              <w:rPr>
                <w:rFonts w:ascii="ITC Avant Garde" w:hAnsi="ITC Avant Garde"/>
                <w:i/>
                <w:i/>
                <w:sz w:val="16"/>
                <w:szCs w:val="16"/>
                <w:lang w:eastAsia="ar-SA"/>
              </w:rPr>
            </w:pPr>
            <w:r>
              <w:rPr>
                <w:rFonts w:eastAsia="Times New Roman" w:ascii="ITC Avant Garde" w:hAnsi="ITC Avant Garde"/>
                <w:i/>
                <w:sz w:val="16"/>
                <w:szCs w:val="16"/>
                <w:lang w:val="es-ES" w:eastAsia="ar-SA"/>
              </w:rPr>
              <w:t>$ 13,489,971</w:t>
            </w:r>
          </w:p>
        </w:tc>
      </w:tr>
    </w:tbl>
    <w:p>
      <w:pPr>
        <w:pStyle w:val="Normal"/>
        <w:spacing w:before="0" w:after="0"/>
        <w:ind w:left="567" w:right="48" w:hanging="0"/>
        <w:jc w:val="both"/>
        <w:rPr>
          <w:rFonts w:ascii="ITC Avant Garde" w:hAnsi="ITC Avant Garde"/>
          <w:i/>
          <w:i/>
          <w:lang w:eastAsia="ar-SA"/>
        </w:rPr>
      </w:pPr>
      <w:r>
        <w:rPr>
          <w:rFonts w:ascii="ITC Avant Garde" w:hAnsi="ITC Avant Garde"/>
          <w:i/>
          <w:lang w:eastAsia="ar-SA"/>
        </w:rPr>
      </w:r>
    </w:p>
    <w:p>
      <w:pPr>
        <w:pStyle w:val="Normal"/>
        <w:spacing w:before="0" w:after="0"/>
        <w:ind w:left="567" w:right="473" w:hanging="0"/>
        <w:jc w:val="both"/>
        <w:rPr>
          <w:rFonts w:ascii="ITC Avant Garde" w:hAnsi="ITC Avant Garde"/>
          <w:i/>
          <w:i/>
          <w:sz w:val="18"/>
          <w:lang w:eastAsia="ar-SA"/>
        </w:rPr>
      </w:pPr>
      <w:r>
        <w:rPr>
          <w:rFonts w:ascii="ITC Avant Garde" w:hAnsi="ITC Avant Garde"/>
          <w:i/>
          <w:sz w:val="18"/>
          <w:lang w:eastAsia="ar-SA"/>
        </w:rPr>
        <w:t>El entero del aprovechamiento autorizado mediante el presente oficio deberá realizarse en las oficinas autorizadas por esta Secretaría, mediante la clave de entero correspondiente, en una sola exhibición y previo a la entrega de los títulos de concesión respectivos.</w:t>
      </w:r>
    </w:p>
    <w:p>
      <w:pPr>
        <w:pStyle w:val="Normal"/>
        <w:spacing w:before="0" w:after="0"/>
        <w:ind w:left="567" w:right="473" w:hanging="0"/>
        <w:jc w:val="both"/>
        <w:rPr>
          <w:rFonts w:ascii="ITC Avant Garde" w:hAnsi="ITC Avant Garde"/>
          <w:i/>
          <w:i/>
          <w:sz w:val="18"/>
          <w:lang w:eastAsia="ar-SA"/>
        </w:rPr>
      </w:pPr>
      <w:r>
        <w:rPr>
          <w:rFonts w:ascii="ITC Avant Garde" w:hAnsi="ITC Avant Garde"/>
          <w:i/>
          <w:sz w:val="18"/>
          <w:lang w:eastAsia="ar-SA"/>
        </w:rPr>
      </w:r>
    </w:p>
    <w:p>
      <w:pPr>
        <w:pStyle w:val="Normal"/>
        <w:spacing w:before="0" w:after="0"/>
        <w:ind w:left="567" w:right="473" w:hanging="0"/>
        <w:jc w:val="both"/>
        <w:rPr>
          <w:rFonts w:ascii="ITC Avant Garde" w:hAnsi="ITC Avant Garde"/>
          <w:sz w:val="18"/>
          <w:lang w:eastAsia="ar-SA"/>
        </w:rPr>
      </w:pPr>
      <w:r>
        <w:rPr>
          <w:rFonts w:ascii="ITC Avant Garde" w:hAnsi="ITC Avant Garde"/>
          <w:i/>
          <w:sz w:val="18"/>
          <w:lang w:eastAsia="ar-SA"/>
        </w:rPr>
        <w:t>Los montos calculados para los aprovechamientos autorizados mediante el presente oficio no incluyen el pago al Gobierno Federal por el uso de las frecuencias para proporcionar servicios de telecomunicaciones distintos al de televisión.”</w:t>
      </w:r>
    </w:p>
    <w:p>
      <w:pPr>
        <w:pStyle w:val="Normal"/>
        <w:suppressAutoHyphens w:val="true"/>
        <w:spacing w:before="0" w:after="0"/>
        <w:ind w:right="-62" w:hanging="0"/>
        <w:jc w:val="both"/>
        <w:rPr>
          <w:rFonts w:ascii="ITC Avant Garde" w:hAnsi="ITC Avant Garde" w:eastAsia="Times New Roman"/>
          <w:lang w:val="es-ES" w:eastAsia="ar-SA"/>
        </w:rPr>
      </w:pPr>
      <w:r>
        <w:rPr>
          <w:rFonts w:eastAsia="Times New Roman" w:ascii="ITC Avant Garde" w:hAnsi="ITC Avant Garde"/>
          <w:lang w:val="es-ES" w:eastAsia="ar-SA"/>
        </w:rPr>
      </w:r>
    </w:p>
    <w:p>
      <w:pPr>
        <w:pStyle w:val="Normal"/>
        <w:suppressAutoHyphens w:val="true"/>
        <w:spacing w:before="0" w:after="0"/>
        <w:ind w:right="-62" w:hanging="0"/>
        <w:jc w:val="both"/>
        <w:rPr>
          <w:rFonts w:ascii="ITC Avant Garde" w:hAnsi="ITC Avant Garde" w:eastAsia="Times New Roman"/>
          <w:lang w:val="es-ES" w:eastAsia="ar-SA"/>
        </w:rPr>
      </w:pPr>
      <w:r>
        <w:rPr>
          <w:rFonts w:eastAsia="Times New Roman" w:ascii="ITC Avant Garde" w:hAnsi="ITC Avant Garde"/>
          <w:lang w:val="es-ES" w:eastAsia="ar-SA"/>
        </w:rPr>
        <w:t xml:space="preserve">Derivado de lo transcrito, conforme a lo autorizado por la SHCP y considerando que conforme al resultado de la licitación pública que concluyó en 2015 de canales de transmisión para la prestación del servicio público de televisión radiodifundida digital (Licitación No. IFT-1) en la que resultó ganadora la empresa Cadena Tres, S.A. de C.V. , el pago por MHz por habitante corresponde a la cantidad de $2.835 pesos y teniendo en cuenta que dentro del área de cobertura de la estación objeto de la presente resolución se encuentra contenido un total de 793,149 habitantes y el ancho de banda de un canal de televisión es de 6 MHz, por tanto, </w:t>
      </w:r>
      <w:r>
        <w:rPr>
          <w:rFonts w:ascii="ITC Avant Garde" w:hAnsi="ITC Avant Garde"/>
          <w:lang w:eastAsia="ar-SA"/>
        </w:rPr>
        <w:t>el monto de la contraprestación</w:t>
      </w:r>
      <w:r>
        <w:rPr>
          <w:rFonts w:eastAsia="Times New Roman" w:ascii="ITC Avant Garde" w:hAnsi="ITC Avant Garde"/>
          <w:lang w:val="es-ES" w:eastAsia="ar-SA"/>
        </w:rPr>
        <w:t xml:space="preserve"> que le corresponde cubrir al Concesionario por la banda de frecuencias 174-180 MHz (canal 7) en Saltillo, Coahuila, distintivo de llamada XHRCG-TV,</w:t>
      </w:r>
      <w:r>
        <w:rPr>
          <w:rFonts w:ascii="ITC Avant Garde" w:hAnsi="ITC Avant Garde"/>
          <w:lang w:eastAsia="ar-SA"/>
        </w:rPr>
        <w:t xml:space="preserve"> </w:t>
      </w:r>
      <w:r>
        <w:rPr>
          <w:rFonts w:eastAsia="Times New Roman" w:ascii="ITC Avant Garde" w:hAnsi="ITC Avant Garde"/>
          <w:lang w:val="es-ES" w:eastAsia="ar-SA"/>
        </w:rPr>
        <w:t>asciende a la cantidad de $13’489,971.00 (trece millones cuatrocientos ochenta y nueve mil novecientos setenta y un pesos 00/100 M.N.), y deberá ser enterado en una sola exhibición y previo a la entrega del título de concesión respectivo.</w:t>
      </w:r>
    </w:p>
    <w:p>
      <w:pPr>
        <w:pStyle w:val="Normal"/>
        <w:suppressAutoHyphens w:val="true"/>
        <w:spacing w:before="0" w:after="0"/>
        <w:ind w:right="-62" w:hanging="0"/>
        <w:jc w:val="both"/>
        <w:rPr>
          <w:rFonts w:ascii="ITC Avant Garde" w:hAnsi="ITC Avant Garde" w:eastAsia="Times New Roman"/>
          <w:lang w:val="es-ES" w:eastAsia="ar-SA"/>
        </w:rPr>
      </w:pPr>
      <w:r>
        <w:rPr>
          <w:rFonts w:eastAsia="Times New Roman" w:ascii="ITC Avant Garde" w:hAnsi="ITC Avant Garde"/>
          <w:lang w:val="es-ES" w:eastAsia="ar-SA"/>
        </w:rPr>
      </w:r>
    </w:p>
    <w:p>
      <w:pPr>
        <w:pStyle w:val="Normal"/>
        <w:jc w:val="both"/>
        <w:rPr>
          <w:rFonts w:ascii="ITC Avant Garde" w:hAnsi="ITC Avant Garde" w:eastAsia="Times New Roman"/>
          <w:lang w:val="es-ES" w:eastAsia="ar-SA"/>
        </w:rPr>
      </w:pPr>
      <w:r>
        <w:rPr>
          <w:rFonts w:eastAsia="Times New Roman" w:ascii="ITC Avant Garde" w:hAnsi="ITC Avant Garde"/>
          <w:lang w:val="es-ES" w:eastAsia="ar-SA"/>
        </w:rPr>
        <w:t>Para dichos efectos, el Concesionario deberá exhibir ante este Instituto el comprobante con el que se acredite haber realizado el pago de la contraprestación en cuestión, dentro de un plazo de 30 (treinta) días hábiles, siguientes a la fecha en la cual hayan aceptado en un término de 30 (treinta) días hábiles ante este Instituto las condiciones respectivas y una vez realizada la notificación correspondiente, término este último que transcurrirá a partir del día siguiente a aquél en que haya surtido efectos la notificación de la presente Resolución.</w:t>
      </w:r>
    </w:p>
    <w:p>
      <w:pPr>
        <w:pStyle w:val="Normal"/>
        <w:spacing w:before="0" w:after="0"/>
        <w:jc w:val="both"/>
        <w:rPr>
          <w:rFonts w:ascii="ITC Avant Garde" w:hAnsi="ITC Avant Garde" w:eastAsia="Times New Roman"/>
          <w:lang w:val="es-ES" w:eastAsia="ar-SA"/>
        </w:rPr>
      </w:pPr>
      <w:r>
        <w:rPr>
          <w:rFonts w:eastAsia="Times New Roman" w:ascii="ITC Avant Garde" w:hAnsi="ITC Avant Garde"/>
          <w:lang w:val="es-ES" w:eastAsia="ar-SA"/>
        </w:rPr>
        <w:t xml:space="preserve">Una vez aceptadas las condiciones y acreditado el pago total de la contraprestación contenidos en los </w:t>
      </w:r>
      <w:r>
        <w:rPr>
          <w:rFonts w:eastAsia="Times New Roman" w:ascii="ITC Avant Garde" w:hAnsi="ITC Avant Garde"/>
          <w:b/>
          <w:lang w:val="es-ES" w:eastAsia="ar-SA"/>
        </w:rPr>
        <w:t>Anexos 1 y 2</w:t>
      </w:r>
      <w:r>
        <w:rPr>
          <w:rFonts w:eastAsia="Times New Roman" w:ascii="ITC Avant Garde" w:hAnsi="ITC Avant Garde"/>
          <w:lang w:val="es-ES" w:eastAsia="ar-SA"/>
        </w:rPr>
        <w:t xml:space="preserve"> de la presente Resolución, este Instituto procederá a la expedición de los </w:t>
      </w:r>
      <w:r>
        <w:rPr>
          <w:rFonts w:eastAsia="Times New Roman" w:ascii="ITC Avant Garde" w:hAnsi="ITC Avant Garde"/>
          <w:bCs/>
          <w:lang w:eastAsia="ar-SA"/>
        </w:rPr>
        <w:t xml:space="preserve">títulos de Concesión </w:t>
      </w:r>
      <w:r>
        <w:rPr>
          <w:rFonts w:eastAsia="Times New Roman" w:ascii="ITC Avant Garde" w:hAnsi="ITC Avant Garde"/>
          <w:lang w:val="en-US" w:eastAsia="es-ES"/>
        </w:rPr>
        <w:t xml:space="preserve">sobre bandas de frecuencia del espectro radioeléctrico para uso comercial </w:t>
      </w:r>
      <w:r>
        <w:rPr>
          <w:rFonts w:ascii="ITC Avant Garde" w:hAnsi="ITC Avant Garde"/>
          <w:bCs/>
          <w:color w:val="000000" w:themeColor="text1"/>
          <w:lang w:eastAsia="es-MX"/>
        </w:rPr>
        <w:t xml:space="preserve">y de Concesión que autoriza </w:t>
      </w:r>
      <w:r>
        <w:rPr>
          <w:rFonts w:ascii="ITC Avant Garde" w:hAnsi="ITC Avant Garde"/>
          <w:bCs/>
          <w:color w:val="000000"/>
        </w:rPr>
        <w:t>a Roberto Casimiro González Treviño la prestación del servicio público de televisión radiodifundida para uso comercial</w:t>
      </w:r>
      <w:r>
        <w:rPr>
          <w:rFonts w:eastAsia="Times New Roman" w:ascii="ITC Avant Garde" w:hAnsi="ITC Avant Garde"/>
          <w:bCs/>
          <w:lang w:eastAsia="ar-SA"/>
        </w:rPr>
        <w:t xml:space="preserve">, que se otorguen con motivo de la presente Resolución. Cabe precisar que la </w:t>
      </w:r>
      <w:r>
        <w:rPr>
          <w:rFonts w:eastAsia="Times New Roman" w:ascii="ITC Avant Garde" w:hAnsi="ITC Avant Garde"/>
          <w:lang w:val="es-ES" w:eastAsia="ar-SA"/>
        </w:rPr>
        <w:t>condición relativa al pago de la contraprestación fijada, en términos de lo dispuesto por el artículo 81 fracción VI de la Ley, deberá quedar incorporada en el título de concesión de espectro radioeléctrico.</w:t>
      </w:r>
    </w:p>
    <w:p>
      <w:pPr>
        <w:pStyle w:val="Normal"/>
        <w:spacing w:before="0" w:after="0"/>
        <w:jc w:val="both"/>
        <w:rPr>
          <w:rFonts w:ascii="ITC Avant Garde" w:hAnsi="ITC Avant Garde" w:eastAsia="Times New Roman"/>
          <w:lang w:val="es-ES" w:eastAsia="ar-SA"/>
        </w:rPr>
      </w:pPr>
      <w:r>
        <w:rPr>
          <w:rFonts w:eastAsia="Times New Roman" w:ascii="ITC Avant Garde" w:hAnsi="ITC Avant Garde"/>
          <w:lang w:val="es-ES" w:eastAsia="ar-SA"/>
        </w:rPr>
      </w:r>
    </w:p>
    <w:p>
      <w:pPr>
        <w:pStyle w:val="Normal"/>
        <w:spacing w:before="0" w:after="0"/>
        <w:jc w:val="both"/>
        <w:rPr>
          <w:rFonts w:ascii="ITC Avant Garde" w:hAnsi="ITC Avant Garde" w:cs="Tahoma"/>
          <w:bCs/>
          <w:color w:val="000000"/>
          <w:lang w:eastAsia="es-MX"/>
        </w:rPr>
      </w:pPr>
      <w:r>
        <w:rPr>
          <w:rFonts w:eastAsia="Times New Roman" w:ascii="ITC Avant Garde" w:hAnsi="ITC Avant Garde"/>
          <w:lang w:val="es-ES" w:eastAsia="ar-SA"/>
        </w:rPr>
        <w:t>Por lo anterior, con fundamento en los artículos 6º Apartado B fracción III, 28 párrafos décimo quinto, décimo sexto y décimo séptimo y 134 de la Constitución Política de los Estados Unidos Mexicanos; Séptimo Transitorios del “</w:t>
      </w:r>
      <w:r>
        <w:rPr>
          <w:rFonts w:ascii="ITC Avant Garde" w:hAnsi="ITC Avant Garde"/>
          <w:lang w:eastAsia="es-MX"/>
        </w:rPr>
        <w:t xml:space="preserve">Decreto </w:t>
      </w:r>
      <w:r>
        <w:rPr>
          <w:rFonts w:eastAsia="Times New Roman" w:ascii="ITC Avant Garde" w:hAnsi="ITC Avant Garde"/>
          <w:lang w:val="es-ES" w:eastAsia="ar-SA"/>
        </w:rPr>
        <w:t>por el que se reforman y adicionan diversas disposiciones de los artículos 6o., 7o., 27, 28, 73, 78, 94 y 105 de la Constitución Política de los Estados Unidos Mexicanos, en materia de telecomunicaciones”, publicado en el Diario Oficial de la Federación el 11 de junio de 2013; en relación con el artículo Sexto Transitorio del “</w:t>
      </w:r>
      <w:r>
        <w:rPr>
          <w:rFonts w:ascii="ITC Avant Garde" w:hAnsi="ITC Avant Garde"/>
          <w:bCs/>
          <w:color w:val="000000" w:themeColor="text1"/>
          <w:lang w:eastAsia="es-MX"/>
        </w:rPr>
        <w:t xml:space="preserve">Decreto </w:t>
      </w:r>
      <w:r>
        <w:rPr>
          <w:rFonts w:eastAsia="Times New Roman" w:ascii="ITC Avant Garde" w:hAnsi="ITC Avant Garde"/>
          <w:lang w:eastAsia="ar-SA"/>
        </w:rPr>
        <w:t>por el que se expiden la Ley Federal de Telecomunicaciones y Radiodifusión, y la Ley del Sistema Público de Radiodifusión del Estado Mexicano; y se reforman, adicionan y derogan diversas disposiciones en materia de telecomunicaciones y radiodifusión”</w:t>
      </w:r>
      <w:r>
        <w:rPr>
          <w:rFonts w:eastAsia="Times New Roman" w:ascii="ITC Avant Garde" w:hAnsi="ITC Avant Garde"/>
          <w:lang w:val="es-ES" w:eastAsia="ar-SA"/>
        </w:rPr>
        <w:t>, publicado en el Diario Oficial de la Federación el 14 de julio de 2014; 1, 2, 4, 5, 7, 15 fracciones IV y LVII, 16, 17 fracción I, 54, 55 fracción I, 75, 76 fracción I y 77 de la Ley Federal de Telecomunicaciones y Radiodifusión;</w:t>
      </w:r>
      <w:r>
        <w:rPr>
          <w:rFonts w:cs="Tahoma" w:ascii="ITC Avant Garde" w:hAnsi="ITC Avant Garde"/>
          <w:bCs/>
          <w:color w:val="000000"/>
          <w:lang w:eastAsia="es-MX"/>
        </w:rPr>
        <w:t xml:space="preserve"> 7-A y 16 de la Ley Federal de Radio y Televisión</w:t>
      </w:r>
      <w:r>
        <w:rPr>
          <w:rFonts w:eastAsia="Times New Roman" w:ascii="ITC Avant Garde" w:hAnsi="ITC Avant Garde"/>
          <w:bCs/>
          <w:lang w:eastAsia="ar-SA"/>
        </w:rPr>
        <w:t>; 19 de la Ley Federal de Telecomunicaciones</w:t>
      </w:r>
      <w:r>
        <w:rPr>
          <w:rFonts w:ascii="ITC Avant Garde" w:hAnsi="ITC Avant Garde"/>
          <w:bCs/>
          <w:color w:val="000000"/>
          <w:lang w:eastAsia="es-MX"/>
        </w:rPr>
        <w:t>;</w:t>
      </w:r>
      <w:r>
        <w:rPr>
          <w:rFonts w:eastAsia="Times New Roman" w:ascii="ITC Avant Garde" w:hAnsi="ITC Avant Garde"/>
          <w:bCs/>
          <w:lang w:eastAsia="ar-SA"/>
        </w:rPr>
        <w:t xml:space="preserve"> 3, 16 fracción X, 35 fracción I, 36, 38 y 57 fracción I de la Ley Federal de Procedimiento Administrativo; y </w:t>
      </w:r>
      <w:r>
        <w:rPr>
          <w:rFonts w:eastAsia="Times New Roman" w:ascii="ITC Avant Garde" w:hAnsi="ITC Avant Garde"/>
          <w:lang w:eastAsia="es-ES"/>
        </w:rPr>
        <w:t xml:space="preserve">1, 4 fracción I, 6 fracciones I y XXXVII, 32 y 34 fracción II del </w:t>
      </w:r>
      <w:r>
        <w:rPr>
          <w:rFonts w:cs="Arial" w:ascii="ITC Avant Garde" w:hAnsi="ITC Avant Garde"/>
          <w:lang w:eastAsia="ar-SA"/>
        </w:rPr>
        <w:t>Estatuto Orgánico</w:t>
      </w:r>
      <w:r>
        <w:rPr>
          <w:rFonts w:eastAsia="Times New Roman" w:ascii="ITC Avant Garde" w:hAnsi="ITC Avant Garde"/>
          <w:lang w:eastAsia="es-ES"/>
        </w:rPr>
        <w:t xml:space="preserve"> del Instituto Federal de Telecomunicaciones</w:t>
      </w:r>
      <w:r>
        <w:rPr>
          <w:rFonts w:cs="Tahoma" w:ascii="ITC Avant Garde" w:hAnsi="ITC Avant Garde"/>
          <w:bCs/>
          <w:color w:val="000000"/>
          <w:lang w:eastAsia="es-MX"/>
        </w:rPr>
        <w:t>, este órgano autónomo emite los siguientes:</w:t>
      </w:r>
    </w:p>
    <w:p>
      <w:pPr>
        <w:pStyle w:val="Normal"/>
        <w:suppressAutoHyphens w:val="true"/>
        <w:spacing w:before="0" w:after="0"/>
        <w:ind w:right="-62" w:hanging="0"/>
        <w:jc w:val="both"/>
        <w:rPr>
          <w:rFonts w:ascii="ITC Avant Garde" w:hAnsi="ITC Avant Garde" w:eastAsia="Times New Roman"/>
          <w:bCs/>
          <w:lang w:eastAsia="ar-SA"/>
        </w:rPr>
      </w:pPr>
      <w:r>
        <w:rPr>
          <w:rFonts w:eastAsia="Times New Roman" w:ascii="ITC Avant Garde" w:hAnsi="ITC Avant Garde"/>
          <w:bCs/>
          <w:lang w:eastAsia="ar-SA"/>
        </w:rPr>
      </w:r>
    </w:p>
    <w:p>
      <w:pPr>
        <w:pStyle w:val="Heading2"/>
        <w:jc w:val="center"/>
        <w:rPr>
          <w:rFonts w:ascii="ITC Avant Garde" w:hAnsi="ITC Avant Garde" w:eastAsia="Times New Roman"/>
          <w:b/>
          <w:b/>
          <w:color w:val="000000" w:themeColor="text1"/>
          <w:lang w:val="es-ES" w:eastAsia="ar-SA"/>
        </w:rPr>
      </w:pPr>
      <w:r>
        <w:rPr>
          <w:rFonts w:ascii="ITC Avant Garde" w:hAnsi="ITC Avant Garde"/>
          <w:b/>
          <w:color w:val="000000" w:themeColor="text1"/>
          <w:sz w:val="22"/>
          <w:szCs w:val="22"/>
        </w:rPr>
        <w:t>RESOLUTIVOS</w:t>
      </w:r>
    </w:p>
    <w:p>
      <w:pPr>
        <w:pStyle w:val="Normal"/>
        <w:suppressAutoHyphens w:val="true"/>
        <w:spacing w:before="0" w:after="0"/>
        <w:ind w:right="-62" w:hanging="0"/>
        <w:jc w:val="both"/>
        <w:rPr>
          <w:rFonts w:ascii="ITC Avant Garde" w:hAnsi="ITC Avant Garde" w:eastAsia="Times New Roman"/>
          <w:bCs/>
          <w:color w:val="000000" w:themeColor="text1"/>
          <w:lang w:eastAsia="ar-SA"/>
        </w:rPr>
      </w:pPr>
      <w:bookmarkStart w:id="4" w:name="_GoBack"/>
      <w:bookmarkStart w:id="5" w:name="_GoBack"/>
      <w:bookmarkEnd w:id="5"/>
      <w:r>
        <w:rPr>
          <w:rFonts w:eastAsia="Times New Roman" w:ascii="ITC Avant Garde" w:hAnsi="ITC Avant Garde"/>
          <w:bCs/>
          <w:color w:val="000000" w:themeColor="text1"/>
          <w:lang w:eastAsia="ar-SA"/>
        </w:rPr>
      </w:r>
    </w:p>
    <w:p>
      <w:pPr>
        <w:pStyle w:val="Normal"/>
        <w:suppressAutoHyphens w:val="true"/>
        <w:spacing w:before="0" w:after="0"/>
        <w:ind w:right="-62" w:hanging="0"/>
        <w:jc w:val="both"/>
        <w:rPr>
          <w:rFonts w:ascii="ITC Avant Garde" w:hAnsi="ITC Avant Garde" w:eastAsia="Times New Roman"/>
          <w:b/>
          <w:b/>
          <w:bCs/>
          <w:lang w:eastAsia="ar-SA"/>
        </w:rPr>
      </w:pPr>
      <w:r>
        <w:rPr>
          <w:rFonts w:eastAsia="Times New Roman" w:ascii="ITC Avant Garde" w:hAnsi="ITC Avant Garde"/>
          <w:b/>
          <w:bCs/>
          <w:lang w:eastAsia="ar-SA"/>
        </w:rPr>
        <w:t xml:space="preserve">PRIMERO.- </w:t>
      </w:r>
      <w:r>
        <w:rPr>
          <w:rFonts w:eastAsia="Times New Roman" w:ascii="ITC Avant Garde" w:hAnsi="ITC Avant Garde"/>
          <w:bCs/>
          <w:lang w:eastAsia="ar-SA"/>
        </w:rPr>
        <w:t xml:space="preserve">Se resuelve favorablemente la solicitud de prórroga de la Concesión </w:t>
      </w:r>
      <w:r>
        <w:rPr>
          <w:rFonts w:eastAsia="Times New Roman" w:ascii="ITC Avant Garde" w:hAnsi="ITC Avant Garde"/>
          <w:bCs/>
          <w:lang w:val="es-ES" w:eastAsia="ar-SA"/>
        </w:rPr>
        <w:t xml:space="preserve">para continuar usando con fines comerciales el canal 7 (banda de frecuencias 174-180 MHz), a través de la estación de televisión con distintivo de llamada </w:t>
      </w:r>
      <w:r>
        <w:rPr>
          <w:rFonts w:ascii="ITC Avant Garde" w:hAnsi="ITC Avant Garde"/>
          <w:lang w:eastAsia="es-MX"/>
        </w:rPr>
        <w:t>XHRCG-TV</w:t>
      </w:r>
      <w:r>
        <w:rPr>
          <w:rFonts w:eastAsia="Times New Roman" w:ascii="ITC Avant Garde" w:hAnsi="ITC Avant Garde"/>
          <w:bCs/>
          <w:lang w:val="es-ES" w:eastAsia="ar-SA"/>
        </w:rPr>
        <w:t xml:space="preserve">, </w:t>
      </w:r>
      <w:r>
        <w:rPr>
          <w:rFonts w:ascii="ITC Avant Garde" w:hAnsi="ITC Avant Garde"/>
          <w:lang w:eastAsia="es-MX"/>
        </w:rPr>
        <w:t>en Saltillo, Coahuila</w:t>
      </w:r>
      <w:r>
        <w:rPr>
          <w:rFonts w:ascii="ITC Avant Garde" w:hAnsi="ITC Avant Garde"/>
          <w:color w:val="000000"/>
        </w:rPr>
        <w:t>.</w:t>
      </w:r>
    </w:p>
    <w:p>
      <w:pPr>
        <w:pStyle w:val="Normal"/>
        <w:suppressAutoHyphens w:val="true"/>
        <w:spacing w:before="0" w:after="0"/>
        <w:ind w:right="-62" w:hanging="0"/>
        <w:jc w:val="both"/>
        <w:rPr>
          <w:rFonts w:ascii="ITC Avant Garde" w:hAnsi="ITC Avant Garde" w:eastAsia="Times New Roman"/>
          <w:b/>
          <w:b/>
          <w:bCs/>
          <w:lang w:eastAsia="ar-SA"/>
        </w:rPr>
      </w:pPr>
      <w:r>
        <w:rPr>
          <w:rFonts w:eastAsia="Times New Roman" w:ascii="ITC Avant Garde" w:hAnsi="ITC Avant Garde"/>
          <w:b/>
          <w:bCs/>
          <w:lang w:eastAsia="ar-SA"/>
        </w:rPr>
      </w:r>
    </w:p>
    <w:p>
      <w:pPr>
        <w:pStyle w:val="Normal"/>
        <w:suppressAutoHyphens w:val="true"/>
        <w:spacing w:before="0" w:after="0"/>
        <w:ind w:right="-62" w:hanging="0"/>
        <w:jc w:val="both"/>
        <w:rPr>
          <w:rFonts w:ascii="ITC Avant Garde" w:hAnsi="ITC Avant Garde" w:eastAsia="Times New Roman"/>
          <w:bCs/>
          <w:lang w:eastAsia="ar-SA"/>
        </w:rPr>
      </w:pPr>
      <w:r>
        <w:rPr>
          <w:rFonts w:eastAsia="Times New Roman" w:ascii="ITC Avant Garde" w:hAnsi="ITC Avant Garde"/>
          <w:b/>
          <w:bCs/>
          <w:lang w:eastAsia="ar-SA"/>
        </w:rPr>
        <w:t>SEGUNDO.-</w:t>
      </w:r>
      <w:r>
        <w:rPr>
          <w:rFonts w:eastAsia="Times New Roman" w:ascii="ITC Avant Garde" w:hAnsi="ITC Avant Garde"/>
          <w:bCs/>
          <w:lang w:eastAsia="ar-SA"/>
        </w:rPr>
        <w:t xml:space="preserve"> Se otorga </w:t>
      </w:r>
      <w:r>
        <w:rPr>
          <w:rFonts w:ascii="ITC Avant Garde" w:hAnsi="ITC Avant Garde"/>
          <w:color w:val="000000"/>
        </w:rPr>
        <w:t>a favor de</w:t>
      </w:r>
      <w:r>
        <w:rPr>
          <w:rFonts w:ascii="ITC Avant Garde" w:hAnsi="ITC Avant Garde"/>
          <w:b/>
          <w:color w:val="000000"/>
        </w:rPr>
        <w:t xml:space="preserve"> </w:t>
      </w:r>
      <w:r>
        <w:rPr>
          <w:rFonts w:ascii="ITC Avant Garde" w:hAnsi="ITC Avant Garde"/>
          <w:bCs/>
          <w:color w:val="000000" w:themeColor="text1"/>
          <w:lang w:eastAsia="es-MX"/>
        </w:rPr>
        <w:t>Roberto Casimiro González Treviño,</w:t>
      </w:r>
      <w:r>
        <w:rPr>
          <w:rFonts w:eastAsia="Times New Roman" w:ascii="ITC Avant Garde" w:hAnsi="ITC Avant Garde"/>
          <w:bCs/>
          <w:lang w:eastAsia="ar-SA"/>
        </w:rPr>
        <w:t xml:space="preserve"> una </w:t>
      </w:r>
      <w:r>
        <w:rPr>
          <w:rFonts w:ascii="ITC Avant Garde" w:hAnsi="ITC Avant Garde"/>
          <w:bCs/>
          <w:color w:val="000000" w:themeColor="text1"/>
          <w:lang w:eastAsia="es-MX"/>
        </w:rPr>
        <w:t xml:space="preserve">Concesión </w:t>
      </w:r>
      <w:r>
        <w:rPr>
          <w:rFonts w:eastAsia="Times New Roman" w:ascii="ITC Avant Garde" w:hAnsi="ITC Avant Garde"/>
          <w:lang w:val="en-US" w:eastAsia="es-ES"/>
        </w:rPr>
        <w:t xml:space="preserve">para usar, aprovechar y explotar bandas de frecuencia del espectro radioeléctrico </w:t>
      </w:r>
      <w:r>
        <w:rPr>
          <w:rFonts w:ascii="ITC Avant Garde" w:hAnsi="ITC Avant Garde"/>
          <w:color w:val="000000"/>
        </w:rPr>
        <w:t xml:space="preserve">para la prestación del servicio público de televisión </w:t>
      </w:r>
      <w:r>
        <w:rPr>
          <w:rFonts w:eastAsia="Times New Roman" w:ascii="ITC Avant Garde" w:hAnsi="ITC Avant Garde"/>
          <w:bCs/>
          <w:lang w:val="es-ES" w:eastAsia="ar-SA"/>
        </w:rPr>
        <w:t>a través del canal 7 (banda de frecuencias 174-180 MHz)</w:t>
      </w:r>
      <w:r>
        <w:rPr>
          <w:rFonts w:ascii="ITC Avant Garde" w:hAnsi="ITC Avant Garde"/>
          <w:lang w:eastAsia="es-MX"/>
        </w:rPr>
        <w:t>,</w:t>
      </w:r>
      <w:r>
        <w:rPr>
          <w:rFonts w:eastAsia="Times New Roman" w:ascii="ITC Avant Garde" w:hAnsi="ITC Avant Garde"/>
          <w:bCs/>
          <w:lang w:val="es-ES" w:eastAsia="ar-SA"/>
        </w:rPr>
        <w:t xml:space="preserve"> con distintivo de llamada </w:t>
      </w:r>
      <w:r>
        <w:rPr>
          <w:rFonts w:ascii="ITC Avant Garde" w:hAnsi="ITC Avant Garde"/>
          <w:lang w:eastAsia="es-MX"/>
        </w:rPr>
        <w:t>XHRCG-TV</w:t>
      </w:r>
      <w:r>
        <w:rPr>
          <w:rFonts w:eastAsia="Times New Roman" w:ascii="ITC Avant Garde" w:hAnsi="ITC Avant Garde"/>
          <w:bCs/>
          <w:lang w:val="es-ES" w:eastAsia="ar-SA"/>
        </w:rPr>
        <w:t xml:space="preserve">, </w:t>
      </w:r>
      <w:r>
        <w:rPr>
          <w:rFonts w:ascii="ITC Avant Garde" w:hAnsi="ITC Avant Garde"/>
          <w:lang w:eastAsia="es-MX"/>
        </w:rPr>
        <w:t>en Saltillo, Coahuila</w:t>
      </w:r>
      <w:r>
        <w:rPr>
          <w:rFonts w:eastAsia="Times New Roman" w:ascii="ITC Avant Garde" w:hAnsi="ITC Avant Garde"/>
          <w:bCs/>
          <w:lang w:val="es-ES" w:eastAsia="ar-SA"/>
        </w:rPr>
        <w:t>, así como una Concesión</w:t>
      </w:r>
      <w:r>
        <w:rPr>
          <w:rFonts w:ascii="ITC Avant Garde" w:hAnsi="ITC Avant Garde"/>
          <w:bCs/>
          <w:color w:val="000000" w:themeColor="text1"/>
          <w:lang w:eastAsia="es-MX"/>
        </w:rPr>
        <w:t xml:space="preserve"> que autoriza </w:t>
      </w:r>
      <w:r>
        <w:rPr>
          <w:rFonts w:ascii="ITC Avant Garde" w:hAnsi="ITC Avant Garde"/>
          <w:bCs/>
          <w:color w:val="000000"/>
        </w:rPr>
        <w:t>la prestación del servicio público de televisión radiodifundida para uso comercial</w:t>
      </w:r>
      <w:r>
        <w:rPr>
          <w:rFonts w:eastAsia="Times New Roman" w:ascii="ITC Avant Garde" w:hAnsi="ITC Avant Garde"/>
          <w:bCs/>
          <w:lang w:val="es-ES" w:eastAsia="ar-SA"/>
        </w:rPr>
        <w:t>, ambas con una vigencia</w:t>
      </w:r>
      <w:r>
        <w:rPr>
          <w:rFonts w:eastAsia="Times New Roman" w:ascii="ITC Avant Garde" w:hAnsi="ITC Avant Garde"/>
          <w:bCs/>
          <w:lang w:eastAsia="ar-SA"/>
        </w:rPr>
        <w:t xml:space="preserve"> de 20 (veinte) años, respectivamente, </w:t>
      </w:r>
      <w:r>
        <w:rPr>
          <w:rFonts w:ascii="ITC Avant Garde" w:hAnsi="ITC Avant Garde"/>
          <w:bCs/>
          <w:color w:val="000000"/>
        </w:rPr>
        <w:t xml:space="preserve">contados a partir del </w:t>
      </w:r>
      <w:r>
        <w:rPr>
          <w:rFonts w:ascii="ITC Avant Garde" w:hAnsi="ITC Avant Garde"/>
          <w:lang w:eastAsia="es-MX"/>
        </w:rPr>
        <w:t xml:space="preserve">3 de julio de 2009, </w:t>
      </w:r>
      <w:r>
        <w:rPr>
          <w:rFonts w:eastAsia="Times New Roman" w:ascii="ITC Avant Garde" w:hAnsi="ITC Avant Garde"/>
          <w:bCs/>
          <w:lang w:eastAsia="ar-SA"/>
        </w:rPr>
        <w:t>conforme a los términos establecidos en los Resolutivos siguientes.</w:t>
      </w:r>
    </w:p>
    <w:p>
      <w:pPr>
        <w:pStyle w:val="Normal"/>
        <w:suppressAutoHyphens w:val="true"/>
        <w:spacing w:before="0" w:after="0"/>
        <w:ind w:right="-62" w:hanging="0"/>
        <w:jc w:val="both"/>
        <w:rPr>
          <w:rFonts w:ascii="ITC Avant Garde" w:hAnsi="ITC Avant Garde" w:eastAsia="Times New Roman"/>
          <w:bCs/>
          <w:lang w:eastAsia="ar-SA"/>
        </w:rPr>
      </w:pPr>
      <w:r>
        <w:rPr>
          <w:rFonts w:eastAsia="Times New Roman" w:ascii="ITC Avant Garde" w:hAnsi="ITC Avant Garde"/>
          <w:bCs/>
          <w:lang w:eastAsia="ar-SA"/>
        </w:rPr>
      </w:r>
    </w:p>
    <w:p>
      <w:pPr>
        <w:pStyle w:val="Normal"/>
        <w:suppressAutoHyphens w:val="true"/>
        <w:spacing w:before="0" w:after="0"/>
        <w:ind w:right="-62" w:hanging="0"/>
        <w:jc w:val="both"/>
        <w:rPr>
          <w:rFonts w:ascii="ITC Avant Garde" w:hAnsi="ITC Avant Garde" w:eastAsia="Times New Roman"/>
          <w:lang w:val="es-ES" w:eastAsia="ar-SA"/>
        </w:rPr>
      </w:pPr>
      <w:r>
        <w:rPr>
          <w:rFonts w:eastAsia="Times New Roman" w:ascii="ITC Avant Garde" w:hAnsi="ITC Avant Garde"/>
          <w:b/>
          <w:bCs/>
          <w:lang w:eastAsia="ar-SA"/>
        </w:rPr>
        <w:t xml:space="preserve">TERCERO.- </w:t>
      </w:r>
      <w:r>
        <w:rPr>
          <w:rFonts w:eastAsia="Times New Roman" w:ascii="ITC Avant Garde" w:hAnsi="ITC Avant Garde"/>
          <w:bCs/>
          <w:lang w:eastAsia="ar-SA"/>
        </w:rPr>
        <w:t xml:space="preserve">Se instruye a la Unidad de Concesiones y Servicios a notificar personalmente a </w:t>
      </w:r>
      <w:r>
        <w:rPr>
          <w:rFonts w:ascii="ITC Avant Garde" w:hAnsi="ITC Avant Garde"/>
          <w:bCs/>
          <w:color w:val="000000" w:themeColor="text1"/>
          <w:lang w:eastAsia="es-MX"/>
        </w:rPr>
        <w:t>Roberto Casimiro González Treviño,</w:t>
      </w:r>
      <w:r>
        <w:rPr>
          <w:rFonts w:eastAsia="Times New Roman" w:ascii="ITC Avant Garde" w:hAnsi="ITC Avant Garde"/>
          <w:bCs/>
          <w:lang w:eastAsia="ar-SA"/>
        </w:rPr>
        <w:t xml:space="preserve"> la presente Resolución, así como las nuevas  </w:t>
      </w:r>
      <w:r>
        <w:rPr>
          <w:rFonts w:eastAsia="Times New Roman" w:ascii="ITC Avant Garde" w:hAnsi="ITC Avant Garde"/>
          <w:lang w:val="es-ES" w:eastAsia="ar-SA"/>
        </w:rPr>
        <w:t xml:space="preserve">condiciones establecidas en los modelos de títulos de Concesión señalados en el Resolutivo Segundo contenidas en los </w:t>
      </w:r>
      <w:r>
        <w:rPr>
          <w:rFonts w:eastAsia="Times New Roman" w:ascii="ITC Avant Garde" w:hAnsi="ITC Avant Garde"/>
          <w:b/>
          <w:lang w:val="es-ES" w:eastAsia="ar-SA"/>
        </w:rPr>
        <w:t>Anexos 1 y 2</w:t>
      </w:r>
      <w:r>
        <w:rPr>
          <w:rFonts w:eastAsia="Times New Roman" w:ascii="ITC Avant Garde" w:hAnsi="ITC Avant Garde"/>
          <w:lang w:val="es-ES" w:eastAsia="ar-SA"/>
        </w:rPr>
        <w:t xml:space="preserve"> de la misma, a efecto de recabar de dicha concesionaria, en un plazo no mayor a 30 (treinta) días hábiles contados a partir del día siguiente a aquel en que haya surtido efectos la notificación respectiva, su aceptación expresa e indubitable de las nuevas condiciones.</w:t>
      </w:r>
    </w:p>
    <w:p>
      <w:pPr>
        <w:pStyle w:val="Normal"/>
        <w:suppressAutoHyphens w:val="true"/>
        <w:spacing w:before="0" w:after="0"/>
        <w:ind w:right="-62" w:hanging="0"/>
        <w:jc w:val="both"/>
        <w:rPr>
          <w:rFonts w:ascii="ITC Avant Garde" w:hAnsi="ITC Avant Garde" w:eastAsia="Times New Roman"/>
          <w:lang w:val="es-ES" w:eastAsia="ar-SA"/>
        </w:rPr>
      </w:pPr>
      <w:r>
        <w:rPr>
          <w:rFonts w:eastAsia="Times New Roman" w:ascii="ITC Avant Garde" w:hAnsi="ITC Avant Garde"/>
          <w:lang w:val="es-ES" w:eastAsia="ar-SA"/>
        </w:rPr>
      </w:r>
    </w:p>
    <w:p>
      <w:pPr>
        <w:pStyle w:val="Normal"/>
        <w:suppressAutoHyphens w:val="true"/>
        <w:spacing w:before="0" w:after="0"/>
        <w:ind w:right="-62" w:hanging="0"/>
        <w:jc w:val="both"/>
        <w:rPr>
          <w:rFonts w:ascii="ITC Avant Garde" w:hAnsi="ITC Avant Garde" w:eastAsia="Times New Roman"/>
          <w:lang w:val="es-ES" w:eastAsia="ar-SA"/>
        </w:rPr>
      </w:pPr>
      <w:r>
        <w:rPr>
          <w:rFonts w:eastAsia="Times New Roman" w:ascii="ITC Avant Garde" w:hAnsi="ITC Avant Garde"/>
          <w:bCs/>
          <w:lang w:eastAsia="ar-SA"/>
        </w:rPr>
        <w:t>Asimismo, se deberá notificar como parte integrante el oficio de autorización de la correspondiente contraprestación emitido por la Secretaría de Hacienda y Crédito Público descrito en el cuerpo de la presente Resolución.</w:t>
      </w:r>
    </w:p>
    <w:p>
      <w:pPr>
        <w:pStyle w:val="Normal"/>
        <w:suppressAutoHyphens w:val="true"/>
        <w:spacing w:before="0" w:after="0"/>
        <w:ind w:right="-62" w:hanging="0"/>
        <w:jc w:val="both"/>
        <w:rPr>
          <w:rFonts w:ascii="ITC Avant Garde" w:hAnsi="ITC Avant Garde" w:eastAsia="Times New Roman"/>
          <w:lang w:val="es-ES" w:eastAsia="ar-SA"/>
        </w:rPr>
      </w:pPr>
      <w:r>
        <w:rPr>
          <w:rFonts w:eastAsia="Times New Roman" w:ascii="ITC Avant Garde" w:hAnsi="ITC Avant Garde"/>
          <w:lang w:val="es-ES" w:eastAsia="ar-SA"/>
        </w:rPr>
      </w:r>
    </w:p>
    <w:p>
      <w:pPr>
        <w:pStyle w:val="Normal"/>
        <w:suppressAutoHyphens w:val="true"/>
        <w:spacing w:before="0" w:after="0"/>
        <w:ind w:right="-62" w:hanging="0"/>
        <w:jc w:val="both"/>
        <w:rPr>
          <w:rFonts w:ascii="ITC Avant Garde" w:hAnsi="ITC Avant Garde" w:eastAsia="Times New Roman"/>
          <w:bCs/>
          <w:lang w:eastAsia="ar-SA"/>
        </w:rPr>
      </w:pPr>
      <w:r>
        <w:rPr>
          <w:rFonts w:eastAsia="Times New Roman" w:ascii="ITC Avant Garde" w:hAnsi="ITC Avant Garde"/>
          <w:lang w:val="es-ES" w:eastAsia="ar-SA"/>
        </w:rPr>
        <w:t xml:space="preserve">En caso de que no se reciba por parte de </w:t>
      </w:r>
      <w:r>
        <w:rPr>
          <w:rFonts w:ascii="ITC Avant Garde" w:hAnsi="ITC Avant Garde"/>
          <w:bCs/>
          <w:color w:val="000000" w:themeColor="text1"/>
          <w:lang w:eastAsia="es-MX"/>
        </w:rPr>
        <w:t xml:space="preserve">Roberto Casimiro González Treviño, </w:t>
      </w:r>
      <w:r>
        <w:rPr>
          <w:rFonts w:eastAsia="Times New Roman" w:ascii="ITC Avant Garde" w:hAnsi="ITC Avant Garde"/>
          <w:bCs/>
          <w:lang w:eastAsia="ar-SA"/>
        </w:rPr>
        <w:t>la aceptación referida, dentro del plazo establecido para tales efectos, la presente Resolución quedará sin efectos.</w:t>
      </w:r>
    </w:p>
    <w:p>
      <w:pPr>
        <w:pStyle w:val="Normal"/>
        <w:suppressAutoHyphens w:val="true"/>
        <w:spacing w:before="0" w:after="0"/>
        <w:ind w:right="-62" w:hanging="0"/>
        <w:jc w:val="both"/>
        <w:rPr>
          <w:rFonts w:ascii="ITC Avant Garde" w:hAnsi="ITC Avant Garde" w:eastAsia="Times New Roman"/>
          <w:lang w:val="es-ES" w:eastAsia="ar-SA"/>
        </w:rPr>
      </w:pPr>
      <w:r>
        <w:rPr>
          <w:rFonts w:eastAsia="Times New Roman" w:ascii="ITC Avant Garde" w:hAnsi="ITC Avant Garde"/>
          <w:lang w:val="es-ES" w:eastAsia="ar-SA"/>
        </w:rPr>
      </w:r>
    </w:p>
    <w:p>
      <w:pPr>
        <w:pStyle w:val="Normal"/>
        <w:suppressAutoHyphens w:val="true"/>
        <w:spacing w:before="0" w:after="0"/>
        <w:ind w:right="-62" w:hanging="0"/>
        <w:jc w:val="both"/>
        <w:rPr>
          <w:rFonts w:ascii="ITC Avant Garde" w:hAnsi="ITC Avant Garde" w:eastAsia="Times New Roman"/>
          <w:lang w:val="es-ES" w:eastAsia="ar-SA"/>
        </w:rPr>
      </w:pPr>
      <w:r>
        <w:rPr>
          <w:rFonts w:eastAsia="Times New Roman" w:ascii="ITC Avant Garde" w:hAnsi="ITC Avant Garde"/>
          <w:b/>
          <w:lang w:val="es-ES" w:eastAsia="ar-SA"/>
        </w:rPr>
        <w:t>CUARTO</w:t>
      </w:r>
      <w:r>
        <w:rPr>
          <w:rFonts w:eastAsia="Times New Roman" w:ascii="ITC Avant Garde" w:hAnsi="ITC Avant Garde"/>
          <w:lang w:val="es-ES" w:eastAsia="ar-SA"/>
        </w:rPr>
        <w:t xml:space="preserve">.- Una vez aceptadas las condiciones y términos de los títulos de concesión en los términos del Resolutivo Tercero, , </w:t>
      </w:r>
      <w:r>
        <w:rPr>
          <w:rFonts w:ascii="ITC Avant Garde" w:hAnsi="ITC Avant Garde"/>
          <w:bCs/>
          <w:color w:val="000000" w:themeColor="text1"/>
          <w:lang w:eastAsia="es-MX"/>
        </w:rPr>
        <w:t>Roberto Casimiro González Treviño,</w:t>
      </w:r>
      <w:r>
        <w:rPr>
          <w:rFonts w:eastAsia="Times New Roman" w:ascii="ITC Avant Garde" w:hAnsi="ITC Avant Garde"/>
          <w:bCs/>
          <w:lang w:eastAsia="ar-SA"/>
        </w:rPr>
        <w:t xml:space="preserve"> deberá exhibir el comprobante de pago del aprovechamiento autorizado por la Secretaría de Hacienda y Crédito Público, por un monto de </w:t>
      </w:r>
      <w:r>
        <w:rPr>
          <w:rFonts w:eastAsia="Times New Roman" w:ascii="ITC Avant Garde" w:hAnsi="ITC Avant Garde"/>
          <w:lang w:val="es-ES" w:eastAsia="ar-SA"/>
        </w:rPr>
        <w:t>$13’489,971.00 (trece millones cuatrocientos ochenta y nueve mil novecientos setenta y un pesos 00/100 M.N.), por concepto de contraprestación, situación que deberá realizar en un término de 30 (treinta) días hábiles posteriores al cumplimiento de lo establecido en el resolutivo anterior y bajo los extremos expuestos en el Considerando Octavo de la presente.</w:t>
      </w:r>
    </w:p>
    <w:p>
      <w:pPr>
        <w:pStyle w:val="Normal"/>
        <w:suppressAutoHyphens w:val="true"/>
        <w:spacing w:before="0" w:after="0"/>
        <w:ind w:right="-62" w:hanging="0"/>
        <w:jc w:val="both"/>
        <w:rPr>
          <w:rFonts w:ascii="ITC Avant Garde" w:hAnsi="ITC Avant Garde" w:eastAsia="Times New Roman"/>
          <w:lang w:val="es-ES" w:eastAsia="ar-SA"/>
        </w:rPr>
      </w:pPr>
      <w:r>
        <w:rPr>
          <w:rFonts w:eastAsia="Times New Roman" w:ascii="ITC Avant Garde" w:hAnsi="ITC Avant Garde"/>
          <w:lang w:val="es-ES" w:eastAsia="ar-SA"/>
        </w:rPr>
      </w:r>
    </w:p>
    <w:p>
      <w:pPr>
        <w:pStyle w:val="Normal"/>
        <w:suppressAutoHyphens w:val="true"/>
        <w:spacing w:before="0" w:after="0"/>
        <w:ind w:right="-62" w:hanging="0"/>
        <w:jc w:val="both"/>
        <w:rPr>
          <w:rFonts w:ascii="ITC Avant Garde" w:hAnsi="ITC Avant Garde" w:eastAsia="Times New Roman"/>
          <w:lang w:val="es-ES" w:eastAsia="ar-SA"/>
        </w:rPr>
      </w:pPr>
      <w:r>
        <w:rPr>
          <w:rFonts w:eastAsia="Times New Roman" w:ascii="ITC Avant Garde" w:hAnsi="ITC Avant Garde"/>
          <w:b/>
          <w:lang w:val="es-ES" w:eastAsia="ar-SA"/>
        </w:rPr>
        <w:t>QUINTO</w:t>
      </w:r>
      <w:r>
        <w:rPr>
          <w:rFonts w:eastAsia="Times New Roman" w:ascii="ITC Avant Garde" w:hAnsi="ITC Avant Garde"/>
          <w:lang w:val="es-ES" w:eastAsia="ar-SA"/>
        </w:rPr>
        <w:t xml:space="preserve">.- En caso de que </w:t>
      </w:r>
      <w:r>
        <w:rPr>
          <w:rFonts w:ascii="ITC Avant Garde" w:hAnsi="ITC Avant Garde"/>
          <w:bCs/>
          <w:color w:val="000000" w:themeColor="text1"/>
          <w:lang w:eastAsia="es-MX"/>
        </w:rPr>
        <w:t>Roberto Casimiro González Treviño,</w:t>
      </w:r>
      <w:r>
        <w:rPr>
          <w:rFonts w:eastAsia="Times New Roman" w:ascii="ITC Avant Garde" w:hAnsi="ITC Avant Garde"/>
          <w:bCs/>
          <w:lang w:eastAsia="ar-SA"/>
        </w:rPr>
        <w:t xml:space="preserve"> no dé cumplimiento a lo señalado en los Resolutivos Tercero y Cuarto, la presente Resolución quedará sin efectos y el </w:t>
      </w:r>
      <w:r>
        <w:rPr>
          <w:rFonts w:eastAsia="Times New Roman" w:ascii="ITC Avant Garde" w:hAnsi="ITC Avant Garde"/>
          <w:bCs/>
          <w:lang w:val="es-ES" w:eastAsia="ar-SA"/>
        </w:rPr>
        <w:t>canal (banda de frecuencias)</w:t>
      </w:r>
      <w:r>
        <w:rPr>
          <w:rFonts w:eastAsia="Times New Roman" w:ascii="ITC Avant Garde" w:hAnsi="ITC Avant Garde"/>
          <w:bCs/>
          <w:lang w:eastAsia="ar-SA"/>
        </w:rPr>
        <w:t xml:space="preserve"> que le fue asignado revertirá a favor de la Nación, sin perjuicio </w:t>
      </w:r>
      <w:r>
        <w:rPr>
          <w:rFonts w:ascii="ITC Avant Garde" w:hAnsi="ITC Avant Garde"/>
          <w:lang w:eastAsia="ar-SA"/>
        </w:rPr>
        <w:t xml:space="preserve">de las obligaciones por el uso, explotación y aprovechamiento del espectro radioeléctrico y con independencia </w:t>
      </w:r>
      <w:r>
        <w:rPr>
          <w:rFonts w:eastAsia="Times New Roman" w:ascii="ITC Avant Garde" w:hAnsi="ITC Avant Garde"/>
          <w:bCs/>
          <w:lang w:eastAsia="ar-SA"/>
        </w:rPr>
        <w:t>de que el Instituto Federal de Telecomunicaciones pueda ejercer las atribuciones de verificación, supervisión y, en su caso, sanción que correspondan.</w:t>
      </w:r>
    </w:p>
    <w:p>
      <w:pPr>
        <w:pStyle w:val="Normal"/>
        <w:suppressAutoHyphens w:val="true"/>
        <w:spacing w:before="0" w:after="0"/>
        <w:ind w:right="-62" w:hanging="0"/>
        <w:jc w:val="both"/>
        <w:rPr>
          <w:rFonts w:ascii="ITC Avant Garde" w:hAnsi="ITC Avant Garde" w:eastAsia="Times New Roman"/>
          <w:lang w:val="es-ES" w:eastAsia="ar-SA"/>
        </w:rPr>
      </w:pPr>
      <w:r>
        <w:rPr>
          <w:rFonts w:eastAsia="Times New Roman" w:ascii="ITC Avant Garde" w:hAnsi="ITC Avant Garde"/>
          <w:lang w:val="es-ES" w:eastAsia="ar-SA"/>
        </w:rPr>
      </w:r>
    </w:p>
    <w:p>
      <w:pPr>
        <w:pStyle w:val="Normal"/>
        <w:suppressAutoHyphens w:val="true"/>
        <w:spacing w:before="0" w:after="0"/>
        <w:ind w:right="-62" w:hanging="0"/>
        <w:jc w:val="both"/>
        <w:rPr>
          <w:rFonts w:ascii="ITC Avant Garde" w:hAnsi="ITC Avant Garde" w:eastAsia="Times New Roman"/>
          <w:lang w:val="es-ES" w:eastAsia="ar-SA"/>
        </w:rPr>
      </w:pPr>
      <w:r>
        <w:rPr>
          <w:rFonts w:eastAsia="Times New Roman" w:ascii="ITC Avant Garde" w:hAnsi="ITC Avant Garde"/>
          <w:b/>
          <w:lang w:val="es-ES" w:eastAsia="ar-SA"/>
        </w:rPr>
        <w:t>SEXTO</w:t>
      </w:r>
      <w:r>
        <w:rPr>
          <w:rFonts w:eastAsia="Times New Roman" w:ascii="ITC Avant Garde" w:hAnsi="ITC Avant Garde"/>
          <w:lang w:val="es-ES" w:eastAsia="ar-SA"/>
        </w:rPr>
        <w:t>.- Una vez satisfecho lo establecido en los Resolutivos Tercero y Cuarto, el</w:t>
      </w:r>
      <w:r>
        <w:rPr>
          <w:rFonts w:eastAsia="Times New Roman" w:ascii="ITC Avant Garde" w:hAnsi="ITC Avant Garde"/>
          <w:bCs/>
          <w:lang w:eastAsia="ar-SA"/>
        </w:rPr>
        <w:t xml:space="preserve"> Comisionado Presidente del Instituto, con base en las facultades que le confiere el artículo 14 fracción X del </w:t>
      </w:r>
      <w:r>
        <w:rPr>
          <w:rFonts w:eastAsia="Times New Roman" w:ascii="ITC Avant Garde" w:hAnsi="ITC Avant Garde"/>
          <w:lang w:eastAsia="es-ES"/>
        </w:rPr>
        <w:t>Estatuto Orgánico del Instituto Federal de Telecomunicaciones</w:t>
      </w:r>
      <w:r>
        <w:rPr>
          <w:rFonts w:eastAsia="Times New Roman" w:ascii="ITC Avant Garde" w:hAnsi="ITC Avant Garde"/>
          <w:bCs/>
          <w:lang w:eastAsia="ar-SA"/>
        </w:rPr>
        <w:t xml:space="preserve">, suscribirá los títulos de Concesión </w:t>
      </w:r>
      <w:r>
        <w:rPr>
          <w:rFonts w:eastAsia="Times New Roman" w:ascii="ITC Avant Garde" w:hAnsi="ITC Avant Garde"/>
          <w:lang w:val="en-US" w:eastAsia="es-ES"/>
        </w:rPr>
        <w:t>para usar, aprovechar y explotar bandas de frecuencia del espectro radioeléctrico para uso comercial</w:t>
      </w:r>
      <w:r>
        <w:rPr>
          <w:rFonts w:ascii="ITC Avant Garde" w:hAnsi="ITC Avant Garde"/>
          <w:bCs/>
          <w:color w:val="000000" w:themeColor="text1"/>
          <w:lang w:eastAsia="es-MX"/>
        </w:rPr>
        <w:t xml:space="preserve"> y el título de </w:t>
      </w:r>
      <w:r>
        <w:rPr>
          <w:rFonts w:eastAsia="Times New Roman" w:ascii="ITC Avant Garde" w:hAnsi="ITC Avant Garde"/>
          <w:bCs/>
          <w:lang w:val="es-ES" w:eastAsia="ar-SA"/>
        </w:rPr>
        <w:t>Concesión</w:t>
      </w:r>
      <w:r>
        <w:rPr>
          <w:rFonts w:ascii="ITC Avant Garde" w:hAnsi="ITC Avant Garde"/>
          <w:bCs/>
          <w:color w:val="000000" w:themeColor="text1"/>
          <w:lang w:eastAsia="es-MX"/>
        </w:rPr>
        <w:t xml:space="preserve"> que autoriza </w:t>
      </w:r>
      <w:r>
        <w:rPr>
          <w:rFonts w:ascii="ITC Avant Garde" w:hAnsi="ITC Avant Garde"/>
          <w:bCs/>
          <w:color w:val="000000"/>
        </w:rPr>
        <w:t>la prestación del servicio público de televisión radiodifundida para uso comercial</w:t>
      </w:r>
      <w:r>
        <w:rPr>
          <w:rFonts w:eastAsia="Times New Roman" w:ascii="ITC Avant Garde" w:hAnsi="ITC Avant Garde"/>
          <w:bCs/>
          <w:lang w:eastAsia="ar-SA"/>
        </w:rPr>
        <w:t>, que se otorguen con motivo de la presente Resolución.</w:t>
      </w:r>
    </w:p>
    <w:p>
      <w:pPr>
        <w:pStyle w:val="Normal"/>
        <w:suppressAutoHyphens w:val="true"/>
        <w:spacing w:before="0" w:after="0"/>
        <w:ind w:right="-62" w:hanging="0"/>
        <w:jc w:val="both"/>
        <w:rPr>
          <w:rFonts w:ascii="ITC Avant Garde" w:hAnsi="ITC Avant Garde" w:eastAsia="Times New Roman"/>
          <w:bCs/>
          <w:lang w:eastAsia="ar-SA"/>
        </w:rPr>
      </w:pPr>
      <w:r>
        <w:rPr>
          <w:rFonts w:eastAsia="Times New Roman" w:ascii="ITC Avant Garde" w:hAnsi="ITC Avant Garde"/>
          <w:bCs/>
          <w:lang w:eastAsia="ar-SA"/>
        </w:rPr>
      </w:r>
    </w:p>
    <w:p>
      <w:pPr>
        <w:pStyle w:val="Normal"/>
        <w:suppressAutoHyphens w:val="true"/>
        <w:spacing w:before="0" w:after="0"/>
        <w:ind w:right="-62" w:hanging="0"/>
        <w:jc w:val="both"/>
        <w:rPr>
          <w:rFonts w:ascii="ITC Avant Garde" w:hAnsi="ITC Avant Garde" w:eastAsia="Times New Roman"/>
          <w:bCs/>
          <w:lang w:eastAsia="ar-SA"/>
        </w:rPr>
      </w:pPr>
      <w:r>
        <w:rPr>
          <w:rFonts w:eastAsia="Times New Roman" w:ascii="ITC Avant Garde" w:hAnsi="ITC Avant Garde"/>
          <w:b/>
          <w:bCs/>
          <w:lang w:eastAsia="ar-SA"/>
        </w:rPr>
        <w:t>SÉPTIMO</w:t>
      </w:r>
      <w:r>
        <w:rPr>
          <w:rFonts w:eastAsia="Times New Roman" w:ascii="ITC Avant Garde" w:hAnsi="ITC Avant Garde"/>
          <w:bCs/>
          <w:lang w:eastAsia="ar-SA"/>
        </w:rPr>
        <w:t xml:space="preserve">.- Se instruye a la Unidad de Concesiones y Servicios a realizar la entrega del título de </w:t>
      </w:r>
      <w:r>
        <w:rPr>
          <w:rFonts w:ascii="ITC Avant Garde" w:hAnsi="ITC Avant Garde"/>
          <w:bCs/>
          <w:color w:val="000000" w:themeColor="text1"/>
          <w:lang w:eastAsia="es-MX"/>
        </w:rPr>
        <w:t xml:space="preserve">Concesión </w:t>
      </w:r>
      <w:r>
        <w:rPr>
          <w:rFonts w:eastAsia="Times New Roman" w:ascii="ITC Avant Garde" w:hAnsi="ITC Avant Garde"/>
          <w:lang w:val="en-US" w:eastAsia="es-ES"/>
        </w:rPr>
        <w:t>para usar, aprovechar y explotar bandas de frecuencia del espectro radioeléctrico</w:t>
      </w:r>
      <w:r>
        <w:rPr>
          <w:rFonts w:ascii="ITC Avant Garde" w:hAnsi="ITC Avant Garde"/>
          <w:bCs/>
          <w:color w:val="000000" w:themeColor="text1"/>
          <w:lang w:eastAsia="es-MX"/>
        </w:rPr>
        <w:t xml:space="preserve"> y del título de </w:t>
      </w:r>
      <w:r>
        <w:rPr>
          <w:rFonts w:eastAsia="Times New Roman" w:ascii="ITC Avant Garde" w:hAnsi="ITC Avant Garde"/>
          <w:bCs/>
          <w:lang w:val="es-ES" w:eastAsia="ar-SA"/>
        </w:rPr>
        <w:t>Concesión</w:t>
      </w:r>
      <w:r>
        <w:rPr>
          <w:rFonts w:ascii="ITC Avant Garde" w:hAnsi="ITC Avant Garde"/>
          <w:bCs/>
          <w:color w:val="000000" w:themeColor="text1"/>
          <w:lang w:eastAsia="es-MX"/>
        </w:rPr>
        <w:t xml:space="preserve"> que autoriza </w:t>
      </w:r>
      <w:r>
        <w:rPr>
          <w:rFonts w:ascii="ITC Avant Garde" w:hAnsi="ITC Avant Garde"/>
          <w:bCs/>
          <w:color w:val="000000"/>
        </w:rPr>
        <w:t>la prestación del servicio público de televisión radiodifundida para uso comercial</w:t>
      </w:r>
      <w:r>
        <w:rPr>
          <w:rFonts w:eastAsia="Times New Roman" w:ascii="ITC Avant Garde" w:hAnsi="ITC Avant Garde"/>
          <w:bCs/>
          <w:lang w:eastAsia="ar-SA"/>
        </w:rPr>
        <w:t>, previo pago de los derechos a que se refiere el artículo 125 fracción VI de la Ley Federal de Derechos, respecto a la expedición del título de concesión del espectro radioeléctrico.</w:t>
      </w:r>
    </w:p>
    <w:p>
      <w:pPr>
        <w:pStyle w:val="Normal"/>
        <w:suppressAutoHyphens w:val="true"/>
        <w:spacing w:before="0" w:after="0"/>
        <w:ind w:right="-62" w:hanging="0"/>
        <w:jc w:val="both"/>
        <w:rPr>
          <w:rFonts w:ascii="ITC Avant Garde" w:hAnsi="ITC Avant Garde" w:eastAsia="Times New Roman"/>
          <w:bCs/>
          <w:lang w:eastAsia="ar-SA"/>
        </w:rPr>
      </w:pPr>
      <w:r>
        <w:rPr>
          <w:rFonts w:eastAsia="Times New Roman" w:ascii="ITC Avant Garde" w:hAnsi="ITC Avant Garde"/>
          <w:bCs/>
          <w:lang w:eastAsia="ar-SA"/>
        </w:rPr>
      </w:r>
    </w:p>
    <w:p>
      <w:pPr>
        <w:pStyle w:val="Normal"/>
        <w:suppressAutoHyphens w:val="true"/>
        <w:spacing w:before="0" w:after="0"/>
        <w:ind w:right="-62" w:hanging="0"/>
        <w:jc w:val="both"/>
        <w:rPr>
          <w:rFonts w:ascii="ITC Avant Garde" w:hAnsi="ITC Avant Garde" w:eastAsia="Times New Roman"/>
          <w:bCs/>
          <w:lang w:val="en-US" w:eastAsia="ar-SA"/>
        </w:rPr>
      </w:pPr>
      <w:r>
        <w:rPr>
          <w:rFonts w:eastAsia="Times New Roman" w:ascii="ITC Avant Garde" w:hAnsi="ITC Avant Garde"/>
          <w:b/>
          <w:bCs/>
          <w:lang w:eastAsia="ar-SA"/>
        </w:rPr>
        <w:t>OCTAVO.-</w:t>
      </w:r>
      <w:r>
        <w:rPr>
          <w:rFonts w:eastAsia="Times New Roman" w:ascii="ITC Avant Garde" w:hAnsi="ITC Avant Garde"/>
          <w:bCs/>
          <w:lang w:eastAsia="ar-SA"/>
        </w:rPr>
        <w:t xml:space="preserve"> </w:t>
      </w:r>
      <w:r>
        <w:rPr>
          <w:rFonts w:eastAsia="Times New Roman" w:ascii="ITC Avant Garde" w:hAnsi="ITC Avant Garde"/>
          <w:bCs/>
          <w:lang w:val="en-US" w:eastAsia="ar-SA"/>
        </w:rPr>
        <w:t xml:space="preserve">Inscríbanse en el Registro Público de Concesiones el </w:t>
      </w:r>
      <w:r>
        <w:rPr>
          <w:rFonts w:eastAsia="Times New Roman" w:ascii="ITC Avant Garde" w:hAnsi="ITC Avant Garde"/>
          <w:bCs/>
          <w:lang w:eastAsia="ar-SA"/>
        </w:rPr>
        <w:t xml:space="preserve">título de </w:t>
      </w:r>
      <w:r>
        <w:rPr>
          <w:rFonts w:eastAsia="Times New Roman" w:ascii="ITC Avant Garde" w:hAnsi="ITC Avant Garde"/>
          <w:bCs/>
          <w:lang w:val="es-ES" w:eastAsia="ar-SA"/>
        </w:rPr>
        <w:t>Concesión</w:t>
      </w:r>
      <w:r>
        <w:rPr>
          <w:rFonts w:eastAsia="Times New Roman" w:ascii="ITC Avant Garde" w:hAnsi="ITC Avant Garde"/>
          <w:bCs/>
          <w:lang w:eastAsia="ar-SA"/>
        </w:rPr>
        <w:t xml:space="preserve"> que autoriza la prestación del servicio público de televisión radiodifundida para uso comercial</w:t>
      </w:r>
      <w:r>
        <w:rPr>
          <w:rFonts w:eastAsia="Times New Roman" w:ascii="ITC Avant Garde" w:hAnsi="ITC Avant Garde"/>
          <w:bCs/>
          <w:lang w:val="en-US" w:eastAsia="ar-SA"/>
        </w:rPr>
        <w:t xml:space="preserve">, así como el título de concesión para usar, aprovechar y explotar bandas de frecuencias del espectro radioeléctrico para uso comercial a que se refiere la presente Resolución, una vez que sean debidamente notificados y entregados al interesado. </w:t>
      </w:r>
    </w:p>
    <w:p>
      <w:pPr>
        <w:pStyle w:val="Normal"/>
        <w:spacing w:lineRule="auto" w:line="240" w:before="0" w:after="0"/>
        <w:ind w:right="44" w:hanging="0"/>
        <w:jc w:val="both"/>
        <w:rPr>
          <w:rFonts w:ascii="ITC Avant Garde" w:hAnsi="ITC Avant Garde"/>
          <w:b/>
          <w:b/>
          <w:bCs/>
        </w:rPr>
      </w:pPr>
      <w:r>
        <w:rPr>
          <w:rFonts w:ascii="ITC Avant Garde" w:hAnsi="ITC Avant Garde"/>
          <w:b/>
          <w:bCs/>
        </w:rPr>
      </w:r>
    </w:p>
    <w:p>
      <w:pPr>
        <w:pStyle w:val="NoSpacing"/>
        <w:jc w:val="both"/>
        <w:rPr>
          <w:rFonts w:ascii="ITC Avant Garde" w:hAnsi="ITC Avant Garde"/>
          <w:color w:val="000000"/>
          <w:sz w:val="14"/>
          <w:szCs w:val="14"/>
        </w:rPr>
      </w:pPr>
      <w:r>
        <w:rPr>
          <w:rFonts w:ascii="ITC Avant Garde" w:hAnsi="ITC Avant Garde"/>
          <w:color w:val="000000"/>
          <w:sz w:val="14"/>
          <w:szCs w:val="14"/>
        </w:rPr>
        <w:t>La presente Resolución fue aprobada por el Pleno del Instituto Federal de Telecomunicaciones en su XXVIII Sesión Ordinaria celebrada el 11 de diciembre de 2015, en lo general por mayoría de votos de los Comisionados presentes Gabriel Oswaldo Contreras Saldívar, Ernesto Estrada González, Adriana Sofía Labardini Inzunza, María Elena Estavillo Flores quien manifiesta voto concurrente, Mario Germán Fromow Rangel y Adolfo Cuevas Teja quien manifiesta voto particular; y con el voto en contra del Comisionado Luis Fernando Borjón Figueroa.</w:t>
      </w:r>
    </w:p>
    <w:p>
      <w:pPr>
        <w:pStyle w:val="Normal"/>
        <w:spacing w:lineRule="auto" w:line="240"/>
        <w:jc w:val="both"/>
        <w:rPr>
          <w:rFonts w:ascii="ITC Avant Garde" w:hAnsi="ITC Avant Garde"/>
          <w:iCs/>
          <w:sz w:val="14"/>
          <w:szCs w:val="14"/>
        </w:rPr>
      </w:pPr>
      <w:r>
        <w:rPr>
          <w:rFonts w:ascii="ITC Avant Garde" w:hAnsi="ITC Avant Garde"/>
          <w:iCs/>
          <w:sz w:val="14"/>
          <w:szCs w:val="14"/>
        </w:rPr>
        <w:t>El Comisionado Adolfo Cuevas Teja manifestó voto concurrente en cuanto a la procedencia de la solicitud de prórroga y el otorgamiento de la concesión de espectro y del título habilitante, pero sin compartir la fundamentación con base en la Ley Federal de Telecomunicaciones, excepto lo expresamente autorizado por la Corte;  a favor en lo general del  Resolutivo Segundo, incluido el otorgamiento de una concesión de espectro así como de un título habilitante, pero en contra de que éste sea un título de concesión innominado, pues debía ser una concesión única.</w:t>
      </w:r>
    </w:p>
    <w:p>
      <w:pPr>
        <w:pStyle w:val="Normal"/>
        <w:spacing w:lineRule="auto" w:line="240" w:before="0" w:after="200"/>
        <w:jc w:val="both"/>
        <w:rPr/>
      </w:pPr>
      <w:r>
        <w:rPr>
          <w:rFonts w:ascii="ITC Avant Garde" w:hAnsi="ITC Avant Garde"/>
          <w:iCs/>
          <w:sz w:val="14"/>
          <w:szCs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P/IFT/111215/577.</w:t>
      </w:r>
    </w:p>
    <w:sectPr>
      <w:headerReference w:type="default" r:id="rId2"/>
      <w:footerReference w:type="default" r:id="rId3"/>
      <w:footnotePr>
        <w:numFmt w:val="decimal"/>
      </w:footnotePr>
      <w:type w:val="nextPage"/>
      <w:pgSz w:w="12240" w:h="15840"/>
      <w:pgMar w:left="1418" w:right="1418" w:header="709" w:top="2127" w:footer="709" w:bottom="76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Segoe UI">
    <w:charset w:val="01"/>
    <w:family w:val="roman"/>
    <w:pitch w:val="variable"/>
  </w:font>
  <w:font w:name="ITC Avant Garde">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sdt>
    <w:sdtPr>
      <w:docPartObj>
        <w:docPartGallery w:val="Page Numbers (Bottom of Page)"/>
        <w:docPartUnique w:val="true"/>
      </w:docPartObj>
      <w:id w:val="1701577273"/>
    </w:sdtPr>
    <w:sdtContent>
      <w:p>
        <w:pPr>
          <w:pStyle w:val="Footer"/>
          <w:jc w:val="center"/>
          <w:rPr/>
        </w:pPr>
        <w:r>
          <w:rPr>
            <w:rFonts w:ascii="ITC Avant Garde" w:hAnsi="ITC Avant Garde"/>
            <w:sz w:val="20"/>
          </w:rPr>
          <w:fldChar w:fldCharType="begin"/>
        </w:r>
        <w:r>
          <w:instrText> PAGE </w:instrText>
        </w:r>
        <w:r>
          <w:fldChar w:fldCharType="separate"/>
        </w:r>
        <w:r>
          <w:t>20</w:t>
        </w:r>
        <w: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jc w:val="both"/>
        <w:rPr/>
      </w:pPr>
      <w:r>
        <w:rPr>
          <w:rStyle w:val="Footnotereference"/>
        </w:rPr>
        <w:footnoteRef/>
        <w:tab/>
      </w:r>
      <w:r>
        <w:rPr/>
        <w:t xml:space="preserve"> </w:t>
      </w:r>
      <w:r>
        <w:rPr>
          <w:rFonts w:ascii="ITC Avant Garde" w:hAnsi="ITC Avant Garde"/>
          <w:sz w:val="18"/>
          <w:szCs w:val="18"/>
        </w:rPr>
        <w:t>Dicho precepto establece que para los casos en que el agente económico preponderante opte por transitar a la concesión única, deberá estar en cumplimiento efectivo de las medidas expedidas por el Instituto, cuando menos durante 18 (dieciocho) meses en forma continua.</w:t>
      </w:r>
    </w:p>
  </w:footnote>
  <w:footnote w:id="3">
    <w:p>
      <w:pPr>
        <w:pStyle w:val="Footnotetext"/>
        <w:rPr/>
      </w:pPr>
      <w:r>
        <w:rPr>
          <w:rStyle w:val="Footnotereference"/>
          <w:rFonts w:ascii="ITC Avant Garde" w:hAnsi="ITC Avant Garde"/>
          <w:sz w:val="18"/>
          <w:szCs w:val="18"/>
        </w:rPr>
        <w:footnoteRef/>
        <w:tab/>
      </w:r>
      <w:r>
        <w:rPr>
          <w:rFonts w:ascii="ITC Avant Garde" w:hAnsi="ITC Avant Garde"/>
          <w:sz w:val="18"/>
          <w:szCs w:val="18"/>
        </w:rPr>
        <w:t xml:space="preserve"> </w:t>
      </w:r>
      <w:r>
        <w:rPr>
          <w:rFonts w:ascii="ITC Avant Garde" w:hAnsi="ITC Avant Garde"/>
          <w:sz w:val="18"/>
          <w:szCs w:val="18"/>
        </w:rPr>
        <w:t>http://lema.rae.es/drae/?val=otorgamiento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2">
    <w:lvl w:ilvl="0">
      <w:start w:val="1"/>
      <w:numFmt w:val="lowerLetter"/>
      <w:lvlText w:val="%1)"/>
      <w:lvlJc w:val="left"/>
      <w:pPr>
        <w:ind w:left="644" w:hanging="360"/>
      </w:pPr>
      <w:rPr>
        <w:sz w:val="22"/>
        <w:b/>
        <w:rFonts w:ascii="ITC Avant Garde" w:hAnsi="ITC Avant Garde"/>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3ca8"/>
    <w:pPr>
      <w:widowControl/>
      <w:bidi w:val="0"/>
      <w:spacing w:lineRule="auto" w:line="276" w:before="0" w:after="200"/>
      <w:jc w:val="left"/>
    </w:pPr>
    <w:rPr>
      <w:rFonts w:ascii="Calibri" w:hAnsi="Calibri" w:eastAsia="Calibri" w:cs="Times New Roman" w:asciiTheme="minorHAnsi" w:eastAsiaTheme="minorHAnsi" w:hAnsiTheme="minorHAnsi"/>
      <w:color w:val="auto"/>
      <w:sz w:val="22"/>
      <w:szCs w:val="22"/>
      <w:lang w:val="es-MX" w:eastAsia="en-US" w:bidi="ar-SA"/>
    </w:rPr>
  </w:style>
  <w:style w:type="paragraph" w:styleId="Heading1">
    <w:name w:val="Heading 1"/>
    <w:basedOn w:val="Normal"/>
    <w:next w:val="Normal"/>
    <w:link w:val="Ttulo1Car"/>
    <w:uiPriority w:val="9"/>
    <w:qFormat/>
    <w:rsid w:val="003213d6"/>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3213d6"/>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a53ca8"/>
    <w:rPr>
      <w:rFonts w:ascii="Calibri" w:hAnsi="Calibri" w:eastAsia="Calibri" w:cs="Times New Roman"/>
    </w:rPr>
  </w:style>
  <w:style w:type="character" w:styleId="PiedepginaCar" w:customStyle="1">
    <w:name w:val="Pie de página Car"/>
    <w:basedOn w:val="DefaultParagraphFont"/>
    <w:link w:val="Piedepgina"/>
    <w:uiPriority w:val="99"/>
    <w:qFormat/>
    <w:rsid w:val="00a53ca8"/>
    <w:rPr>
      <w:rFonts w:ascii="Calibri" w:hAnsi="Calibri" w:eastAsia="Calibri" w:cs="Times New Roman"/>
    </w:rPr>
  </w:style>
  <w:style w:type="character" w:styleId="PrrafodelistaCar" w:customStyle="1">
    <w:name w:val="Párrafo de lista Car"/>
    <w:link w:val="Prrafodelista"/>
    <w:uiPriority w:val="34"/>
    <w:qFormat/>
    <w:locked/>
    <w:rsid w:val="00a53ca8"/>
    <w:rPr>
      <w:rFonts w:ascii="Arial" w:hAnsi="Arial" w:eastAsia="Times New Roman" w:cs="Times New Roman"/>
      <w:sz w:val="24"/>
      <w:szCs w:val="20"/>
    </w:rPr>
  </w:style>
  <w:style w:type="character" w:styleId="Annotationreference">
    <w:name w:val="annotation reference"/>
    <w:basedOn w:val="DefaultParagraphFont"/>
    <w:uiPriority w:val="99"/>
    <w:semiHidden/>
    <w:unhideWhenUsed/>
    <w:qFormat/>
    <w:rsid w:val="00a53ca8"/>
    <w:rPr>
      <w:sz w:val="16"/>
      <w:szCs w:val="16"/>
    </w:rPr>
  </w:style>
  <w:style w:type="character" w:styleId="TextocomentarioCar" w:customStyle="1">
    <w:name w:val="Texto comentario Car"/>
    <w:basedOn w:val="DefaultParagraphFont"/>
    <w:link w:val="Textocomentario"/>
    <w:uiPriority w:val="99"/>
    <w:semiHidden/>
    <w:qFormat/>
    <w:rsid w:val="00a53ca8"/>
    <w:rPr>
      <w:rFonts w:ascii="Calibri" w:hAnsi="Calibri" w:eastAsia="Calibri" w:cs="Times New Roman"/>
      <w:sz w:val="20"/>
      <w:szCs w:val="20"/>
    </w:rPr>
  </w:style>
  <w:style w:type="character" w:styleId="TextodegloboCar" w:customStyle="1">
    <w:name w:val="Texto de globo Car"/>
    <w:basedOn w:val="DefaultParagraphFont"/>
    <w:link w:val="Textodeglobo"/>
    <w:uiPriority w:val="99"/>
    <w:semiHidden/>
    <w:qFormat/>
    <w:rsid w:val="00a53ca8"/>
    <w:rPr>
      <w:rFonts w:ascii="Segoe UI" w:hAnsi="Segoe UI" w:eastAsia="Calibri" w:cs="Segoe UI"/>
      <w:sz w:val="18"/>
      <w:szCs w:val="18"/>
    </w:rPr>
  </w:style>
  <w:style w:type="character" w:styleId="AsuntodelcomentarioCar" w:customStyle="1">
    <w:name w:val="Asunto del comentario Car"/>
    <w:basedOn w:val="TextocomentarioCar"/>
    <w:link w:val="Asuntodelcomentario"/>
    <w:uiPriority w:val="99"/>
    <w:semiHidden/>
    <w:qFormat/>
    <w:rsid w:val="00a53ca8"/>
    <w:rPr>
      <w:rFonts w:ascii="Calibri" w:hAnsi="Calibri" w:eastAsia="Calibri" w:cs="Times New Roman"/>
      <w:b/>
      <w:bCs/>
      <w:sz w:val="20"/>
      <w:szCs w:val="20"/>
    </w:rPr>
  </w:style>
  <w:style w:type="character" w:styleId="TextoindependienteCar" w:customStyle="1">
    <w:name w:val="Texto independiente Car"/>
    <w:basedOn w:val="DefaultParagraphFont"/>
    <w:link w:val="Textoindependiente"/>
    <w:uiPriority w:val="99"/>
    <w:semiHidden/>
    <w:qFormat/>
    <w:rsid w:val="00a53ca8"/>
    <w:rPr>
      <w:rFonts w:ascii="Calibri" w:hAnsi="Calibri" w:eastAsia="Calibri" w:cs="Times New Roman"/>
    </w:rPr>
  </w:style>
  <w:style w:type="character" w:styleId="TextonotapieCar" w:customStyle="1">
    <w:name w:val="Texto nota pie Car"/>
    <w:basedOn w:val="DefaultParagraphFont"/>
    <w:link w:val="Textonotapie"/>
    <w:uiPriority w:val="99"/>
    <w:semiHidden/>
    <w:qFormat/>
    <w:rsid w:val="00a53ca8"/>
    <w:rPr>
      <w:rFonts w:ascii="Calibri" w:hAnsi="Calibri" w:eastAsia="Calibri" w:cs="Times New Roman"/>
      <w:sz w:val="20"/>
      <w:szCs w:val="20"/>
    </w:rPr>
  </w:style>
  <w:style w:type="character" w:styleId="Footnotereference">
    <w:name w:val="footnote reference"/>
    <w:basedOn w:val="DefaultParagraphFont"/>
    <w:uiPriority w:val="99"/>
    <w:unhideWhenUsed/>
    <w:qFormat/>
    <w:rsid w:val="00a53ca8"/>
    <w:rPr>
      <w:vertAlign w:val="superscript"/>
    </w:rPr>
  </w:style>
  <w:style w:type="character" w:styleId="InternetLink">
    <w:name w:val="Internet Link"/>
    <w:basedOn w:val="DefaultParagraphFont"/>
    <w:uiPriority w:val="99"/>
    <w:unhideWhenUsed/>
    <w:rsid w:val="00a53ca8"/>
    <w:rPr>
      <w:color w:val="0563C1" w:themeColor="hyperlink"/>
      <w:u w:val="single"/>
    </w:rPr>
  </w:style>
  <w:style w:type="character" w:styleId="TextoCar" w:customStyle="1">
    <w:name w:val="Texto Car"/>
    <w:link w:val="Texto"/>
    <w:qFormat/>
    <w:locked/>
    <w:rsid w:val="00a53ca8"/>
    <w:rPr>
      <w:rFonts w:ascii="Arial" w:hAnsi="Arial" w:eastAsia="Times New Roman" w:cs="Arial"/>
      <w:sz w:val="18"/>
      <w:szCs w:val="20"/>
      <w:lang w:val="es-ES" w:eastAsia="es-ES"/>
    </w:rPr>
  </w:style>
  <w:style w:type="character" w:styleId="Ttulo1Car" w:customStyle="1">
    <w:name w:val="Título 1 Car"/>
    <w:basedOn w:val="DefaultParagraphFont"/>
    <w:link w:val="Ttulo1"/>
    <w:uiPriority w:val="9"/>
    <w:qFormat/>
    <w:rsid w:val="003213d6"/>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3213d6"/>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ITC Avant Garde" w:hAnsi="ITC Avant Garde"/>
      <w:b/>
      <w:sz w:val="22"/>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link w:val="TextoindependienteCar"/>
    <w:uiPriority w:val="99"/>
    <w:semiHidden/>
    <w:unhideWhenUsed/>
    <w:rsid w:val="00a53ca8"/>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cabezadoCar"/>
    <w:unhideWhenUsed/>
    <w:rsid w:val="00a53ca8"/>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a53ca8"/>
    <w:pPr>
      <w:tabs>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53ca8"/>
    <w:pPr>
      <w:spacing w:lineRule="auto" w:line="240" w:before="0" w:after="0"/>
      <w:ind w:left="708" w:hanging="0"/>
    </w:pPr>
    <w:rPr>
      <w:rFonts w:ascii="Arial" w:hAnsi="Arial" w:eastAsia="Times New Roman"/>
      <w:sz w:val="24"/>
      <w:szCs w:val="20"/>
    </w:rPr>
  </w:style>
  <w:style w:type="paragraph" w:styleId="Estilo30" w:customStyle="1">
    <w:name w:val="estilo30"/>
    <w:basedOn w:val="Normal"/>
    <w:qFormat/>
    <w:rsid w:val="00a53ca8"/>
    <w:pPr>
      <w:spacing w:lineRule="auto" w:line="240" w:beforeAutospacing="1" w:afterAutospacing="1"/>
    </w:pPr>
    <w:rPr>
      <w:rFonts w:ascii="Times New Roman" w:hAnsi="Times New Roman" w:eastAsia="Times New Roman"/>
      <w:sz w:val="24"/>
      <w:szCs w:val="24"/>
      <w:lang w:eastAsia="es-MX"/>
    </w:rPr>
  </w:style>
  <w:style w:type="paragraph" w:styleId="Annotationtext">
    <w:name w:val="annotation text"/>
    <w:basedOn w:val="Normal"/>
    <w:link w:val="TextocomentarioCar"/>
    <w:uiPriority w:val="99"/>
    <w:semiHidden/>
    <w:unhideWhenUsed/>
    <w:qFormat/>
    <w:rsid w:val="00a53ca8"/>
    <w:pPr>
      <w:spacing w:lineRule="auto" w:line="240"/>
    </w:pPr>
    <w:rPr>
      <w:sz w:val="20"/>
      <w:szCs w:val="20"/>
    </w:rPr>
  </w:style>
  <w:style w:type="paragraph" w:styleId="BalloonText">
    <w:name w:val="Balloon Text"/>
    <w:basedOn w:val="Normal"/>
    <w:link w:val="TextodegloboCar"/>
    <w:uiPriority w:val="99"/>
    <w:semiHidden/>
    <w:unhideWhenUsed/>
    <w:qFormat/>
    <w:rsid w:val="00a53ca8"/>
    <w:pPr>
      <w:spacing w:lineRule="auto" w:line="240" w:before="0" w:after="0"/>
    </w:pPr>
    <w:rPr>
      <w:rFonts w:ascii="Segoe UI" w:hAnsi="Segoe UI" w:cs="Segoe UI"/>
      <w:sz w:val="18"/>
      <w:szCs w:val="18"/>
    </w:rPr>
  </w:style>
  <w:style w:type="paragraph" w:styleId="Annotationsubject">
    <w:name w:val="annotation subject"/>
    <w:basedOn w:val="Annotationtext"/>
    <w:link w:val="AsuntodelcomentarioCar"/>
    <w:uiPriority w:val="99"/>
    <w:semiHidden/>
    <w:unhideWhenUsed/>
    <w:qFormat/>
    <w:rsid w:val="00a53ca8"/>
    <w:pPr/>
    <w:rPr>
      <w:b/>
      <w:bCs/>
    </w:rPr>
  </w:style>
  <w:style w:type="paragraph" w:styleId="Footnotetext">
    <w:name w:val="footnote text"/>
    <w:basedOn w:val="Normal"/>
    <w:link w:val="TextonotapieCar"/>
    <w:uiPriority w:val="99"/>
    <w:semiHidden/>
    <w:unhideWhenUsed/>
    <w:qFormat/>
    <w:rsid w:val="00a53ca8"/>
    <w:pPr>
      <w:spacing w:lineRule="auto" w:line="240" w:before="0" w:after="0"/>
    </w:pPr>
    <w:rPr>
      <w:sz w:val="20"/>
      <w:szCs w:val="20"/>
    </w:rPr>
  </w:style>
  <w:style w:type="paragraph" w:styleId="Revision">
    <w:name w:val="Revision"/>
    <w:uiPriority w:val="99"/>
    <w:semiHidden/>
    <w:qFormat/>
    <w:rsid w:val="00a53ca8"/>
    <w:pPr>
      <w:widowControl/>
      <w:bidi w:val="0"/>
      <w:spacing w:lineRule="auto" w:line="240" w:before="0" w:after="0"/>
      <w:jc w:val="left"/>
    </w:pPr>
    <w:rPr>
      <w:rFonts w:ascii="Calibri" w:hAnsi="Calibri" w:eastAsia="Calibri" w:cs="Times New Roman" w:asciiTheme="minorHAnsi" w:eastAsiaTheme="minorHAnsi" w:hAnsiTheme="minorHAnsi"/>
      <w:color w:val="auto"/>
      <w:sz w:val="22"/>
      <w:szCs w:val="22"/>
      <w:lang w:val="es-MX" w:eastAsia="en-US" w:bidi="ar-SA"/>
    </w:rPr>
  </w:style>
  <w:style w:type="paragraph" w:styleId="Texto" w:customStyle="1">
    <w:name w:val="Texto"/>
    <w:basedOn w:val="Normal"/>
    <w:link w:val="TextoCar"/>
    <w:qFormat/>
    <w:rsid w:val="00a53ca8"/>
    <w:pPr>
      <w:spacing w:lineRule="exact" w:line="216" w:before="0" w:after="101"/>
      <w:ind w:firstLine="288"/>
      <w:jc w:val="both"/>
    </w:pPr>
    <w:rPr>
      <w:rFonts w:ascii="Arial" w:hAnsi="Arial" w:eastAsia="Times New Roman" w:cs="Arial"/>
      <w:sz w:val="18"/>
      <w:szCs w:val="20"/>
      <w:lang w:val="es-ES" w:eastAsia="es-ES"/>
    </w:rPr>
  </w:style>
  <w:style w:type="paragraph" w:styleId="NoSpacing">
    <w:name w:val="No Spacing"/>
    <w:uiPriority w:val="1"/>
    <w:qFormat/>
    <w:rsid w:val="00cd01a0"/>
    <w:pPr>
      <w:widowControl/>
      <w:bidi w:val="0"/>
      <w:spacing w:lineRule="auto" w:line="240" w:before="0" w:after="0"/>
      <w:jc w:val="left"/>
    </w:pPr>
    <w:rPr>
      <w:rFonts w:ascii="Calibri" w:hAnsi="Calibri" w:eastAsia="Calibri" w:cs="Times New Roman" w:asciiTheme="minorHAnsi" w:eastAsiaTheme="minorHAnsi" w:hAnsiTheme="minorHAnsi"/>
      <w:color w:val="auto"/>
      <w:sz w:val="22"/>
      <w:szCs w:val="22"/>
      <w:lang w:val="es-MX" w:eastAsia="en-US" w:bidi="ar-SA"/>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53c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A6477-CB51-4D30-B4B6-B78F90C76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LibreOffice/5.1.6.2$Linux_X86_64 LibreOffice_project/10m0$Build-2</Application>
  <Pages>20</Pages>
  <Words>8817</Words>
  <Characters>47646</Characters>
  <CharactersWithSpaces>56351</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2015-12-11T00:45:00Z</dcterms:created>
  <dc:creator>Eliuth Ramirez Gonzalez</dc:creator>
  <dc:description/>
  <dc:language>es-MX</dc:language>
  <cp:lastModifiedBy/>
  <cp:lastPrinted>2015-11-15T16:14:00Z</cp:lastPrinted>
  <dcterms:modified xsi:type="dcterms:W3CDTF">2018-04-23T17:24:23Z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