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1A7F6" w14:textId="77777777" w:rsidR="00B637A6" w:rsidRPr="00B637A6" w:rsidRDefault="00B048BA" w:rsidP="00B637A6">
      <w:pPr>
        <w:pStyle w:val="Ttulo1"/>
        <w:spacing w:after="240" w:line="240" w:lineRule="auto"/>
        <w:jc w:val="both"/>
        <w:rPr>
          <w:rFonts w:ascii="ITC Avant Garde" w:hAnsi="ITC Avant Garde"/>
          <w:b/>
          <w:color w:val="000000" w:themeColor="text1"/>
          <w:sz w:val="24"/>
          <w:szCs w:val="24"/>
          <w:lang w:eastAsia="es-MX"/>
        </w:rPr>
      </w:pPr>
      <w:r w:rsidRPr="00B637A6">
        <w:rPr>
          <w:rFonts w:ascii="ITC Avant Garde" w:hAnsi="ITC Avant Garde"/>
          <w:b/>
          <w:color w:val="000000" w:themeColor="text1"/>
          <w:sz w:val="24"/>
          <w:szCs w:val="24"/>
          <w:lang w:eastAsia="es-MX"/>
        </w:rPr>
        <w:t xml:space="preserve">RESOLUCIÓN </w:t>
      </w:r>
      <w:r w:rsidR="004C3166" w:rsidRPr="00B637A6">
        <w:rPr>
          <w:rFonts w:ascii="ITC Avant Garde" w:hAnsi="ITC Avant Garde"/>
          <w:b/>
          <w:color w:val="000000" w:themeColor="text1"/>
          <w:sz w:val="24"/>
          <w:szCs w:val="24"/>
          <w:lang w:eastAsia="es-MX"/>
        </w:rPr>
        <w:t>MEDIANTE</w:t>
      </w:r>
      <w:r w:rsidRPr="00B637A6">
        <w:rPr>
          <w:rFonts w:ascii="ITC Avant Garde" w:hAnsi="ITC Avant Garde"/>
          <w:b/>
          <w:color w:val="000000" w:themeColor="text1"/>
          <w:sz w:val="24"/>
          <w:szCs w:val="24"/>
          <w:lang w:eastAsia="es-MX"/>
        </w:rPr>
        <w:t xml:space="preserve"> LA CUAL EL PLENO DEL INSTITUTO FEDERAL </w:t>
      </w:r>
      <w:r w:rsidR="00BB44E2" w:rsidRPr="00B637A6">
        <w:rPr>
          <w:rFonts w:ascii="ITC Avant Garde" w:hAnsi="ITC Avant Garde"/>
          <w:b/>
          <w:color w:val="000000" w:themeColor="text1"/>
          <w:sz w:val="24"/>
          <w:szCs w:val="24"/>
          <w:lang w:eastAsia="es-MX"/>
        </w:rPr>
        <w:t>DE</w:t>
      </w:r>
      <w:r w:rsidRPr="00B637A6">
        <w:rPr>
          <w:rFonts w:ascii="ITC Avant Garde" w:hAnsi="ITC Avant Garde"/>
          <w:b/>
          <w:color w:val="000000" w:themeColor="text1"/>
          <w:sz w:val="24"/>
          <w:szCs w:val="24"/>
          <w:lang w:eastAsia="es-MX"/>
        </w:rPr>
        <w:t xml:space="preserve"> TELECOMUNICACIONES </w:t>
      </w:r>
      <w:r w:rsidR="003919D8" w:rsidRPr="00B637A6">
        <w:rPr>
          <w:rFonts w:ascii="ITC Avant Garde" w:hAnsi="ITC Avant Garde"/>
          <w:b/>
          <w:color w:val="000000" w:themeColor="text1"/>
          <w:sz w:val="24"/>
          <w:szCs w:val="24"/>
          <w:lang w:eastAsia="es-MX"/>
        </w:rPr>
        <w:t>NIEGA</w:t>
      </w:r>
      <w:r w:rsidR="00341067" w:rsidRPr="00B637A6">
        <w:rPr>
          <w:rFonts w:ascii="ITC Avant Garde" w:hAnsi="ITC Avant Garde"/>
          <w:b/>
          <w:color w:val="000000" w:themeColor="text1"/>
          <w:sz w:val="24"/>
          <w:szCs w:val="24"/>
          <w:lang w:eastAsia="es-MX"/>
        </w:rPr>
        <w:t xml:space="preserve"> LA PRÓRROGA</w:t>
      </w:r>
      <w:r w:rsidR="005D4A72" w:rsidRPr="00B637A6">
        <w:rPr>
          <w:rFonts w:ascii="ITC Avant Garde" w:hAnsi="ITC Avant Garde"/>
          <w:b/>
          <w:color w:val="000000" w:themeColor="text1"/>
          <w:sz w:val="24"/>
          <w:szCs w:val="24"/>
          <w:lang w:eastAsia="es-MX"/>
        </w:rPr>
        <w:t xml:space="preserve"> </w:t>
      </w:r>
      <w:r w:rsidR="006B101C" w:rsidRPr="00B637A6">
        <w:rPr>
          <w:rFonts w:ascii="ITC Avant Garde" w:hAnsi="ITC Avant Garde"/>
          <w:b/>
          <w:color w:val="000000" w:themeColor="text1"/>
          <w:sz w:val="24"/>
          <w:szCs w:val="24"/>
          <w:lang w:eastAsia="es-MX"/>
        </w:rPr>
        <w:t xml:space="preserve">DE VIGENCIA </w:t>
      </w:r>
      <w:r w:rsidR="00341067" w:rsidRPr="00B637A6">
        <w:rPr>
          <w:rFonts w:ascii="ITC Avant Garde" w:hAnsi="ITC Avant Garde"/>
          <w:b/>
          <w:color w:val="000000" w:themeColor="text1"/>
          <w:sz w:val="24"/>
          <w:szCs w:val="24"/>
          <w:lang w:eastAsia="es-MX"/>
        </w:rPr>
        <w:t>D</w:t>
      </w:r>
      <w:r w:rsidR="005D4A72" w:rsidRPr="00B637A6">
        <w:rPr>
          <w:rFonts w:ascii="ITC Avant Garde" w:hAnsi="ITC Avant Garde"/>
          <w:b/>
          <w:color w:val="000000" w:themeColor="text1"/>
          <w:sz w:val="24"/>
          <w:szCs w:val="24"/>
          <w:lang w:eastAsia="es-MX"/>
        </w:rPr>
        <w:t>E</w:t>
      </w:r>
      <w:r w:rsidR="00827ADB" w:rsidRPr="00B637A6">
        <w:rPr>
          <w:rFonts w:ascii="ITC Avant Garde" w:hAnsi="ITC Avant Garde"/>
          <w:b/>
          <w:color w:val="000000" w:themeColor="text1"/>
          <w:sz w:val="24"/>
          <w:szCs w:val="24"/>
          <w:lang w:eastAsia="es-MX"/>
        </w:rPr>
        <w:t xml:space="preserve"> </w:t>
      </w:r>
      <w:r w:rsidR="005F6CC1" w:rsidRPr="00B637A6">
        <w:rPr>
          <w:rFonts w:ascii="ITC Avant Garde" w:hAnsi="ITC Avant Garde"/>
          <w:b/>
          <w:color w:val="000000" w:themeColor="text1"/>
          <w:sz w:val="24"/>
          <w:szCs w:val="24"/>
          <w:lang w:eastAsia="es-MX"/>
        </w:rPr>
        <w:t>LA</w:t>
      </w:r>
      <w:r w:rsidR="00C7550C" w:rsidRPr="00B637A6">
        <w:rPr>
          <w:rFonts w:ascii="ITC Avant Garde" w:hAnsi="ITC Avant Garde"/>
          <w:b/>
          <w:color w:val="000000" w:themeColor="text1"/>
          <w:sz w:val="24"/>
          <w:szCs w:val="24"/>
          <w:lang w:eastAsia="es-MX"/>
        </w:rPr>
        <w:t>S</w:t>
      </w:r>
      <w:r w:rsidR="00827ADB" w:rsidRPr="00B637A6">
        <w:rPr>
          <w:rFonts w:ascii="ITC Avant Garde" w:hAnsi="ITC Avant Garde"/>
          <w:b/>
          <w:color w:val="000000" w:themeColor="text1"/>
          <w:sz w:val="24"/>
          <w:szCs w:val="24"/>
          <w:lang w:eastAsia="es-MX"/>
        </w:rPr>
        <w:t xml:space="preserve"> </w:t>
      </w:r>
      <w:r w:rsidR="000E588F" w:rsidRPr="00B637A6">
        <w:rPr>
          <w:rFonts w:ascii="ITC Avant Garde" w:hAnsi="ITC Avant Garde"/>
          <w:b/>
          <w:color w:val="000000" w:themeColor="text1"/>
          <w:sz w:val="24"/>
          <w:szCs w:val="24"/>
          <w:lang w:eastAsia="es-MX"/>
        </w:rPr>
        <w:t>ASIGNACI</w:t>
      </w:r>
      <w:r w:rsidR="00C7550C" w:rsidRPr="00B637A6">
        <w:rPr>
          <w:rFonts w:ascii="ITC Avant Garde" w:hAnsi="ITC Avant Garde"/>
          <w:b/>
          <w:color w:val="000000" w:themeColor="text1"/>
          <w:sz w:val="24"/>
          <w:szCs w:val="24"/>
          <w:lang w:eastAsia="es-MX"/>
        </w:rPr>
        <w:t xml:space="preserve">ONES </w:t>
      </w:r>
      <w:r w:rsidR="000E588F" w:rsidRPr="00B637A6">
        <w:rPr>
          <w:rFonts w:ascii="ITC Avant Garde" w:hAnsi="ITC Avant Garde"/>
          <w:b/>
          <w:color w:val="000000" w:themeColor="text1"/>
          <w:sz w:val="24"/>
          <w:szCs w:val="24"/>
          <w:lang w:eastAsia="es-MX"/>
        </w:rPr>
        <w:t>DE FRECUENCIAS PARA USO OFICIA</w:t>
      </w:r>
      <w:r w:rsidR="00D37F38" w:rsidRPr="00B637A6">
        <w:rPr>
          <w:rFonts w:ascii="ITC Avant Garde" w:hAnsi="ITC Avant Garde"/>
          <w:b/>
          <w:color w:val="000000" w:themeColor="text1"/>
          <w:sz w:val="24"/>
          <w:szCs w:val="24"/>
          <w:lang w:eastAsia="es-MX"/>
        </w:rPr>
        <w:t>L</w:t>
      </w:r>
      <w:r w:rsidR="00FC68F9" w:rsidRPr="00B637A6">
        <w:rPr>
          <w:rFonts w:ascii="ITC Avant Garde" w:hAnsi="ITC Avant Garde"/>
          <w:b/>
          <w:color w:val="000000" w:themeColor="text1"/>
          <w:sz w:val="24"/>
          <w:szCs w:val="24"/>
          <w:lang w:eastAsia="es-MX"/>
        </w:rPr>
        <w:t xml:space="preserve"> </w:t>
      </w:r>
      <w:r w:rsidR="006A38B1" w:rsidRPr="00B637A6">
        <w:rPr>
          <w:rFonts w:ascii="ITC Avant Garde" w:hAnsi="ITC Avant Garde"/>
          <w:b/>
          <w:color w:val="000000" w:themeColor="text1"/>
          <w:sz w:val="24"/>
          <w:szCs w:val="24"/>
          <w:lang w:eastAsia="es-MX"/>
        </w:rPr>
        <w:t>OTORGAD</w:t>
      </w:r>
      <w:r w:rsidR="006555AC" w:rsidRPr="00B637A6">
        <w:rPr>
          <w:rFonts w:ascii="ITC Avant Garde" w:hAnsi="ITC Avant Garde"/>
          <w:b/>
          <w:color w:val="000000" w:themeColor="text1"/>
          <w:sz w:val="24"/>
          <w:szCs w:val="24"/>
          <w:lang w:eastAsia="es-MX"/>
        </w:rPr>
        <w:t>A</w:t>
      </w:r>
      <w:r w:rsidR="005E6F09" w:rsidRPr="00B637A6">
        <w:rPr>
          <w:rFonts w:ascii="ITC Avant Garde" w:hAnsi="ITC Avant Garde"/>
          <w:b/>
          <w:color w:val="000000" w:themeColor="text1"/>
          <w:sz w:val="24"/>
          <w:szCs w:val="24"/>
          <w:lang w:eastAsia="es-MX"/>
        </w:rPr>
        <w:t>S</w:t>
      </w:r>
      <w:r w:rsidR="006A38B1" w:rsidRPr="00B637A6">
        <w:rPr>
          <w:rFonts w:ascii="ITC Avant Garde" w:hAnsi="ITC Avant Garde"/>
          <w:b/>
          <w:color w:val="000000" w:themeColor="text1"/>
          <w:sz w:val="24"/>
          <w:szCs w:val="24"/>
          <w:lang w:eastAsia="es-MX"/>
        </w:rPr>
        <w:t xml:space="preserve"> </w:t>
      </w:r>
      <w:r w:rsidR="00C7550C" w:rsidRPr="00B637A6">
        <w:rPr>
          <w:rFonts w:ascii="ITC Avant Garde" w:hAnsi="ITC Avant Garde"/>
          <w:b/>
          <w:color w:val="000000" w:themeColor="text1"/>
          <w:sz w:val="24"/>
          <w:szCs w:val="24"/>
          <w:lang w:eastAsia="es-MX"/>
        </w:rPr>
        <w:t xml:space="preserve">A FAVOR DE </w:t>
      </w:r>
      <w:r w:rsidR="003C37CF" w:rsidRPr="00B637A6">
        <w:rPr>
          <w:rFonts w:ascii="ITC Avant Garde" w:hAnsi="ITC Avant Garde"/>
          <w:b/>
          <w:color w:val="000000" w:themeColor="text1"/>
          <w:sz w:val="24"/>
          <w:szCs w:val="24"/>
          <w:lang w:eastAsia="es-MX"/>
        </w:rPr>
        <w:t>LA COMISI</w:t>
      </w:r>
      <w:r w:rsidR="00B07190" w:rsidRPr="00B637A6">
        <w:rPr>
          <w:rFonts w:ascii="ITC Avant Garde" w:hAnsi="ITC Avant Garde"/>
          <w:b/>
          <w:color w:val="000000" w:themeColor="text1"/>
          <w:sz w:val="24"/>
          <w:szCs w:val="24"/>
          <w:lang w:eastAsia="es-MX"/>
        </w:rPr>
        <w:t>ÓN</w:t>
      </w:r>
      <w:r w:rsidR="003C37CF" w:rsidRPr="00B637A6">
        <w:rPr>
          <w:rFonts w:ascii="ITC Avant Garde" w:hAnsi="ITC Avant Garde"/>
          <w:b/>
          <w:color w:val="000000" w:themeColor="text1"/>
          <w:sz w:val="24"/>
          <w:szCs w:val="24"/>
          <w:lang w:eastAsia="es-MX"/>
        </w:rPr>
        <w:t xml:space="preserve"> ESTATAL DE SERVICIOS PÚBLICOS</w:t>
      </w:r>
      <w:r w:rsidR="00C15F9B" w:rsidRPr="00B637A6">
        <w:rPr>
          <w:rFonts w:ascii="ITC Avant Garde" w:hAnsi="ITC Avant Garde"/>
          <w:b/>
          <w:color w:val="000000" w:themeColor="text1"/>
          <w:sz w:val="24"/>
          <w:szCs w:val="24"/>
          <w:lang w:eastAsia="es-MX"/>
        </w:rPr>
        <w:t xml:space="preserve"> DE </w:t>
      </w:r>
      <w:r w:rsidR="00FB1F99" w:rsidRPr="00B637A6">
        <w:rPr>
          <w:rFonts w:ascii="ITC Avant Garde" w:hAnsi="ITC Avant Garde"/>
          <w:b/>
          <w:color w:val="000000" w:themeColor="text1"/>
          <w:sz w:val="24"/>
          <w:szCs w:val="24"/>
          <w:lang w:eastAsia="es-MX"/>
        </w:rPr>
        <w:t>MEXICALI</w:t>
      </w:r>
      <w:r w:rsidR="00C15F9B" w:rsidRPr="00B637A6">
        <w:rPr>
          <w:rFonts w:ascii="ITC Avant Garde" w:hAnsi="ITC Avant Garde"/>
          <w:b/>
          <w:color w:val="000000" w:themeColor="text1"/>
          <w:sz w:val="24"/>
          <w:szCs w:val="24"/>
          <w:lang w:eastAsia="es-MX"/>
        </w:rPr>
        <w:t>, ORGANISMO PÚBLICO DESCENTRALIZADO DEL GOBIERNO DEL ESTADO DE BAJA CALIFORNIA</w:t>
      </w:r>
      <w:r w:rsidR="00D64EF1" w:rsidRPr="00B637A6">
        <w:rPr>
          <w:rFonts w:ascii="ITC Avant Garde" w:hAnsi="ITC Avant Garde"/>
          <w:b/>
          <w:color w:val="000000" w:themeColor="text1"/>
          <w:sz w:val="24"/>
          <w:szCs w:val="24"/>
          <w:lang w:eastAsia="es-MX"/>
        </w:rPr>
        <w:t>.</w:t>
      </w:r>
    </w:p>
    <w:p w14:paraId="28A64FAF" w14:textId="77777777" w:rsidR="00B637A6" w:rsidRPr="00B637A6" w:rsidRDefault="00B048BA" w:rsidP="00B637A6">
      <w:pPr>
        <w:pStyle w:val="Ttulo2"/>
        <w:spacing w:after="240"/>
        <w:jc w:val="center"/>
        <w:rPr>
          <w:rFonts w:ascii="ITC Avant Garde" w:hAnsi="ITC Avant Garde"/>
          <w:b/>
          <w:color w:val="000000" w:themeColor="text1"/>
          <w:sz w:val="22"/>
          <w:szCs w:val="22"/>
        </w:rPr>
      </w:pPr>
      <w:r w:rsidRPr="00B637A6">
        <w:rPr>
          <w:rFonts w:ascii="ITC Avant Garde" w:hAnsi="ITC Avant Garde"/>
          <w:b/>
          <w:color w:val="000000" w:themeColor="text1"/>
          <w:sz w:val="22"/>
          <w:szCs w:val="22"/>
        </w:rPr>
        <w:t>ANTECEDENTES</w:t>
      </w:r>
    </w:p>
    <w:p w14:paraId="702F081A" w14:textId="77777777" w:rsidR="00B637A6" w:rsidRPr="00B637A6" w:rsidRDefault="00824E5F" w:rsidP="00B637A6">
      <w:pPr>
        <w:numPr>
          <w:ilvl w:val="0"/>
          <w:numId w:val="4"/>
        </w:numPr>
        <w:spacing w:before="240" w:line="240" w:lineRule="auto"/>
        <w:ind w:left="567" w:hanging="567"/>
        <w:jc w:val="both"/>
        <w:rPr>
          <w:rFonts w:ascii="ITC Avant Garde" w:hAnsi="ITC Avant Garde"/>
          <w:bCs/>
          <w:color w:val="000000"/>
          <w:lang w:eastAsia="es-MX"/>
        </w:rPr>
      </w:pPr>
      <w:r w:rsidRPr="00264CA5">
        <w:rPr>
          <w:rFonts w:ascii="ITC Avant Garde" w:hAnsi="ITC Avant Garde"/>
          <w:b/>
          <w:bCs/>
          <w:color w:val="000000"/>
          <w:lang w:eastAsia="es-MX"/>
        </w:rPr>
        <w:t>Otorgamiento de la</w:t>
      </w:r>
      <w:r w:rsidR="00737A3F" w:rsidRPr="00264CA5">
        <w:rPr>
          <w:rFonts w:ascii="ITC Avant Garde" w:hAnsi="ITC Avant Garde"/>
          <w:b/>
          <w:bCs/>
          <w:color w:val="000000"/>
          <w:lang w:eastAsia="es-MX"/>
        </w:rPr>
        <w:t>s</w:t>
      </w:r>
      <w:r w:rsidRPr="00264CA5">
        <w:rPr>
          <w:rFonts w:ascii="ITC Avant Garde" w:hAnsi="ITC Avant Garde"/>
          <w:b/>
          <w:bCs/>
          <w:color w:val="000000"/>
          <w:lang w:eastAsia="es-MX"/>
        </w:rPr>
        <w:t xml:space="preserve"> </w:t>
      </w:r>
      <w:r w:rsidR="000E588F" w:rsidRPr="00264CA5">
        <w:rPr>
          <w:rFonts w:ascii="ITC Avant Garde" w:hAnsi="ITC Avant Garde"/>
          <w:b/>
          <w:bCs/>
          <w:color w:val="000000"/>
          <w:lang w:eastAsia="es-MX"/>
        </w:rPr>
        <w:t>Asignaci</w:t>
      </w:r>
      <w:r w:rsidR="00737A3F" w:rsidRPr="00264CA5">
        <w:rPr>
          <w:rFonts w:ascii="ITC Avant Garde" w:hAnsi="ITC Avant Garde"/>
          <w:b/>
          <w:bCs/>
          <w:color w:val="000000"/>
          <w:lang w:eastAsia="es-MX"/>
        </w:rPr>
        <w:t>ones</w:t>
      </w:r>
      <w:r w:rsidRPr="00264CA5">
        <w:rPr>
          <w:rFonts w:ascii="ITC Avant Garde" w:hAnsi="ITC Avant Garde"/>
          <w:b/>
          <w:bCs/>
          <w:color w:val="000000"/>
          <w:lang w:eastAsia="es-MX"/>
        </w:rPr>
        <w:t>.</w:t>
      </w:r>
      <w:r w:rsidRPr="00264CA5">
        <w:rPr>
          <w:rFonts w:ascii="ITC Avant Garde" w:hAnsi="ITC Avant Garde"/>
          <w:bCs/>
          <w:color w:val="000000"/>
          <w:lang w:eastAsia="es-MX"/>
        </w:rPr>
        <w:t xml:space="preserve"> </w:t>
      </w:r>
      <w:r w:rsidR="000E588F" w:rsidRPr="00264CA5">
        <w:rPr>
          <w:rFonts w:ascii="ITC Avant Garde" w:hAnsi="ITC Avant Garde"/>
          <w:bCs/>
          <w:color w:val="000000"/>
          <w:lang w:eastAsia="es-MX"/>
        </w:rPr>
        <w:t xml:space="preserve">La Secretaría de Comunicaciones y Transportes (la “Secretaría”), </w:t>
      </w:r>
      <w:r w:rsidR="00C7550C" w:rsidRPr="00264CA5">
        <w:rPr>
          <w:rFonts w:ascii="ITC Avant Garde" w:hAnsi="ITC Avant Garde"/>
          <w:bCs/>
          <w:color w:val="000000"/>
          <w:lang w:eastAsia="es-MX"/>
        </w:rPr>
        <w:t xml:space="preserve">otorgó </w:t>
      </w:r>
      <w:r w:rsidR="006A373C">
        <w:rPr>
          <w:rFonts w:ascii="ITC Avant Garde" w:hAnsi="ITC Avant Garde"/>
          <w:bCs/>
          <w:color w:val="000000"/>
          <w:lang w:eastAsia="es-MX"/>
        </w:rPr>
        <w:t>a favor de</w:t>
      </w:r>
      <w:r w:rsidR="000C7F55" w:rsidRPr="00264CA5">
        <w:rPr>
          <w:rFonts w:ascii="ITC Avant Garde" w:hAnsi="ITC Avant Garde"/>
        </w:rPr>
        <w:t xml:space="preserve"> la Comisi</w:t>
      </w:r>
      <w:r w:rsidR="000C7F55">
        <w:rPr>
          <w:rFonts w:ascii="ITC Avant Garde" w:hAnsi="ITC Avant Garde"/>
        </w:rPr>
        <w:t>ón</w:t>
      </w:r>
      <w:r w:rsidR="000C7F55" w:rsidRPr="00264CA5">
        <w:rPr>
          <w:rFonts w:ascii="ITC Avant Garde" w:hAnsi="ITC Avant Garde"/>
        </w:rPr>
        <w:t xml:space="preserve"> Estatal de Servicios Públicos </w:t>
      </w:r>
      <w:r w:rsidR="000C7F55">
        <w:rPr>
          <w:rFonts w:ascii="ITC Avant Garde" w:hAnsi="ITC Avant Garde"/>
        </w:rPr>
        <w:t>de</w:t>
      </w:r>
      <w:r w:rsidR="000C7F55" w:rsidRPr="00264CA5">
        <w:rPr>
          <w:rFonts w:ascii="ITC Avant Garde" w:hAnsi="ITC Avant Garde"/>
        </w:rPr>
        <w:t xml:space="preserve"> Mexicali, Organismo Público Descentralizado del Gobierno del Estado de Baja California (</w:t>
      </w:r>
      <w:r w:rsidR="000C7F55">
        <w:rPr>
          <w:rFonts w:ascii="ITC Avant Garde" w:hAnsi="ITC Avant Garde"/>
        </w:rPr>
        <w:t>CESPM</w:t>
      </w:r>
      <w:r w:rsidR="000C7F55" w:rsidRPr="00264CA5">
        <w:rPr>
          <w:rFonts w:ascii="ITC Avant Garde" w:hAnsi="ITC Avant Garde"/>
        </w:rPr>
        <w:t>)</w:t>
      </w:r>
      <w:r w:rsidR="000C7F55">
        <w:rPr>
          <w:rFonts w:ascii="ITC Avant Garde" w:hAnsi="ITC Avant Garde"/>
        </w:rPr>
        <w:t xml:space="preserve">, </w:t>
      </w:r>
      <w:r w:rsidR="000A6AB3">
        <w:rPr>
          <w:rFonts w:ascii="ITC Avant Garde" w:hAnsi="ITC Avant Garde"/>
        </w:rPr>
        <w:t>2 (</w:t>
      </w:r>
      <w:r w:rsidR="000A6AB3">
        <w:rPr>
          <w:rFonts w:ascii="ITC Avant Garde" w:hAnsi="ITC Avant Garde"/>
          <w:bCs/>
          <w:color w:val="000000"/>
          <w:lang w:eastAsia="es-MX"/>
        </w:rPr>
        <w:t>dos)</w:t>
      </w:r>
      <w:r w:rsidR="000A6AB3" w:rsidRPr="00264CA5">
        <w:rPr>
          <w:rFonts w:ascii="ITC Avant Garde" w:hAnsi="ITC Avant Garde"/>
          <w:bCs/>
          <w:color w:val="000000"/>
          <w:lang w:eastAsia="es-MX"/>
        </w:rPr>
        <w:t xml:space="preserve"> </w:t>
      </w:r>
      <w:r w:rsidR="00C7550C" w:rsidRPr="00264CA5">
        <w:rPr>
          <w:rFonts w:ascii="ITC Avant Garde" w:hAnsi="ITC Avant Garde"/>
        </w:rPr>
        <w:t xml:space="preserve">asignaciones de frecuencias </w:t>
      </w:r>
      <w:r w:rsidR="007265B7" w:rsidRPr="00264CA5">
        <w:rPr>
          <w:rFonts w:ascii="ITC Avant Garde" w:hAnsi="ITC Avant Garde"/>
        </w:rPr>
        <w:t xml:space="preserve">para </w:t>
      </w:r>
      <w:r w:rsidR="00C7550C" w:rsidRPr="00264CA5">
        <w:rPr>
          <w:rFonts w:ascii="ITC Avant Garde" w:hAnsi="ITC Avant Garde"/>
        </w:rPr>
        <w:t xml:space="preserve">usar, aprovechar o explotar bandas de frecuencias </w:t>
      </w:r>
      <w:r w:rsidR="007265B7" w:rsidRPr="00264CA5">
        <w:rPr>
          <w:rFonts w:ascii="ITC Avant Garde" w:hAnsi="ITC Avant Garde"/>
        </w:rPr>
        <w:t>para</w:t>
      </w:r>
      <w:r w:rsidR="00C7550C" w:rsidRPr="00264CA5">
        <w:rPr>
          <w:rFonts w:ascii="ITC Avant Garde" w:hAnsi="ITC Avant Garde"/>
        </w:rPr>
        <w:t xml:space="preserve"> uso oficial</w:t>
      </w:r>
      <w:r w:rsidR="008B5F5D" w:rsidRPr="00264CA5">
        <w:rPr>
          <w:rFonts w:ascii="ITC Avant Garde" w:hAnsi="ITC Avant Garde"/>
        </w:rPr>
        <w:t xml:space="preserve">, </w:t>
      </w:r>
      <w:r w:rsidR="000A6AB3" w:rsidRPr="00264CA5">
        <w:rPr>
          <w:rFonts w:ascii="ITC Avant Garde" w:hAnsi="ITC Avant Garde"/>
          <w:bCs/>
          <w:color w:val="000000"/>
          <w:lang w:eastAsia="es-MX"/>
        </w:rPr>
        <w:t xml:space="preserve">para la instalación y operación de redes privadas de telecomunicaciones, </w:t>
      </w:r>
      <w:r w:rsidR="00CE1457" w:rsidRPr="00264CA5">
        <w:rPr>
          <w:rFonts w:ascii="ITC Avant Garde" w:hAnsi="ITC Avant Garde"/>
        </w:rPr>
        <w:t>con las frecuencias</w:t>
      </w:r>
      <w:r w:rsidR="00E41316">
        <w:rPr>
          <w:rFonts w:ascii="ITC Avant Garde" w:hAnsi="ITC Avant Garde"/>
        </w:rPr>
        <w:t xml:space="preserve"> y</w:t>
      </w:r>
      <w:r w:rsidR="00CE1457" w:rsidRPr="00264CA5">
        <w:rPr>
          <w:rFonts w:ascii="ITC Avant Garde" w:hAnsi="ITC Avant Garde"/>
        </w:rPr>
        <w:t xml:space="preserve"> coberturas </w:t>
      </w:r>
      <w:r w:rsidR="000A6AB3" w:rsidRPr="00264CA5">
        <w:rPr>
          <w:rFonts w:ascii="ITC Avant Garde" w:hAnsi="ITC Avant Garde"/>
        </w:rPr>
        <w:t>que se señalan en la Tabla 1</w:t>
      </w:r>
      <w:r w:rsidR="00E41316">
        <w:rPr>
          <w:rFonts w:ascii="ITC Avant Garde" w:hAnsi="ITC Avant Garde"/>
        </w:rPr>
        <w:t>;</w:t>
      </w:r>
      <w:r w:rsidR="000A6AB3">
        <w:rPr>
          <w:rFonts w:ascii="ITC Avant Garde" w:hAnsi="ITC Avant Garde"/>
        </w:rPr>
        <w:t xml:space="preserve"> a</w:t>
      </w:r>
      <w:r w:rsidR="000A6AB3">
        <w:rPr>
          <w:rFonts w:ascii="ITC Avant Garde" w:hAnsi="ITC Avant Garde"/>
          <w:bCs/>
          <w:color w:val="000000"/>
          <w:lang w:eastAsia="es-MX"/>
        </w:rPr>
        <w:t>simismo, en dicha</w:t>
      </w:r>
      <w:r w:rsidR="00E41316">
        <w:rPr>
          <w:rFonts w:ascii="ITC Avant Garde" w:hAnsi="ITC Avant Garde"/>
          <w:bCs/>
          <w:color w:val="000000"/>
          <w:lang w:eastAsia="es-MX"/>
        </w:rPr>
        <w:t>s</w:t>
      </w:r>
      <w:r w:rsidR="000A6AB3">
        <w:rPr>
          <w:rFonts w:ascii="ITC Avant Garde" w:hAnsi="ITC Avant Garde"/>
          <w:bCs/>
          <w:color w:val="000000"/>
          <w:lang w:eastAsia="es-MX"/>
        </w:rPr>
        <w:t xml:space="preserve"> asignaci</w:t>
      </w:r>
      <w:r w:rsidR="00E41316">
        <w:rPr>
          <w:rFonts w:ascii="ITC Avant Garde" w:hAnsi="ITC Avant Garde"/>
          <w:bCs/>
          <w:color w:val="000000"/>
          <w:lang w:eastAsia="es-MX"/>
        </w:rPr>
        <w:t>ones</w:t>
      </w:r>
      <w:r w:rsidR="000A6AB3">
        <w:rPr>
          <w:rFonts w:ascii="ITC Avant Garde" w:hAnsi="ITC Avant Garde"/>
          <w:bCs/>
          <w:color w:val="000000"/>
          <w:lang w:eastAsia="es-MX"/>
        </w:rPr>
        <w:t xml:space="preserve"> se estableció </w:t>
      </w:r>
      <w:r w:rsidR="000A6AB3">
        <w:rPr>
          <w:rFonts w:ascii="ITC Avant Garde" w:hAnsi="ITC Avant Garde"/>
        </w:rPr>
        <w:t>en su Condición 3, u</w:t>
      </w:r>
      <w:r w:rsidR="000A6AB3" w:rsidRPr="003A0E92">
        <w:rPr>
          <w:rFonts w:ascii="ITC Avant Garde" w:hAnsi="ITC Avant Garde"/>
        </w:rPr>
        <w:t>na vigencia de 4 (cuatro) años, contados a partir de la fecha de su otorgamiento</w:t>
      </w:r>
      <w:r w:rsidR="000A6AB3">
        <w:rPr>
          <w:rFonts w:ascii="ITC Avant Garde" w:hAnsi="ITC Avant Garde"/>
        </w:rPr>
        <w:t xml:space="preserve">, misma que </w:t>
      </w:r>
      <w:r w:rsidR="000A6AB3" w:rsidRPr="003A0E92">
        <w:rPr>
          <w:rFonts w:ascii="ITC Avant Garde" w:hAnsi="ITC Avant Garde"/>
        </w:rPr>
        <w:t>podr</w:t>
      </w:r>
      <w:r w:rsidR="000A6AB3">
        <w:rPr>
          <w:rFonts w:ascii="ITC Avant Garde" w:hAnsi="ITC Avant Garde"/>
        </w:rPr>
        <w:t>ía</w:t>
      </w:r>
      <w:r w:rsidR="000A6AB3" w:rsidRPr="003A0E92">
        <w:rPr>
          <w:rFonts w:ascii="ITC Avant Garde" w:hAnsi="ITC Avant Garde"/>
        </w:rPr>
        <w:t xml:space="preserve"> </w:t>
      </w:r>
      <w:r w:rsidR="000A6AB3">
        <w:rPr>
          <w:rFonts w:ascii="ITC Avant Garde" w:hAnsi="ITC Avant Garde"/>
        </w:rPr>
        <w:t>prorrogarse</w:t>
      </w:r>
      <w:r w:rsidR="000A6AB3" w:rsidRPr="003A0E92">
        <w:rPr>
          <w:rFonts w:ascii="ITC Avant Garde" w:hAnsi="ITC Avant Garde"/>
        </w:rPr>
        <w:t xml:space="preserve"> por plazos iguales</w:t>
      </w:r>
      <w:r w:rsidR="007265B7" w:rsidRPr="00264CA5">
        <w:rPr>
          <w:rFonts w:ascii="ITC Avant Garde" w:hAnsi="ITC Avant Garde"/>
        </w:rPr>
        <w:t xml:space="preserve"> (las “Asignaciones”)</w:t>
      </w:r>
      <w:r w:rsidR="00C7550C" w:rsidRPr="00264CA5">
        <w:rPr>
          <w:rFonts w:ascii="ITC Avant Garde" w:hAnsi="ITC Avant Garde"/>
        </w:rPr>
        <w:t>:</w:t>
      </w:r>
      <w:r w:rsidR="00B637A6" w:rsidRPr="00B637A6">
        <w:rPr>
          <w:rFonts w:ascii="ITC Avant Garde" w:eastAsia="Times New Roman" w:hAnsi="ITC Avant Garde"/>
          <w:b/>
          <w:bCs/>
          <w:color w:val="000000"/>
          <w:sz w:val="16"/>
          <w:szCs w:val="16"/>
          <w:lang w:eastAsia="es-MX"/>
        </w:rPr>
        <w:t xml:space="preserve"> </w:t>
      </w:r>
    </w:p>
    <w:p w14:paraId="205B586F" w14:textId="111745D3" w:rsidR="00C7550C" w:rsidRPr="000328D4" w:rsidRDefault="00B637A6" w:rsidP="00B637A6">
      <w:pPr>
        <w:spacing w:before="240" w:line="240" w:lineRule="auto"/>
        <w:ind w:left="567"/>
        <w:jc w:val="center"/>
        <w:rPr>
          <w:rFonts w:ascii="ITC Avant Garde" w:eastAsia="Times New Roman" w:hAnsi="ITC Avant Garde"/>
          <w:b/>
          <w:bCs/>
          <w:color w:val="000000"/>
          <w:sz w:val="20"/>
          <w:szCs w:val="20"/>
          <w:lang w:eastAsia="es-MX"/>
        </w:rPr>
      </w:pPr>
      <w:r w:rsidRPr="000328D4">
        <w:rPr>
          <w:rFonts w:ascii="ITC Avant Garde" w:eastAsia="Times New Roman" w:hAnsi="ITC Avant Garde"/>
          <w:b/>
          <w:bCs/>
          <w:color w:val="000000"/>
          <w:sz w:val="20"/>
          <w:szCs w:val="20"/>
          <w:lang w:eastAsia="es-MX"/>
        </w:rPr>
        <w:t>Tabla 1. Datos de la Asignación</w:t>
      </w:r>
    </w:p>
    <w:tbl>
      <w:tblPr>
        <w:tblStyle w:val="Cuadrculadetablaclara"/>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1: Asignaciones de CESPM otorgadas por SCT"/>
        <w:tblDescription w:val="En una tabla de 7 columnas se proporcionan datos técnicos de las 2 asignaciones."/>
      </w:tblPr>
      <w:tblGrid>
        <w:gridCol w:w="840"/>
        <w:gridCol w:w="1098"/>
        <w:gridCol w:w="1290"/>
        <w:gridCol w:w="915"/>
        <w:gridCol w:w="1578"/>
        <w:gridCol w:w="1032"/>
        <w:gridCol w:w="2298"/>
      </w:tblGrid>
      <w:tr w:rsidR="00BB765C" w:rsidRPr="00BB765C" w14:paraId="3BA7BC52" w14:textId="77777777" w:rsidTr="00B637A6">
        <w:trPr>
          <w:trHeight w:val="842"/>
          <w:tblHeader/>
          <w:jc w:val="center"/>
        </w:trPr>
        <w:tc>
          <w:tcPr>
            <w:tcW w:w="764" w:type="dxa"/>
            <w:shd w:val="clear" w:color="auto" w:fill="A6A6A6" w:themeFill="background1" w:themeFillShade="A6"/>
            <w:vAlign w:val="center"/>
            <w:hideMark/>
          </w:tcPr>
          <w:p w14:paraId="0F4B3C65" w14:textId="6888E2DC" w:rsidR="00BB765C" w:rsidRPr="00BB765C" w:rsidRDefault="00B637A6" w:rsidP="00D41D0C">
            <w:pPr>
              <w:spacing w:after="0" w:line="240" w:lineRule="auto"/>
              <w:jc w:val="center"/>
              <w:rPr>
                <w:rFonts w:ascii="ITC Avant Garde" w:eastAsia="Times New Roman" w:hAnsi="ITC Avant Garde"/>
                <w:b/>
                <w:bCs/>
                <w:sz w:val="16"/>
                <w:szCs w:val="16"/>
                <w:lang w:eastAsia="es-MX"/>
              </w:rPr>
            </w:pPr>
            <w:r>
              <w:rPr>
                <w:rFonts w:ascii="ITC Avant Garde" w:eastAsia="Times New Roman" w:hAnsi="ITC Avant Garde"/>
                <w:b/>
                <w:bCs/>
                <w:sz w:val="16"/>
                <w:szCs w:val="16"/>
                <w:lang w:eastAsia="es-MX"/>
              </w:rPr>
              <w:t>Número</w:t>
            </w:r>
          </w:p>
        </w:tc>
        <w:tc>
          <w:tcPr>
            <w:tcW w:w="1099" w:type="dxa"/>
            <w:shd w:val="clear" w:color="auto" w:fill="A6A6A6" w:themeFill="background1" w:themeFillShade="A6"/>
            <w:vAlign w:val="center"/>
            <w:hideMark/>
          </w:tcPr>
          <w:p w14:paraId="5458B86C" w14:textId="77777777"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No. de Asignación</w:t>
            </w:r>
          </w:p>
        </w:tc>
        <w:tc>
          <w:tcPr>
            <w:tcW w:w="1290" w:type="dxa"/>
            <w:shd w:val="clear" w:color="auto" w:fill="A6A6A6" w:themeFill="background1" w:themeFillShade="A6"/>
            <w:vAlign w:val="center"/>
            <w:hideMark/>
          </w:tcPr>
          <w:p w14:paraId="6AA7D6E2" w14:textId="77777777"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Fecha de otorgamiento</w:t>
            </w:r>
          </w:p>
        </w:tc>
        <w:tc>
          <w:tcPr>
            <w:tcW w:w="917" w:type="dxa"/>
            <w:shd w:val="clear" w:color="auto" w:fill="A6A6A6" w:themeFill="background1" w:themeFillShade="A6"/>
            <w:vAlign w:val="center"/>
            <w:hideMark/>
          </w:tcPr>
          <w:p w14:paraId="43EB792A" w14:textId="53020696"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Años de vigencia</w:t>
            </w:r>
          </w:p>
        </w:tc>
        <w:tc>
          <w:tcPr>
            <w:tcW w:w="1588" w:type="dxa"/>
            <w:shd w:val="clear" w:color="auto" w:fill="A6A6A6" w:themeFill="background1" w:themeFillShade="A6"/>
            <w:vAlign w:val="center"/>
            <w:hideMark/>
          </w:tcPr>
          <w:p w14:paraId="3B940AAA" w14:textId="77777777"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Frecuencias asignadas Tx/Rx</w:t>
            </w:r>
            <w:r w:rsidRPr="00BB765C">
              <w:rPr>
                <w:rFonts w:ascii="ITC Avant Garde" w:eastAsia="Times New Roman" w:hAnsi="ITC Avant Garde"/>
                <w:b/>
                <w:bCs/>
                <w:sz w:val="16"/>
                <w:szCs w:val="16"/>
                <w:lang w:eastAsia="es-MX"/>
              </w:rPr>
              <w:br/>
              <w:t>(MHz)</w:t>
            </w:r>
          </w:p>
        </w:tc>
        <w:tc>
          <w:tcPr>
            <w:tcW w:w="1033" w:type="dxa"/>
            <w:shd w:val="clear" w:color="auto" w:fill="A6A6A6" w:themeFill="background1" w:themeFillShade="A6"/>
            <w:vAlign w:val="center"/>
            <w:hideMark/>
          </w:tcPr>
          <w:p w14:paraId="3969DD65" w14:textId="77777777"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Radio de Cobertura (km)</w:t>
            </w:r>
          </w:p>
        </w:tc>
        <w:tc>
          <w:tcPr>
            <w:tcW w:w="2360" w:type="dxa"/>
            <w:shd w:val="clear" w:color="auto" w:fill="A6A6A6" w:themeFill="background1" w:themeFillShade="A6"/>
            <w:vAlign w:val="center"/>
            <w:hideMark/>
          </w:tcPr>
          <w:p w14:paraId="2D5F4A07" w14:textId="77777777" w:rsidR="00BB765C" w:rsidRPr="00BB765C" w:rsidRDefault="00BB765C" w:rsidP="00D41D0C">
            <w:pPr>
              <w:spacing w:after="0" w:line="240" w:lineRule="auto"/>
              <w:jc w:val="center"/>
              <w:rPr>
                <w:rFonts w:ascii="ITC Avant Garde" w:eastAsia="Times New Roman" w:hAnsi="ITC Avant Garde"/>
                <w:b/>
                <w:bCs/>
                <w:sz w:val="16"/>
                <w:szCs w:val="16"/>
                <w:lang w:eastAsia="es-MX"/>
              </w:rPr>
            </w:pPr>
            <w:r w:rsidRPr="00BB765C">
              <w:rPr>
                <w:rFonts w:ascii="ITC Avant Garde" w:eastAsia="Times New Roman" w:hAnsi="ITC Avant Garde"/>
                <w:b/>
                <w:bCs/>
                <w:sz w:val="16"/>
                <w:szCs w:val="16"/>
                <w:lang w:eastAsia="es-MX"/>
              </w:rPr>
              <w:t>Ubicación de la Estación base</w:t>
            </w:r>
          </w:p>
        </w:tc>
      </w:tr>
      <w:tr w:rsidR="00BB765C" w:rsidRPr="00BB765C" w14:paraId="5FC51264" w14:textId="77777777" w:rsidTr="00B637A6">
        <w:trPr>
          <w:trHeight w:val="325"/>
          <w:jc w:val="center"/>
        </w:trPr>
        <w:tc>
          <w:tcPr>
            <w:tcW w:w="764" w:type="dxa"/>
            <w:hideMark/>
          </w:tcPr>
          <w:p w14:paraId="23AD9B4F"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w:t>
            </w:r>
          </w:p>
        </w:tc>
        <w:tc>
          <w:tcPr>
            <w:tcW w:w="1099" w:type="dxa"/>
            <w:hideMark/>
          </w:tcPr>
          <w:p w14:paraId="562BEAEF"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1.-222</w:t>
            </w:r>
          </w:p>
        </w:tc>
        <w:tc>
          <w:tcPr>
            <w:tcW w:w="1290" w:type="dxa"/>
            <w:hideMark/>
          </w:tcPr>
          <w:p w14:paraId="6DE0A65E"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07/07/2004</w:t>
            </w:r>
          </w:p>
        </w:tc>
        <w:tc>
          <w:tcPr>
            <w:tcW w:w="917" w:type="dxa"/>
            <w:hideMark/>
          </w:tcPr>
          <w:p w14:paraId="5E5B524B"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4</w:t>
            </w:r>
          </w:p>
        </w:tc>
        <w:tc>
          <w:tcPr>
            <w:tcW w:w="1588" w:type="dxa"/>
            <w:hideMark/>
          </w:tcPr>
          <w:p w14:paraId="7070E1AF"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150.375/155.175</w:t>
            </w:r>
          </w:p>
        </w:tc>
        <w:tc>
          <w:tcPr>
            <w:tcW w:w="1033" w:type="dxa"/>
            <w:hideMark/>
          </w:tcPr>
          <w:p w14:paraId="358ED9A1" w14:textId="77777777" w:rsidR="00BB765C" w:rsidRPr="00BB765C" w:rsidRDefault="00BB765C"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80</w:t>
            </w:r>
          </w:p>
        </w:tc>
        <w:tc>
          <w:tcPr>
            <w:tcW w:w="2360" w:type="dxa"/>
            <w:hideMark/>
          </w:tcPr>
          <w:p w14:paraId="443FD46C" w14:textId="77777777" w:rsidR="00BB765C" w:rsidRPr="00BB765C" w:rsidRDefault="00BB765C" w:rsidP="00D41D0C">
            <w:pPr>
              <w:spacing w:after="0" w:line="240" w:lineRule="auto"/>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Sierra Cucapah, Mexicali, en el Estado de Baja California.</w:t>
            </w:r>
          </w:p>
        </w:tc>
      </w:tr>
      <w:tr w:rsidR="00B637A6" w:rsidRPr="00B637A6" w14:paraId="065EC106" w14:textId="77777777" w:rsidTr="00B637A6">
        <w:trPr>
          <w:trHeight w:val="517"/>
          <w:jc w:val="center"/>
        </w:trPr>
        <w:tc>
          <w:tcPr>
            <w:tcW w:w="764" w:type="dxa"/>
            <w:hideMark/>
          </w:tcPr>
          <w:p w14:paraId="265F7A65" w14:textId="366ADAF6"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w:t>
            </w:r>
          </w:p>
        </w:tc>
        <w:tc>
          <w:tcPr>
            <w:tcW w:w="1099" w:type="dxa"/>
            <w:hideMark/>
          </w:tcPr>
          <w:p w14:paraId="37E73608" w14:textId="498B423B"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1.-222</w:t>
            </w:r>
          </w:p>
        </w:tc>
        <w:tc>
          <w:tcPr>
            <w:tcW w:w="1290" w:type="dxa"/>
            <w:hideMark/>
          </w:tcPr>
          <w:p w14:paraId="3C10935E" w14:textId="7E789E75"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07/07/2004</w:t>
            </w:r>
          </w:p>
        </w:tc>
        <w:tc>
          <w:tcPr>
            <w:tcW w:w="917" w:type="dxa"/>
            <w:hideMark/>
          </w:tcPr>
          <w:p w14:paraId="62F25B68" w14:textId="41CC7420"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4</w:t>
            </w:r>
          </w:p>
        </w:tc>
        <w:tc>
          <w:tcPr>
            <w:tcW w:w="1588" w:type="dxa"/>
            <w:hideMark/>
          </w:tcPr>
          <w:p w14:paraId="06A991F5"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155.175/150.375</w:t>
            </w:r>
          </w:p>
        </w:tc>
        <w:tc>
          <w:tcPr>
            <w:tcW w:w="1033" w:type="dxa"/>
            <w:hideMark/>
          </w:tcPr>
          <w:p w14:paraId="32510A12"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80</w:t>
            </w:r>
          </w:p>
        </w:tc>
        <w:tc>
          <w:tcPr>
            <w:tcW w:w="2360" w:type="dxa"/>
            <w:hideMark/>
          </w:tcPr>
          <w:p w14:paraId="69FC1281"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Calzada Independencia y Sinaloa s/n, Mexicali, en el Estado de Baja California.</w:t>
            </w:r>
          </w:p>
        </w:tc>
      </w:tr>
      <w:tr w:rsidR="00B637A6" w:rsidRPr="00BB765C" w14:paraId="6E50712F" w14:textId="77777777" w:rsidTr="00B637A6">
        <w:trPr>
          <w:trHeight w:val="310"/>
          <w:jc w:val="center"/>
        </w:trPr>
        <w:tc>
          <w:tcPr>
            <w:tcW w:w="764" w:type="dxa"/>
            <w:hideMark/>
          </w:tcPr>
          <w:p w14:paraId="7C1FB4B4"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2</w:t>
            </w:r>
          </w:p>
        </w:tc>
        <w:tc>
          <w:tcPr>
            <w:tcW w:w="1099" w:type="dxa"/>
            <w:hideMark/>
          </w:tcPr>
          <w:p w14:paraId="67646010"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1.-291</w:t>
            </w:r>
          </w:p>
        </w:tc>
        <w:tc>
          <w:tcPr>
            <w:tcW w:w="1290" w:type="dxa"/>
            <w:hideMark/>
          </w:tcPr>
          <w:p w14:paraId="10C63DA0" w14:textId="28E2FDA3"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Pr>
                <w:rFonts w:ascii="ITC Avant Garde" w:eastAsia="Times New Roman" w:hAnsi="ITC Avant Garde"/>
                <w:color w:val="000000"/>
                <w:sz w:val="16"/>
                <w:szCs w:val="16"/>
                <w:lang w:eastAsia="es-MX"/>
              </w:rPr>
              <w:t>12/10</w:t>
            </w:r>
            <w:r w:rsidRPr="00BB765C">
              <w:rPr>
                <w:rFonts w:ascii="ITC Avant Garde" w:eastAsia="Times New Roman" w:hAnsi="ITC Avant Garde"/>
                <w:color w:val="000000"/>
                <w:sz w:val="16"/>
                <w:szCs w:val="16"/>
                <w:lang w:eastAsia="es-MX"/>
              </w:rPr>
              <w:t>/2005</w:t>
            </w:r>
          </w:p>
        </w:tc>
        <w:tc>
          <w:tcPr>
            <w:tcW w:w="917" w:type="dxa"/>
            <w:hideMark/>
          </w:tcPr>
          <w:p w14:paraId="2036E79D"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4</w:t>
            </w:r>
          </w:p>
        </w:tc>
        <w:tc>
          <w:tcPr>
            <w:tcW w:w="1588" w:type="dxa"/>
            <w:hideMark/>
          </w:tcPr>
          <w:p w14:paraId="75602642"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 xml:space="preserve">151.450/154.500 </w:t>
            </w:r>
          </w:p>
        </w:tc>
        <w:tc>
          <w:tcPr>
            <w:tcW w:w="1033" w:type="dxa"/>
            <w:hideMark/>
          </w:tcPr>
          <w:p w14:paraId="04A8A2F9" w14:textId="77777777" w:rsidR="00B637A6" w:rsidRPr="00BB765C" w:rsidRDefault="00B637A6" w:rsidP="00D41D0C">
            <w:pPr>
              <w:spacing w:after="0" w:line="240" w:lineRule="auto"/>
              <w:jc w:val="center"/>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40</w:t>
            </w:r>
          </w:p>
        </w:tc>
        <w:tc>
          <w:tcPr>
            <w:tcW w:w="2360" w:type="dxa"/>
            <w:hideMark/>
          </w:tcPr>
          <w:p w14:paraId="5480DAA3" w14:textId="77777777" w:rsidR="00B637A6" w:rsidRPr="00BB765C" w:rsidRDefault="00B637A6" w:rsidP="00D41D0C">
            <w:pPr>
              <w:spacing w:after="0" w:line="240" w:lineRule="auto"/>
              <w:rPr>
                <w:rFonts w:ascii="ITC Avant Garde" w:eastAsia="Times New Roman" w:hAnsi="ITC Avant Garde"/>
                <w:color w:val="000000"/>
                <w:sz w:val="16"/>
                <w:szCs w:val="16"/>
                <w:lang w:eastAsia="es-MX"/>
              </w:rPr>
            </w:pPr>
            <w:r w:rsidRPr="00BB765C">
              <w:rPr>
                <w:rFonts w:ascii="ITC Avant Garde" w:eastAsia="Times New Roman" w:hAnsi="ITC Avant Garde"/>
                <w:color w:val="000000"/>
                <w:sz w:val="16"/>
                <w:szCs w:val="16"/>
                <w:lang w:eastAsia="es-MX"/>
              </w:rPr>
              <w:t>Rep. Sierra Cucapah, Mexicali, en el Estado de Baja California.</w:t>
            </w:r>
          </w:p>
        </w:tc>
      </w:tr>
    </w:tbl>
    <w:p w14:paraId="08640BBD" w14:textId="77777777" w:rsidR="00D41D0C" w:rsidRDefault="00493612" w:rsidP="00B637A6">
      <w:pPr>
        <w:numPr>
          <w:ilvl w:val="0"/>
          <w:numId w:val="4"/>
        </w:numPr>
        <w:spacing w:before="240" w:line="240" w:lineRule="auto"/>
        <w:ind w:left="567" w:hanging="709"/>
        <w:jc w:val="both"/>
        <w:rPr>
          <w:rFonts w:ascii="ITC Avant Garde" w:hAnsi="ITC Avant Garde"/>
          <w:bCs/>
          <w:color w:val="000000"/>
          <w:lang w:eastAsia="es-MX"/>
        </w:rPr>
        <w:sectPr w:rsidR="00D41D0C" w:rsidSect="009C4434">
          <w:headerReference w:type="even" r:id="rId8"/>
          <w:footerReference w:type="default" r:id="rId9"/>
          <w:headerReference w:type="first" r:id="rId10"/>
          <w:pgSz w:w="12240" w:h="15840"/>
          <w:pgMar w:top="2127" w:right="1418" w:bottom="993" w:left="1418" w:header="709" w:footer="362" w:gutter="0"/>
          <w:cols w:space="708"/>
          <w:docGrid w:linePitch="360"/>
        </w:sectPr>
      </w:pPr>
      <w:r w:rsidRPr="00264CA5">
        <w:rPr>
          <w:rFonts w:ascii="ITC Avant Garde" w:hAnsi="ITC Avant Garde"/>
          <w:b/>
          <w:bCs/>
          <w:color w:val="000000"/>
          <w:lang w:eastAsia="es-MX"/>
        </w:rPr>
        <w:t>Solicitud</w:t>
      </w:r>
      <w:r w:rsidR="0054402E" w:rsidRPr="00264CA5">
        <w:rPr>
          <w:rFonts w:ascii="ITC Avant Garde" w:hAnsi="ITC Avant Garde"/>
          <w:b/>
          <w:bCs/>
          <w:color w:val="000000"/>
          <w:lang w:eastAsia="es-MX"/>
        </w:rPr>
        <w:t>es</w:t>
      </w:r>
      <w:r w:rsidRPr="00264CA5">
        <w:rPr>
          <w:rFonts w:ascii="ITC Avant Garde" w:hAnsi="ITC Avant Garde"/>
          <w:b/>
          <w:bCs/>
          <w:color w:val="000000"/>
          <w:lang w:eastAsia="es-MX"/>
        </w:rPr>
        <w:t xml:space="preserve"> de Prórroga de Vigencia.</w:t>
      </w:r>
      <w:r w:rsidRPr="00264CA5">
        <w:rPr>
          <w:rFonts w:ascii="ITC Avant Garde" w:hAnsi="ITC Avant Garde"/>
          <w:bCs/>
          <w:color w:val="000000"/>
          <w:lang w:eastAsia="es-MX"/>
        </w:rPr>
        <w:t xml:space="preserve"> </w:t>
      </w:r>
      <w:r w:rsidR="00202C9D" w:rsidRPr="00264CA5">
        <w:rPr>
          <w:rFonts w:ascii="ITC Avant Garde" w:hAnsi="ITC Avant Garde"/>
          <w:bCs/>
          <w:color w:val="000000"/>
          <w:lang w:eastAsia="es-MX"/>
        </w:rPr>
        <w:t xml:space="preserve">Mediante los oficios que se indican en la </w:t>
      </w:r>
      <w:r w:rsidR="008B0B4B" w:rsidRPr="00264CA5">
        <w:rPr>
          <w:rFonts w:ascii="ITC Avant Garde" w:hAnsi="ITC Avant Garde"/>
          <w:bCs/>
          <w:color w:val="000000"/>
          <w:lang w:eastAsia="es-MX"/>
        </w:rPr>
        <w:t>T</w:t>
      </w:r>
      <w:r w:rsidR="00202C9D" w:rsidRPr="00264CA5">
        <w:rPr>
          <w:rFonts w:ascii="ITC Avant Garde" w:hAnsi="ITC Avant Garde"/>
          <w:bCs/>
          <w:color w:val="000000"/>
          <w:lang w:eastAsia="es-MX"/>
        </w:rPr>
        <w:t xml:space="preserve">abla </w:t>
      </w:r>
      <w:r w:rsidR="008B0B4B" w:rsidRPr="00264CA5">
        <w:rPr>
          <w:rFonts w:ascii="ITC Avant Garde" w:hAnsi="ITC Avant Garde"/>
          <w:bCs/>
          <w:color w:val="000000"/>
          <w:lang w:eastAsia="es-MX"/>
        </w:rPr>
        <w:t xml:space="preserve">2 </w:t>
      </w:r>
      <w:r w:rsidR="00202C9D" w:rsidRPr="00264CA5">
        <w:rPr>
          <w:rFonts w:ascii="ITC Avant Garde" w:hAnsi="ITC Avant Garde"/>
          <w:bCs/>
          <w:color w:val="000000"/>
          <w:lang w:eastAsia="es-MX"/>
        </w:rPr>
        <w:t xml:space="preserve">siguiente, </w:t>
      </w:r>
      <w:r w:rsidR="009A6038" w:rsidRPr="00264CA5">
        <w:rPr>
          <w:rFonts w:ascii="ITC Avant Garde" w:hAnsi="ITC Avant Garde"/>
          <w:bCs/>
          <w:color w:val="000000"/>
          <w:lang w:eastAsia="es-MX"/>
        </w:rPr>
        <w:t xml:space="preserve">la </w:t>
      </w:r>
      <w:r w:rsidR="00E41316" w:rsidRPr="00264CA5">
        <w:rPr>
          <w:rFonts w:ascii="ITC Avant Garde" w:hAnsi="ITC Avant Garde"/>
          <w:bCs/>
          <w:color w:val="000000"/>
          <w:lang w:eastAsia="es-MX"/>
        </w:rPr>
        <w:t>C</w:t>
      </w:r>
      <w:r w:rsidR="00E41316">
        <w:rPr>
          <w:rFonts w:ascii="ITC Avant Garde" w:hAnsi="ITC Avant Garde"/>
          <w:bCs/>
          <w:color w:val="000000"/>
          <w:lang w:eastAsia="es-MX"/>
        </w:rPr>
        <w:t>ESPM</w:t>
      </w:r>
      <w:r w:rsidR="00E41316" w:rsidRPr="00264CA5">
        <w:rPr>
          <w:rFonts w:ascii="ITC Avant Garde" w:hAnsi="ITC Avant Garde"/>
          <w:bCs/>
          <w:color w:val="000000"/>
          <w:lang w:eastAsia="es-MX"/>
        </w:rPr>
        <w:t xml:space="preserve"> </w:t>
      </w:r>
      <w:r w:rsidR="00202C9D" w:rsidRPr="00264CA5">
        <w:rPr>
          <w:rFonts w:ascii="ITC Avant Garde" w:hAnsi="ITC Avant Garde"/>
          <w:bCs/>
          <w:color w:val="000000"/>
          <w:lang w:eastAsia="es-MX"/>
        </w:rPr>
        <w:t>present</w:t>
      </w:r>
      <w:r w:rsidR="008977F4">
        <w:rPr>
          <w:rFonts w:ascii="ITC Avant Garde" w:hAnsi="ITC Avant Garde"/>
          <w:bCs/>
          <w:color w:val="000000"/>
          <w:lang w:eastAsia="es-MX"/>
        </w:rPr>
        <w:t>ó</w:t>
      </w:r>
      <w:r w:rsidR="00202C9D" w:rsidRPr="00264CA5">
        <w:rPr>
          <w:rFonts w:ascii="ITC Avant Garde" w:hAnsi="ITC Avant Garde"/>
          <w:bCs/>
          <w:color w:val="000000"/>
          <w:lang w:eastAsia="es-MX"/>
        </w:rPr>
        <w:t xml:space="preserve"> ante el Centro SCT </w:t>
      </w:r>
      <w:r w:rsidR="009A6038" w:rsidRPr="00264CA5">
        <w:rPr>
          <w:rFonts w:ascii="ITC Avant Garde" w:hAnsi="ITC Avant Garde"/>
          <w:bCs/>
          <w:color w:val="000000"/>
          <w:lang w:eastAsia="es-MX"/>
        </w:rPr>
        <w:t xml:space="preserve">Baja California </w:t>
      </w:r>
      <w:r w:rsidR="00202C9D" w:rsidRPr="00264CA5">
        <w:rPr>
          <w:rFonts w:ascii="ITC Avant Garde" w:hAnsi="ITC Avant Garde"/>
          <w:bCs/>
          <w:color w:val="000000"/>
          <w:lang w:eastAsia="es-MX"/>
        </w:rPr>
        <w:t>las correspondientes solicitudes de prórroga</w:t>
      </w:r>
      <w:r w:rsidR="00723B1C" w:rsidRPr="00264CA5">
        <w:rPr>
          <w:rFonts w:ascii="ITC Avant Garde" w:hAnsi="ITC Avant Garde"/>
          <w:bCs/>
          <w:color w:val="000000"/>
          <w:lang w:eastAsia="es-MX"/>
        </w:rPr>
        <w:t xml:space="preserve"> de vigencia (las “Solicitudes de Prórroga”)</w:t>
      </w:r>
      <w:r w:rsidR="00202C9D" w:rsidRPr="00264CA5">
        <w:rPr>
          <w:rFonts w:ascii="ITC Avant Garde" w:hAnsi="ITC Avant Garde"/>
          <w:bCs/>
          <w:color w:val="000000"/>
          <w:lang w:eastAsia="es-MX"/>
        </w:rPr>
        <w:t xml:space="preserve">, mismas que </w:t>
      </w:r>
      <w:r w:rsidR="009D1D2B" w:rsidRPr="00264CA5">
        <w:rPr>
          <w:rFonts w:ascii="ITC Avant Garde" w:hAnsi="ITC Avant Garde"/>
          <w:bCs/>
          <w:color w:val="000000"/>
          <w:lang w:eastAsia="es-MX"/>
        </w:rPr>
        <w:t>fueron remitidas por</w:t>
      </w:r>
      <w:r w:rsidR="00202C9D" w:rsidRPr="00264CA5">
        <w:rPr>
          <w:rFonts w:ascii="ITC Avant Garde" w:hAnsi="ITC Avant Garde"/>
          <w:bCs/>
          <w:color w:val="000000"/>
          <w:lang w:eastAsia="es-MX"/>
        </w:rPr>
        <w:t xml:space="preserve"> la Secretaría</w:t>
      </w:r>
      <w:r w:rsidR="009D1D2B" w:rsidRPr="00264CA5">
        <w:rPr>
          <w:rFonts w:ascii="ITC Avant Garde" w:hAnsi="ITC Avant Garde"/>
          <w:bCs/>
          <w:color w:val="000000"/>
          <w:lang w:eastAsia="es-MX"/>
        </w:rPr>
        <w:t xml:space="preserve"> a la extinta Comisión Federal de Telecomunicaciones (la “Comisión”),</w:t>
      </w:r>
      <w:r w:rsidR="00202C9D" w:rsidRPr="00264CA5">
        <w:rPr>
          <w:rFonts w:ascii="ITC Avant Garde" w:hAnsi="ITC Avant Garde"/>
          <w:bCs/>
          <w:color w:val="000000"/>
          <w:lang w:eastAsia="es-MX"/>
        </w:rPr>
        <w:t xml:space="preserve"> para </w:t>
      </w:r>
      <w:r w:rsidR="009D1D2B" w:rsidRPr="00264CA5">
        <w:rPr>
          <w:rFonts w:ascii="ITC Avant Garde" w:hAnsi="ITC Avant Garde"/>
          <w:bCs/>
          <w:color w:val="000000"/>
          <w:lang w:eastAsia="es-MX"/>
        </w:rPr>
        <w:t xml:space="preserve">la </w:t>
      </w:r>
      <w:r w:rsidR="00202C9D" w:rsidRPr="00264CA5">
        <w:rPr>
          <w:rFonts w:ascii="ITC Avant Garde" w:hAnsi="ITC Avant Garde"/>
          <w:bCs/>
          <w:color w:val="000000"/>
          <w:lang w:eastAsia="es-MX"/>
        </w:rPr>
        <w:t xml:space="preserve">opinión </w:t>
      </w:r>
      <w:r w:rsidR="009D1D2B" w:rsidRPr="00264CA5">
        <w:rPr>
          <w:rFonts w:ascii="ITC Avant Garde" w:hAnsi="ITC Avant Garde"/>
          <w:bCs/>
          <w:color w:val="000000"/>
          <w:lang w:eastAsia="es-MX"/>
        </w:rPr>
        <w:t>correspondiente:</w:t>
      </w:r>
    </w:p>
    <w:p w14:paraId="26E1C06C" w14:textId="3F34FF31" w:rsidR="009C4434" w:rsidRPr="000328D4" w:rsidRDefault="00D41D0C" w:rsidP="00D41D0C">
      <w:pPr>
        <w:spacing w:before="240" w:line="240" w:lineRule="auto"/>
        <w:ind w:left="567"/>
        <w:jc w:val="center"/>
        <w:rPr>
          <w:rFonts w:ascii="ITC Avant Garde" w:eastAsia="Times New Roman" w:hAnsi="ITC Avant Garde"/>
          <w:b/>
          <w:bCs/>
          <w:color w:val="000000"/>
          <w:sz w:val="20"/>
          <w:szCs w:val="20"/>
          <w:lang w:eastAsia="es-MX"/>
        </w:rPr>
      </w:pPr>
      <w:r w:rsidRPr="000328D4">
        <w:rPr>
          <w:rFonts w:ascii="ITC Avant Garde" w:eastAsia="Times New Roman" w:hAnsi="ITC Avant Garde"/>
          <w:b/>
          <w:bCs/>
          <w:color w:val="000000"/>
          <w:sz w:val="20"/>
          <w:szCs w:val="20"/>
          <w:lang w:eastAsia="es-MX"/>
        </w:rPr>
        <w:lastRenderedPageBreak/>
        <w:t>Tabla 2</w:t>
      </w:r>
      <w:r w:rsidR="000328D4">
        <w:rPr>
          <w:rFonts w:ascii="ITC Avant Garde" w:eastAsia="Times New Roman" w:hAnsi="ITC Avant Garde"/>
          <w:b/>
          <w:bCs/>
          <w:color w:val="000000"/>
          <w:sz w:val="20"/>
          <w:szCs w:val="20"/>
          <w:lang w:eastAsia="es-MX"/>
        </w:rPr>
        <w:t xml:space="preserve">. </w:t>
      </w:r>
      <w:r w:rsidR="000328D4" w:rsidRPr="000328D4">
        <w:rPr>
          <w:rFonts w:ascii="ITC Avant Garde" w:eastAsia="Times New Roman" w:hAnsi="ITC Avant Garde"/>
          <w:b/>
          <w:bCs/>
          <w:color w:val="000000"/>
          <w:sz w:val="20"/>
          <w:szCs w:val="20"/>
          <w:lang w:eastAsia="es-MX"/>
        </w:rPr>
        <w:t>Datos de la Asignación</w:t>
      </w:r>
      <w:r w:rsidR="007A4A4F">
        <w:rPr>
          <w:rFonts w:ascii="ITC Avant Garde" w:eastAsia="Times New Roman" w:hAnsi="ITC Avant Garde"/>
          <w:b/>
          <w:bCs/>
          <w:color w:val="000000"/>
          <w:sz w:val="20"/>
          <w:szCs w:val="20"/>
          <w:lang w:eastAsia="es-MX"/>
        </w:rPr>
        <w:t xml:space="preserve"> </w:t>
      </w:r>
      <w:r w:rsidR="007A4A4F" w:rsidRPr="00112830">
        <w:rPr>
          <w:rFonts w:ascii="ITC Avant Garde" w:hAnsi="ITC Avant Garde"/>
          <w:b/>
          <w:sz w:val="20"/>
          <w:szCs w:val="20"/>
        </w:rPr>
        <w:t>y solicitudes de Prórroga</w:t>
      </w:r>
    </w:p>
    <w:tbl>
      <w:tblPr>
        <w:tblStyle w:val="Cuadrculadetablaclara"/>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2: Solicitudes de asignación y prórroga"/>
        <w:tblDescription w:val="En una tabla de 5 columnas, se proporciona información de 2 solicitudes de asignación con las fechas en que se otorgaron y los números de oficio con las que se solicitaron. "/>
      </w:tblPr>
      <w:tblGrid>
        <w:gridCol w:w="840"/>
        <w:gridCol w:w="1177"/>
        <w:gridCol w:w="1360"/>
        <w:gridCol w:w="1935"/>
        <w:gridCol w:w="2665"/>
      </w:tblGrid>
      <w:tr w:rsidR="00D41D0C" w:rsidRPr="00D41D0C" w14:paraId="78534F36" w14:textId="77777777" w:rsidTr="007A4A4F">
        <w:trPr>
          <w:trHeight w:val="20"/>
          <w:tblHeader/>
          <w:jc w:val="center"/>
        </w:trPr>
        <w:tc>
          <w:tcPr>
            <w:tcW w:w="763" w:type="dxa"/>
            <w:shd w:val="clear" w:color="auto" w:fill="A6A6A6" w:themeFill="background1" w:themeFillShade="A6"/>
            <w:vAlign w:val="center"/>
          </w:tcPr>
          <w:p w14:paraId="68797C68" w14:textId="7F3AE930" w:rsidR="00D41D0C" w:rsidRPr="00D41D0C" w:rsidRDefault="00D41D0C" w:rsidP="007A4A4F">
            <w:pPr>
              <w:spacing w:after="0" w:line="240" w:lineRule="auto"/>
              <w:jc w:val="center"/>
              <w:rPr>
                <w:rFonts w:ascii="ITC Avant Garde" w:eastAsia="Times New Roman" w:hAnsi="ITC Avant Garde"/>
                <w:b/>
                <w:color w:val="000000"/>
                <w:sz w:val="16"/>
                <w:szCs w:val="16"/>
                <w:lang w:eastAsia="es-MX"/>
              </w:rPr>
            </w:pPr>
            <w:r w:rsidRPr="00D41D0C">
              <w:rPr>
                <w:rFonts w:ascii="ITC Avant Garde" w:eastAsia="Times New Roman" w:hAnsi="ITC Avant Garde"/>
                <w:b/>
                <w:color w:val="000000"/>
                <w:sz w:val="16"/>
                <w:szCs w:val="16"/>
                <w:lang w:eastAsia="es-MX"/>
              </w:rPr>
              <w:t>Número</w:t>
            </w:r>
          </w:p>
        </w:tc>
        <w:tc>
          <w:tcPr>
            <w:tcW w:w="1177" w:type="dxa"/>
            <w:shd w:val="clear" w:color="auto" w:fill="A6A6A6" w:themeFill="background1" w:themeFillShade="A6"/>
            <w:vAlign w:val="center"/>
          </w:tcPr>
          <w:p w14:paraId="17A699AB" w14:textId="340E85C4" w:rsidR="00D41D0C" w:rsidRPr="00D41D0C" w:rsidRDefault="00D41D0C" w:rsidP="007A4A4F">
            <w:pPr>
              <w:spacing w:after="0" w:line="240" w:lineRule="auto"/>
              <w:jc w:val="center"/>
              <w:rPr>
                <w:rFonts w:ascii="ITC Avant Garde" w:eastAsia="Times New Roman" w:hAnsi="ITC Avant Garde"/>
                <w:b/>
                <w:color w:val="000000"/>
                <w:sz w:val="16"/>
                <w:szCs w:val="16"/>
                <w:lang w:eastAsia="es-MX"/>
              </w:rPr>
            </w:pPr>
            <w:r w:rsidRPr="00D41D0C">
              <w:rPr>
                <w:rFonts w:ascii="ITC Avant Garde" w:eastAsia="Times New Roman" w:hAnsi="ITC Avant Garde"/>
                <w:b/>
                <w:bCs/>
                <w:sz w:val="16"/>
                <w:szCs w:val="16"/>
                <w:lang w:eastAsia="es-MX"/>
              </w:rPr>
              <w:t>No. de Asignación</w:t>
            </w:r>
          </w:p>
        </w:tc>
        <w:tc>
          <w:tcPr>
            <w:tcW w:w="1360" w:type="dxa"/>
            <w:shd w:val="clear" w:color="auto" w:fill="A6A6A6" w:themeFill="background1" w:themeFillShade="A6"/>
            <w:vAlign w:val="center"/>
          </w:tcPr>
          <w:p w14:paraId="6D620092" w14:textId="2C2E9103" w:rsidR="00D41D0C" w:rsidRPr="00D41D0C" w:rsidRDefault="00D41D0C" w:rsidP="007A4A4F">
            <w:pPr>
              <w:spacing w:after="0" w:line="240" w:lineRule="auto"/>
              <w:jc w:val="center"/>
              <w:rPr>
                <w:rFonts w:ascii="ITC Avant Garde" w:eastAsia="Times New Roman" w:hAnsi="ITC Avant Garde"/>
                <w:b/>
                <w:color w:val="000000"/>
                <w:sz w:val="16"/>
                <w:szCs w:val="16"/>
                <w:lang w:eastAsia="es-MX"/>
              </w:rPr>
            </w:pPr>
            <w:r w:rsidRPr="00D41D0C">
              <w:rPr>
                <w:rFonts w:ascii="ITC Avant Garde" w:eastAsia="Times New Roman" w:hAnsi="ITC Avant Garde"/>
                <w:b/>
                <w:bCs/>
                <w:sz w:val="16"/>
                <w:szCs w:val="16"/>
                <w:lang w:eastAsia="es-MX"/>
              </w:rPr>
              <w:t>Fecha de otorgamiento</w:t>
            </w:r>
          </w:p>
        </w:tc>
        <w:tc>
          <w:tcPr>
            <w:tcW w:w="1935" w:type="dxa"/>
            <w:shd w:val="clear" w:color="auto" w:fill="A6A6A6" w:themeFill="background1" w:themeFillShade="A6"/>
            <w:vAlign w:val="center"/>
          </w:tcPr>
          <w:p w14:paraId="63BCDDDE" w14:textId="116A3F63" w:rsidR="00D41D0C" w:rsidRPr="00D41D0C" w:rsidRDefault="00D41D0C" w:rsidP="007A4A4F">
            <w:pPr>
              <w:spacing w:after="0" w:line="240" w:lineRule="auto"/>
              <w:jc w:val="center"/>
              <w:rPr>
                <w:rFonts w:ascii="ITC Avant Garde" w:eastAsia="Times New Roman" w:hAnsi="ITC Avant Garde"/>
                <w:b/>
                <w:color w:val="000000"/>
                <w:sz w:val="16"/>
                <w:szCs w:val="16"/>
                <w:lang w:eastAsia="es-MX"/>
              </w:rPr>
            </w:pPr>
            <w:r w:rsidRPr="00D41D0C">
              <w:rPr>
                <w:rFonts w:ascii="ITC Avant Garde" w:eastAsia="Times New Roman" w:hAnsi="ITC Avant Garde"/>
                <w:b/>
                <w:bCs/>
                <w:sz w:val="16"/>
                <w:szCs w:val="16"/>
                <w:lang w:eastAsia="es-MX"/>
              </w:rPr>
              <w:t>Número de oficio mediante el cual se solicitó la prórroga</w:t>
            </w:r>
          </w:p>
        </w:tc>
        <w:tc>
          <w:tcPr>
            <w:tcW w:w="2665" w:type="dxa"/>
            <w:shd w:val="clear" w:color="auto" w:fill="A6A6A6" w:themeFill="background1" w:themeFillShade="A6"/>
            <w:noWrap/>
            <w:vAlign w:val="center"/>
          </w:tcPr>
          <w:p w14:paraId="5F987F2A" w14:textId="69FB7957" w:rsidR="00D41D0C" w:rsidRPr="00D41D0C" w:rsidRDefault="00D41D0C" w:rsidP="007A4A4F">
            <w:pPr>
              <w:spacing w:after="0" w:line="240" w:lineRule="auto"/>
              <w:jc w:val="center"/>
              <w:rPr>
                <w:rFonts w:ascii="ITC Avant Garde" w:eastAsia="Times New Roman" w:hAnsi="ITC Avant Garde"/>
                <w:b/>
                <w:color w:val="000000"/>
                <w:sz w:val="16"/>
                <w:szCs w:val="16"/>
                <w:lang w:eastAsia="es-MX"/>
              </w:rPr>
            </w:pPr>
            <w:r w:rsidRPr="00D41D0C">
              <w:rPr>
                <w:rFonts w:ascii="ITC Avant Garde" w:eastAsia="Times New Roman" w:hAnsi="ITC Avant Garde"/>
                <w:b/>
                <w:bCs/>
                <w:sz w:val="16"/>
                <w:szCs w:val="16"/>
                <w:lang w:eastAsia="es-MX"/>
              </w:rPr>
              <w:t>Fecha de recepción en Centro SCT Baja California</w:t>
            </w:r>
          </w:p>
        </w:tc>
      </w:tr>
      <w:tr w:rsidR="00D41D0C" w:rsidRPr="00FE76B7" w14:paraId="34D6D810" w14:textId="77777777" w:rsidTr="007A4A4F">
        <w:trPr>
          <w:trHeight w:val="20"/>
          <w:jc w:val="center"/>
        </w:trPr>
        <w:tc>
          <w:tcPr>
            <w:tcW w:w="763" w:type="dxa"/>
            <w:hideMark/>
          </w:tcPr>
          <w:p w14:paraId="17BCF955"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1</w:t>
            </w:r>
          </w:p>
        </w:tc>
        <w:tc>
          <w:tcPr>
            <w:tcW w:w="1177" w:type="dxa"/>
            <w:hideMark/>
          </w:tcPr>
          <w:p w14:paraId="47B5E880"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1.-222</w:t>
            </w:r>
          </w:p>
        </w:tc>
        <w:tc>
          <w:tcPr>
            <w:tcW w:w="1360" w:type="dxa"/>
            <w:hideMark/>
          </w:tcPr>
          <w:p w14:paraId="28A5604D"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07/07/2004</w:t>
            </w:r>
          </w:p>
        </w:tc>
        <w:tc>
          <w:tcPr>
            <w:tcW w:w="1935" w:type="dxa"/>
            <w:hideMark/>
          </w:tcPr>
          <w:p w14:paraId="6B6C2FBB"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Inf-0385/07</w:t>
            </w:r>
          </w:p>
        </w:tc>
        <w:tc>
          <w:tcPr>
            <w:tcW w:w="2665" w:type="dxa"/>
            <w:noWrap/>
            <w:hideMark/>
          </w:tcPr>
          <w:p w14:paraId="306FF6E5" w14:textId="5BD59392"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04366E">
              <w:rPr>
                <w:rFonts w:ascii="ITC Avant Garde" w:eastAsia="Times New Roman" w:hAnsi="ITC Avant Garde"/>
                <w:color w:val="000000"/>
                <w:sz w:val="16"/>
                <w:szCs w:val="16"/>
                <w:lang w:eastAsia="es-MX"/>
              </w:rPr>
              <w:t>08/11/2007</w:t>
            </w:r>
          </w:p>
        </w:tc>
      </w:tr>
      <w:tr w:rsidR="00D41D0C" w:rsidRPr="00FE76B7" w14:paraId="4E2E794D" w14:textId="77777777" w:rsidTr="007A4A4F">
        <w:trPr>
          <w:trHeight w:val="20"/>
          <w:jc w:val="center"/>
        </w:trPr>
        <w:tc>
          <w:tcPr>
            <w:tcW w:w="763" w:type="dxa"/>
            <w:hideMark/>
          </w:tcPr>
          <w:p w14:paraId="312BB867"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2</w:t>
            </w:r>
          </w:p>
        </w:tc>
        <w:tc>
          <w:tcPr>
            <w:tcW w:w="1177" w:type="dxa"/>
            <w:hideMark/>
          </w:tcPr>
          <w:p w14:paraId="754E120B"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1.-291</w:t>
            </w:r>
          </w:p>
        </w:tc>
        <w:tc>
          <w:tcPr>
            <w:tcW w:w="1360" w:type="dxa"/>
            <w:hideMark/>
          </w:tcPr>
          <w:p w14:paraId="4F172CE7" w14:textId="0F531564"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Pr>
                <w:rFonts w:ascii="ITC Avant Garde" w:eastAsia="Times New Roman" w:hAnsi="ITC Avant Garde"/>
                <w:color w:val="000000"/>
                <w:sz w:val="16"/>
                <w:szCs w:val="16"/>
                <w:lang w:eastAsia="es-MX"/>
              </w:rPr>
              <w:t>12/10</w:t>
            </w:r>
            <w:r w:rsidRPr="00FE76B7">
              <w:rPr>
                <w:rFonts w:ascii="ITC Avant Garde" w:eastAsia="Times New Roman" w:hAnsi="ITC Avant Garde"/>
                <w:color w:val="000000"/>
                <w:sz w:val="16"/>
                <w:szCs w:val="16"/>
                <w:lang w:eastAsia="es-MX"/>
              </w:rPr>
              <w:t>/2005</w:t>
            </w:r>
          </w:p>
        </w:tc>
        <w:tc>
          <w:tcPr>
            <w:tcW w:w="1935" w:type="dxa"/>
            <w:hideMark/>
          </w:tcPr>
          <w:p w14:paraId="47226BF7" w14:textId="77777777"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FE76B7">
              <w:rPr>
                <w:rFonts w:ascii="ITC Avant Garde" w:eastAsia="Times New Roman" w:hAnsi="ITC Avant Garde"/>
                <w:color w:val="000000"/>
                <w:sz w:val="16"/>
                <w:szCs w:val="16"/>
                <w:lang w:eastAsia="es-MX"/>
              </w:rPr>
              <w:t>DG-0907/09</w:t>
            </w:r>
          </w:p>
        </w:tc>
        <w:tc>
          <w:tcPr>
            <w:tcW w:w="2665" w:type="dxa"/>
            <w:noWrap/>
            <w:hideMark/>
          </w:tcPr>
          <w:p w14:paraId="0E94B89A" w14:textId="2B8B1E95" w:rsidR="00D41D0C" w:rsidRPr="00FE76B7" w:rsidRDefault="00D41D0C" w:rsidP="007A4A4F">
            <w:pPr>
              <w:spacing w:after="0" w:line="240" w:lineRule="auto"/>
              <w:jc w:val="center"/>
              <w:rPr>
                <w:rFonts w:ascii="ITC Avant Garde" w:eastAsia="Times New Roman" w:hAnsi="ITC Avant Garde"/>
                <w:color w:val="000000"/>
                <w:sz w:val="16"/>
                <w:szCs w:val="16"/>
                <w:lang w:eastAsia="es-MX"/>
              </w:rPr>
            </w:pPr>
            <w:r w:rsidRPr="0004366E">
              <w:rPr>
                <w:rFonts w:ascii="ITC Avant Garde" w:eastAsia="Times New Roman" w:hAnsi="ITC Avant Garde"/>
                <w:color w:val="000000"/>
                <w:sz w:val="16"/>
                <w:szCs w:val="16"/>
                <w:lang w:eastAsia="es-MX"/>
              </w:rPr>
              <w:t>14/10/2009</w:t>
            </w:r>
          </w:p>
        </w:tc>
      </w:tr>
    </w:tbl>
    <w:p w14:paraId="021436F9" w14:textId="77777777" w:rsidR="00B637A6" w:rsidRDefault="00BA27A8" w:rsidP="00B637A6">
      <w:pPr>
        <w:numPr>
          <w:ilvl w:val="0"/>
          <w:numId w:val="4"/>
        </w:numPr>
        <w:spacing w:before="240" w:line="240" w:lineRule="auto"/>
        <w:ind w:left="567" w:hanging="567"/>
        <w:jc w:val="both"/>
        <w:rPr>
          <w:rFonts w:ascii="ITC Avant Garde" w:hAnsi="ITC Avant Garde"/>
          <w:bCs/>
          <w:color w:val="000000"/>
          <w:lang w:eastAsia="es-MX"/>
        </w:rPr>
      </w:pPr>
      <w:r w:rsidRPr="004819F2">
        <w:rPr>
          <w:rFonts w:ascii="ITC Avant Garde" w:hAnsi="ITC Avant Garde"/>
          <w:b/>
          <w:bCs/>
          <w:color w:val="000000"/>
          <w:lang w:eastAsia="es-MX"/>
        </w:rPr>
        <w:t xml:space="preserve">Opinión del Pleno de la Comisión. </w:t>
      </w:r>
      <w:r w:rsidRPr="004819F2">
        <w:rPr>
          <w:rFonts w:ascii="ITC Avant Garde" w:hAnsi="ITC Avant Garde"/>
          <w:bCs/>
          <w:color w:val="000000"/>
          <w:lang w:eastAsia="es-MX"/>
        </w:rPr>
        <w:t>Mediante los Acuerdos P/EXT/200813/67</w:t>
      </w:r>
      <w:r w:rsidR="00CF6030" w:rsidRPr="004819F2">
        <w:rPr>
          <w:rFonts w:ascii="ITC Avant Garde" w:hAnsi="ITC Avant Garde"/>
          <w:bCs/>
          <w:color w:val="000000"/>
          <w:lang w:eastAsia="es-MX"/>
        </w:rPr>
        <w:t xml:space="preserve"> de fecha 20 de agosto de 2013</w:t>
      </w:r>
      <w:r w:rsidRPr="004819F2">
        <w:rPr>
          <w:rFonts w:ascii="ITC Avant Garde" w:hAnsi="ITC Avant Garde"/>
          <w:bCs/>
          <w:color w:val="000000"/>
          <w:lang w:eastAsia="es-MX"/>
        </w:rPr>
        <w:t xml:space="preserve"> y P/310713/502 </w:t>
      </w:r>
      <w:r w:rsidR="00CF6030" w:rsidRPr="004819F2">
        <w:rPr>
          <w:rFonts w:ascii="ITC Avant Garde" w:hAnsi="ITC Avant Garde"/>
          <w:bCs/>
          <w:color w:val="000000"/>
          <w:lang w:eastAsia="es-MX"/>
        </w:rPr>
        <w:t xml:space="preserve">de fecha 31 de julio de 2013, </w:t>
      </w:r>
      <w:r w:rsidRPr="004819F2">
        <w:rPr>
          <w:rFonts w:ascii="ITC Avant Garde" w:hAnsi="ITC Avant Garde"/>
          <w:bCs/>
          <w:color w:val="000000"/>
          <w:lang w:eastAsia="es-MX"/>
        </w:rPr>
        <w:t>el Pleno de la Comisión emitió opinión</w:t>
      </w:r>
      <w:r w:rsidR="00CF6030" w:rsidRPr="004819F2">
        <w:rPr>
          <w:rFonts w:ascii="ITC Avant Garde" w:hAnsi="ITC Avant Garde"/>
          <w:bCs/>
          <w:color w:val="000000"/>
          <w:lang w:eastAsia="es-MX"/>
        </w:rPr>
        <w:t xml:space="preserve"> en sentido favorable,</w:t>
      </w:r>
      <w:r w:rsidRPr="004819F2">
        <w:rPr>
          <w:rFonts w:ascii="ITC Avant Garde" w:hAnsi="ITC Avant Garde"/>
          <w:bCs/>
          <w:color w:val="000000"/>
          <w:lang w:eastAsia="es-MX"/>
        </w:rPr>
        <w:t xml:space="preserve"> respecto de las Solicitudes de Prórroga</w:t>
      </w:r>
      <w:r w:rsidR="00FA4824" w:rsidRPr="004819F2">
        <w:rPr>
          <w:rFonts w:ascii="ITC Avant Garde" w:hAnsi="ITC Avant Garde"/>
          <w:bCs/>
          <w:color w:val="000000"/>
          <w:lang w:eastAsia="es-MX"/>
        </w:rPr>
        <w:t xml:space="preserve"> de las </w:t>
      </w:r>
      <w:r w:rsidR="00321691" w:rsidRPr="004819F2">
        <w:rPr>
          <w:rFonts w:ascii="ITC Avant Garde" w:hAnsi="ITC Avant Garde"/>
          <w:bCs/>
          <w:color w:val="000000"/>
          <w:lang w:eastAsia="es-MX"/>
        </w:rPr>
        <w:t>a</w:t>
      </w:r>
      <w:r w:rsidR="00FA4824" w:rsidRPr="004819F2">
        <w:rPr>
          <w:rFonts w:ascii="ITC Avant Garde" w:hAnsi="ITC Avant Garde"/>
          <w:bCs/>
          <w:color w:val="000000"/>
          <w:lang w:eastAsia="es-MX"/>
        </w:rPr>
        <w:t>signaciones</w:t>
      </w:r>
      <w:r w:rsidR="003B036D" w:rsidRPr="004819F2">
        <w:rPr>
          <w:rFonts w:ascii="ITC Avant Garde" w:hAnsi="ITC Avant Garde"/>
          <w:bCs/>
          <w:color w:val="000000"/>
          <w:lang w:eastAsia="es-MX"/>
        </w:rPr>
        <w:t xml:space="preserve"> 1.-222</w:t>
      </w:r>
      <w:r w:rsidR="00321691" w:rsidRPr="004819F2">
        <w:rPr>
          <w:rFonts w:ascii="ITC Avant Garde" w:hAnsi="ITC Avant Garde"/>
          <w:bCs/>
          <w:color w:val="000000"/>
          <w:lang w:eastAsia="es-MX"/>
        </w:rPr>
        <w:t xml:space="preserve"> </w:t>
      </w:r>
      <w:r w:rsidR="003B036D" w:rsidRPr="004819F2">
        <w:rPr>
          <w:rFonts w:ascii="ITC Avant Garde" w:hAnsi="ITC Avant Garde"/>
          <w:bCs/>
          <w:color w:val="000000"/>
          <w:lang w:eastAsia="es-MX"/>
        </w:rPr>
        <w:t>y 1.-29</w:t>
      </w:r>
      <w:r w:rsidR="004B066B" w:rsidRPr="004819F2">
        <w:rPr>
          <w:rFonts w:ascii="ITC Avant Garde" w:hAnsi="ITC Avant Garde"/>
          <w:bCs/>
          <w:color w:val="000000"/>
          <w:lang w:eastAsia="es-MX"/>
        </w:rPr>
        <w:t>1</w:t>
      </w:r>
      <w:r w:rsidR="003B036D" w:rsidRPr="004819F2">
        <w:rPr>
          <w:rFonts w:ascii="ITC Avant Garde" w:hAnsi="ITC Avant Garde"/>
          <w:bCs/>
          <w:color w:val="000000"/>
          <w:lang w:eastAsia="es-MX"/>
        </w:rPr>
        <w:t xml:space="preserve"> </w:t>
      </w:r>
      <w:r w:rsidR="003427C8" w:rsidRPr="004819F2">
        <w:rPr>
          <w:rFonts w:ascii="ITC Avant Garde" w:hAnsi="ITC Avant Garde"/>
          <w:bCs/>
          <w:color w:val="000000"/>
          <w:lang w:eastAsia="es-MX"/>
        </w:rPr>
        <w:t>respectivamente</w:t>
      </w:r>
      <w:r w:rsidR="00321691" w:rsidRPr="004819F2">
        <w:rPr>
          <w:rFonts w:ascii="ITC Avant Garde" w:hAnsi="ITC Avant Garde"/>
          <w:bCs/>
          <w:color w:val="000000"/>
          <w:lang w:eastAsia="es-MX"/>
        </w:rPr>
        <w:t>, sin embargo, estas opiniones no fueron notificadas a la Secretaría</w:t>
      </w:r>
      <w:r w:rsidRPr="004819F2">
        <w:rPr>
          <w:rFonts w:ascii="ITC Avant Garde" w:hAnsi="ITC Avant Garde"/>
          <w:bCs/>
          <w:color w:val="000000"/>
          <w:lang w:eastAsia="es-MX"/>
        </w:rPr>
        <w:t>.</w:t>
      </w:r>
    </w:p>
    <w:p w14:paraId="41FA0EF2" w14:textId="77777777" w:rsidR="00B637A6" w:rsidRDefault="005062A1" w:rsidP="00B637A6">
      <w:pPr>
        <w:numPr>
          <w:ilvl w:val="0"/>
          <w:numId w:val="4"/>
        </w:numPr>
        <w:spacing w:before="240" w:line="240" w:lineRule="auto"/>
        <w:ind w:left="567" w:hanging="567"/>
        <w:jc w:val="both"/>
        <w:rPr>
          <w:rFonts w:ascii="ITC Avant Garde" w:hAnsi="ITC Avant Garde"/>
          <w:bCs/>
          <w:color w:val="000000"/>
          <w:lang w:eastAsia="es-MX"/>
        </w:rPr>
      </w:pPr>
      <w:r w:rsidRPr="00264CA5">
        <w:rPr>
          <w:rFonts w:ascii="ITC Avant Garde" w:hAnsi="ITC Avant Garde"/>
          <w:b/>
          <w:bCs/>
          <w:color w:val="000000"/>
          <w:lang w:eastAsia="es-MX"/>
        </w:rPr>
        <w:t xml:space="preserve">Decreto de Reforma Constitucional. </w:t>
      </w:r>
      <w:r w:rsidRPr="00264CA5">
        <w:rPr>
          <w:rFonts w:ascii="ITC Avant Garde" w:hAnsi="ITC Avant Garde"/>
          <w:bCs/>
          <w:color w:val="000000"/>
          <w:lang w:eastAsia="es-MX"/>
        </w:rPr>
        <w:t>Con fecha 11 de junio de 2013, se publicó en el Diario Oficial de la Federación el “</w:t>
      </w:r>
      <w:r w:rsidRPr="00264CA5">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264CA5">
        <w:rPr>
          <w:rFonts w:ascii="ITC Avant Garde" w:hAnsi="ITC Avant Garde"/>
          <w:bCs/>
          <w:color w:val="000000"/>
          <w:lang w:eastAsia="es-MX"/>
        </w:rPr>
        <w:t>” (el “Decreto de Reforma Constitucional”), mediante el cual se creó el Instituto Federal de Telecomunicaciones (el “Instituto”)</w:t>
      </w:r>
      <w:r w:rsidR="00321691" w:rsidRPr="00321691">
        <w:rPr>
          <w:rFonts w:ascii="ITC Avant Garde" w:hAnsi="ITC Avant Garde"/>
          <w:bCs/>
          <w:color w:val="000000"/>
          <w:lang w:eastAsia="es-MX"/>
        </w:rPr>
        <w:t xml:space="preserve"> </w:t>
      </w:r>
      <w:r w:rsidR="00321691" w:rsidRPr="00C538E7">
        <w:rPr>
          <w:rFonts w:ascii="ITC Avant Garde" w:hAnsi="ITC Avant Garde"/>
          <w:bCs/>
          <w:color w:val="000000"/>
          <w:lang w:eastAsia="es-MX"/>
        </w:rPr>
        <w:t>que tiene por objeto el desarrollo eficiente de la radiodifusión y las telecomunicaciones</w:t>
      </w:r>
      <w:r w:rsidR="00321691" w:rsidRPr="008652CC">
        <w:rPr>
          <w:rFonts w:ascii="ITC Avant Garde" w:hAnsi="ITC Avant Garde"/>
          <w:bCs/>
          <w:color w:val="000000"/>
          <w:lang w:eastAsia="es-MX"/>
        </w:rPr>
        <w:t>.</w:t>
      </w:r>
    </w:p>
    <w:p w14:paraId="210BAF85" w14:textId="77777777" w:rsidR="00B637A6" w:rsidRDefault="00E92BB2" w:rsidP="00B637A6">
      <w:pPr>
        <w:numPr>
          <w:ilvl w:val="0"/>
          <w:numId w:val="4"/>
        </w:numPr>
        <w:spacing w:before="240" w:line="240" w:lineRule="auto"/>
        <w:ind w:left="567" w:hanging="567"/>
        <w:jc w:val="both"/>
        <w:rPr>
          <w:rFonts w:ascii="ITC Avant Garde" w:hAnsi="ITC Avant Garde"/>
          <w:b/>
          <w:bCs/>
          <w:color w:val="000000" w:themeColor="text1"/>
          <w:lang w:eastAsia="es-MX"/>
        </w:rPr>
      </w:pPr>
      <w:r w:rsidRPr="00264CA5">
        <w:rPr>
          <w:rFonts w:ascii="ITC Avant Garde" w:hAnsi="ITC Avant Garde"/>
          <w:b/>
          <w:bCs/>
          <w:color w:val="000000" w:themeColor="text1"/>
          <w:lang w:eastAsia="es-MX"/>
        </w:rPr>
        <w:t xml:space="preserve">Decreto de Ley. </w:t>
      </w:r>
      <w:r w:rsidRPr="00264CA5">
        <w:rPr>
          <w:rFonts w:ascii="ITC Avant Garde" w:hAnsi="ITC Avant Garde"/>
          <w:bCs/>
          <w:color w:val="000000" w:themeColor="text1"/>
          <w:lang w:eastAsia="es-MX"/>
        </w:rPr>
        <w:t>El 14 de julio de 2014, se publicó en el Diario Oficial de la Federación el “</w:t>
      </w:r>
      <w:r w:rsidRPr="00264CA5">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264CA5">
        <w:rPr>
          <w:rFonts w:ascii="ITC Avant Garde" w:hAnsi="ITC Avant Garde"/>
          <w:bCs/>
          <w:color w:val="000000" w:themeColor="text1"/>
          <w:lang w:eastAsia="es-MX"/>
        </w:rPr>
        <w:t>” (el “Decreto de Ley”), mismo que entró en vigor el 13 de agosto de 2014.</w:t>
      </w:r>
    </w:p>
    <w:p w14:paraId="767E0589" w14:textId="77777777" w:rsidR="00B637A6" w:rsidRDefault="00742C59" w:rsidP="00B637A6">
      <w:pPr>
        <w:numPr>
          <w:ilvl w:val="0"/>
          <w:numId w:val="4"/>
        </w:numPr>
        <w:spacing w:before="240" w:line="240" w:lineRule="auto"/>
        <w:ind w:left="567" w:hanging="567"/>
        <w:jc w:val="both"/>
        <w:rPr>
          <w:rFonts w:ascii="ITC Avant Garde" w:hAnsi="ITC Avant Garde"/>
          <w:bCs/>
          <w:color w:val="000000" w:themeColor="text1"/>
          <w:lang w:eastAsia="es-MX"/>
        </w:rPr>
      </w:pPr>
      <w:r w:rsidRPr="00264CA5">
        <w:rPr>
          <w:rFonts w:ascii="ITC Avant Garde" w:hAnsi="ITC Avant Garde" w:cs="Arial"/>
          <w:b/>
          <w:bCs/>
          <w:color w:val="000000"/>
          <w:shd w:val="clear" w:color="auto" w:fill="FFFFFF"/>
        </w:rPr>
        <w:t>Estatuto Orgánico.</w:t>
      </w:r>
      <w:r w:rsidR="009E4A3B" w:rsidRPr="00264CA5">
        <w:rPr>
          <w:rStyle w:val="apple-converted-space"/>
          <w:rFonts w:ascii="ITC Avant Garde" w:hAnsi="ITC Avant Garde" w:cs="Arial"/>
          <w:b/>
          <w:bCs/>
          <w:color w:val="000000"/>
          <w:shd w:val="clear" w:color="auto" w:fill="FFFFFF"/>
        </w:rPr>
        <w:t xml:space="preserve"> </w:t>
      </w:r>
      <w:r w:rsidRPr="00264CA5">
        <w:rPr>
          <w:rFonts w:ascii="ITC Avant Garde" w:hAnsi="ITC Avant Garde"/>
          <w:color w:val="000000"/>
          <w:shd w:val="clear" w:color="auto" w:fill="FFFFFF"/>
        </w:rPr>
        <w:t>El 4 de septiembre de 2014, se publicó en el D</w:t>
      </w:r>
      <w:r w:rsidR="008652CC" w:rsidRPr="00264CA5">
        <w:rPr>
          <w:rFonts w:ascii="ITC Avant Garde" w:hAnsi="ITC Avant Garde"/>
          <w:color w:val="000000"/>
          <w:shd w:val="clear" w:color="auto" w:fill="FFFFFF"/>
        </w:rPr>
        <w:t xml:space="preserve">iario </w:t>
      </w:r>
      <w:r w:rsidRPr="00264CA5">
        <w:rPr>
          <w:rFonts w:ascii="ITC Avant Garde" w:hAnsi="ITC Avant Garde"/>
          <w:color w:val="000000"/>
          <w:shd w:val="clear" w:color="auto" w:fill="FFFFFF"/>
        </w:rPr>
        <w:t>O</w:t>
      </w:r>
      <w:r w:rsidR="008652CC" w:rsidRPr="00264CA5">
        <w:rPr>
          <w:rFonts w:ascii="ITC Avant Garde" w:hAnsi="ITC Avant Garde"/>
          <w:color w:val="000000"/>
          <w:shd w:val="clear" w:color="auto" w:fill="FFFFFF"/>
        </w:rPr>
        <w:t xml:space="preserve">ficial de la </w:t>
      </w:r>
      <w:r w:rsidRPr="00264CA5">
        <w:rPr>
          <w:rFonts w:ascii="ITC Avant Garde" w:hAnsi="ITC Avant Garde"/>
          <w:color w:val="000000"/>
          <w:shd w:val="clear" w:color="auto" w:fill="FFFFFF"/>
        </w:rPr>
        <w:t>F</w:t>
      </w:r>
      <w:r w:rsidR="008652CC" w:rsidRPr="00264CA5">
        <w:rPr>
          <w:rFonts w:ascii="ITC Avant Garde" w:hAnsi="ITC Avant Garde"/>
          <w:color w:val="000000"/>
          <w:shd w:val="clear" w:color="auto" w:fill="FFFFFF"/>
        </w:rPr>
        <w:t>ederación</w:t>
      </w:r>
      <w:r w:rsidRPr="00264CA5">
        <w:rPr>
          <w:rFonts w:ascii="ITC Avant Garde" w:hAnsi="ITC Avant Garde"/>
          <w:color w:val="000000"/>
          <w:shd w:val="clear" w:color="auto" w:fill="FFFFFF"/>
        </w:rPr>
        <w:t xml:space="preserve"> el “</w:t>
      </w:r>
      <w:r w:rsidRPr="00264CA5">
        <w:rPr>
          <w:rFonts w:ascii="ITC Avant Garde" w:hAnsi="ITC Avant Garde"/>
          <w:i/>
          <w:color w:val="000000"/>
          <w:shd w:val="clear" w:color="auto" w:fill="FFFFFF"/>
        </w:rPr>
        <w:t>Estatuto Orgánico del Instituto Federal de Telecomunicaciones</w:t>
      </w:r>
      <w:r w:rsidRPr="00264CA5">
        <w:rPr>
          <w:rFonts w:ascii="ITC Avant Garde" w:hAnsi="ITC Avant Garde"/>
          <w:color w:val="000000"/>
          <w:shd w:val="clear" w:color="auto" w:fill="FFFFFF"/>
        </w:rPr>
        <w:t xml:space="preserve">” (el “Estatuto Orgánico”), mismo que entró en vigor </w:t>
      </w:r>
      <w:r w:rsidR="00610A7F" w:rsidRPr="00264CA5">
        <w:rPr>
          <w:rFonts w:ascii="ITC Avant Garde" w:hAnsi="ITC Avant Garde"/>
          <w:color w:val="000000"/>
          <w:shd w:val="clear" w:color="auto" w:fill="FFFFFF"/>
        </w:rPr>
        <w:t>el 26 de septiembre de 2014</w:t>
      </w:r>
      <w:r w:rsidR="0085715F">
        <w:rPr>
          <w:rFonts w:ascii="ITC Avant Garde" w:hAnsi="ITC Avant Garde"/>
          <w:color w:val="000000"/>
          <w:shd w:val="clear" w:color="auto" w:fill="FFFFFF"/>
        </w:rPr>
        <w:t xml:space="preserve"> y fue</w:t>
      </w:r>
      <w:r w:rsidR="00746DCC" w:rsidRPr="00264CA5">
        <w:rPr>
          <w:rFonts w:ascii="ITC Avant Garde" w:hAnsi="ITC Avant Garde"/>
          <w:color w:val="000000"/>
          <w:shd w:val="clear" w:color="auto" w:fill="FFFFFF"/>
        </w:rPr>
        <w:t xml:space="preserve"> modificado </w:t>
      </w:r>
      <w:r w:rsidR="0085715F">
        <w:rPr>
          <w:rFonts w:ascii="ITC Avant Garde" w:hAnsi="ITC Avant Garde"/>
          <w:color w:val="000000"/>
          <w:shd w:val="clear" w:color="auto" w:fill="FFFFFF"/>
        </w:rPr>
        <w:t>por última vez el</w:t>
      </w:r>
      <w:r w:rsidR="00D878F4">
        <w:rPr>
          <w:rFonts w:ascii="ITC Avant Garde" w:hAnsi="ITC Avant Garde"/>
          <w:color w:val="000000"/>
          <w:shd w:val="clear" w:color="auto" w:fill="FFFFFF"/>
        </w:rPr>
        <w:t xml:space="preserve"> 17 de octubre de 2016</w:t>
      </w:r>
      <w:r w:rsidRPr="00264CA5">
        <w:rPr>
          <w:rFonts w:ascii="ITC Avant Garde" w:hAnsi="ITC Avant Garde"/>
          <w:color w:val="000000"/>
          <w:shd w:val="clear" w:color="auto" w:fill="FFFFFF"/>
        </w:rPr>
        <w:t>.</w:t>
      </w:r>
    </w:p>
    <w:p w14:paraId="3F7FE972" w14:textId="77777777" w:rsidR="00B637A6" w:rsidRDefault="00B048BA" w:rsidP="00B637A6">
      <w:pPr>
        <w:spacing w:before="240" w:line="240" w:lineRule="auto"/>
        <w:jc w:val="both"/>
        <w:rPr>
          <w:rFonts w:ascii="ITC Avant Garde" w:hAnsi="ITC Avant Garde"/>
          <w:bCs/>
          <w:color w:val="000000"/>
          <w:lang w:eastAsia="es-MX"/>
        </w:rPr>
      </w:pPr>
      <w:r w:rsidRPr="00264CA5">
        <w:rPr>
          <w:rFonts w:ascii="ITC Avant Garde" w:hAnsi="ITC Avant Garde"/>
          <w:bCs/>
          <w:color w:val="000000"/>
          <w:lang w:eastAsia="es-MX"/>
        </w:rPr>
        <w:t>En virtud de los Antecedentes referidos y,</w:t>
      </w:r>
    </w:p>
    <w:p w14:paraId="08A3EAA0" w14:textId="77777777" w:rsidR="00B637A6" w:rsidRPr="00B637A6" w:rsidRDefault="00B048BA" w:rsidP="00B637A6">
      <w:pPr>
        <w:pStyle w:val="Ttulo2"/>
        <w:spacing w:after="240"/>
        <w:jc w:val="center"/>
        <w:rPr>
          <w:rFonts w:ascii="ITC Avant Garde" w:hAnsi="ITC Avant Garde"/>
          <w:b/>
          <w:color w:val="000000" w:themeColor="text1"/>
          <w:sz w:val="22"/>
          <w:szCs w:val="22"/>
        </w:rPr>
      </w:pPr>
      <w:r w:rsidRPr="00B637A6">
        <w:rPr>
          <w:rFonts w:ascii="ITC Avant Garde" w:hAnsi="ITC Avant Garde"/>
          <w:b/>
          <w:color w:val="000000" w:themeColor="text1"/>
          <w:sz w:val="22"/>
          <w:szCs w:val="22"/>
        </w:rPr>
        <w:t>CONSIDERANDO</w:t>
      </w:r>
    </w:p>
    <w:p w14:paraId="4A65E674" w14:textId="77777777" w:rsidR="00B637A6" w:rsidRDefault="00B048BA"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
          <w:bCs/>
        </w:rPr>
        <w:t>Primero.-</w:t>
      </w:r>
      <w:r w:rsidRPr="00264CA5">
        <w:rPr>
          <w:rFonts w:ascii="ITC Avant Garde" w:hAnsi="ITC Avant Garde"/>
          <w:bCs/>
        </w:rPr>
        <w:t xml:space="preserve"> </w:t>
      </w:r>
      <w:r w:rsidRPr="00264CA5">
        <w:rPr>
          <w:rFonts w:ascii="ITC Avant Garde" w:hAnsi="ITC Avant Garde"/>
          <w:b/>
          <w:bCs/>
        </w:rPr>
        <w:t>Competencia.</w:t>
      </w:r>
      <w:r w:rsidRPr="00264CA5">
        <w:rPr>
          <w:rFonts w:ascii="ITC Avant Garde" w:hAnsi="ITC Avant Garde"/>
          <w:bCs/>
        </w:rPr>
        <w:t xml:space="preserve"> Conforme lo dispone el artículo 28 </w:t>
      </w:r>
      <w:r w:rsidR="00ED1D21" w:rsidRPr="00264CA5">
        <w:rPr>
          <w:rFonts w:ascii="ITC Avant Garde" w:hAnsi="ITC Avant Garde"/>
          <w:bCs/>
        </w:rPr>
        <w:t>párrafo décimo quinto</w:t>
      </w:r>
      <w:r w:rsidR="00D06F43" w:rsidRPr="00264CA5">
        <w:rPr>
          <w:rFonts w:ascii="ITC Avant Garde" w:hAnsi="ITC Avant Garde"/>
          <w:bCs/>
        </w:rPr>
        <w:t xml:space="preserve"> </w:t>
      </w:r>
      <w:r w:rsidRPr="00264CA5">
        <w:rPr>
          <w:rFonts w:ascii="ITC Avant Garde" w:hAnsi="ITC Avant Garde"/>
          <w:bCs/>
        </w:rPr>
        <w:t>de la Constitución Política de los Estados Unidos Mexicanos</w:t>
      </w:r>
      <w:r w:rsidR="00DE628B" w:rsidRPr="00264CA5">
        <w:rPr>
          <w:rFonts w:ascii="ITC Avant Garde" w:hAnsi="ITC Avant Garde"/>
          <w:bCs/>
        </w:rPr>
        <w:t xml:space="preserve"> (la “Constitución”)</w:t>
      </w:r>
      <w:r w:rsidRPr="00264CA5">
        <w:rPr>
          <w:rFonts w:ascii="ITC Avant Garde" w:hAnsi="ITC Avant Garde"/>
          <w:bCs/>
        </w:rPr>
        <w:t>, el Instituto es el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338573EA" w14:textId="77777777" w:rsidR="00B637A6" w:rsidRDefault="00742C59"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lastRenderedPageBreak/>
        <w:t xml:space="preserve">Asimismo, </w:t>
      </w:r>
      <w:r w:rsidR="00B34AC0" w:rsidRPr="00264CA5">
        <w:rPr>
          <w:rFonts w:ascii="ITC Avant Garde" w:hAnsi="ITC Avant Garde"/>
          <w:bCs/>
        </w:rPr>
        <w:t>en términos del párrafo décimo sexto del artículo constitucional</w:t>
      </w:r>
      <w:r w:rsidR="00422482">
        <w:rPr>
          <w:rFonts w:ascii="ITC Avant Garde" w:hAnsi="ITC Avant Garde"/>
          <w:bCs/>
        </w:rPr>
        <w:t xml:space="preserve"> antes mencionado</w:t>
      </w:r>
      <w:r w:rsidR="00B34AC0" w:rsidRPr="00264CA5">
        <w:rPr>
          <w:rFonts w:ascii="ITC Avant Garde" w:hAnsi="ITC Avant Garde"/>
          <w:bCs/>
        </w:rPr>
        <w:t xml:space="preserve">, </w:t>
      </w:r>
      <w:r w:rsidRPr="00264CA5">
        <w:rPr>
          <w:rFonts w:ascii="ITC Avant Garde" w:hAnsi="ITC Avant Garde"/>
          <w:bCs/>
        </w:rPr>
        <w:t>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w:t>
      </w:r>
      <w:r w:rsidR="00114E58" w:rsidRPr="00264CA5">
        <w:rPr>
          <w:rFonts w:ascii="ITC Avant Garde" w:hAnsi="ITC Avant Garde"/>
          <w:bCs/>
        </w:rPr>
        <w:t>ncurrencia</w:t>
      </w:r>
      <w:r w:rsidRPr="00264CA5">
        <w:rPr>
          <w:rFonts w:ascii="ITC Avant Garde" w:hAnsi="ITC Avant Garde"/>
          <w:bCs/>
        </w:rPr>
        <w:t>; impondrá límites al c</w:t>
      </w:r>
      <w:r w:rsidR="004B7836" w:rsidRPr="00264CA5">
        <w:rPr>
          <w:rFonts w:ascii="ITC Avant Garde" w:hAnsi="ITC Avant Garde"/>
          <w:bCs/>
        </w:rPr>
        <w:t>oncesionamie</w:t>
      </w:r>
      <w:r w:rsidRPr="00264CA5">
        <w:rPr>
          <w:rFonts w:ascii="ITC Avant Garde" w:hAnsi="ITC Avant Garde"/>
          <w:bCs/>
        </w:rPr>
        <w:t>nto y a la propiedad cruzada que controle varios medios de comunicación que sean concesionarios de radiodifusión y telecomunicaciones que sirvan a un mismo mercado o zona de cobertura geogr</w:t>
      </w:r>
      <w:r w:rsidR="004B7836" w:rsidRPr="00264CA5">
        <w:rPr>
          <w:rFonts w:ascii="ITC Avant Garde" w:hAnsi="ITC Avant Garde"/>
          <w:bCs/>
        </w:rPr>
        <w:t xml:space="preserve">áfica, </w:t>
      </w:r>
      <w:r w:rsidRPr="00264CA5">
        <w:rPr>
          <w:rFonts w:ascii="ITC Avant Garde" w:hAnsi="ITC Avant Garde"/>
          <w:bCs/>
        </w:rPr>
        <w:t xml:space="preserve">garantizando lo dispuesto en los artículos </w:t>
      </w:r>
      <w:r w:rsidR="004B7836" w:rsidRPr="00264CA5">
        <w:rPr>
          <w:rFonts w:ascii="ITC Avant Garde" w:hAnsi="ITC Avant Garde"/>
          <w:bCs/>
        </w:rPr>
        <w:t>6o. y 7o. de la Constitución.</w:t>
      </w:r>
    </w:p>
    <w:p w14:paraId="5BDDA796" w14:textId="77777777" w:rsidR="00B637A6" w:rsidRDefault="00E145D1"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t xml:space="preserve">Por su parte, el artículo Sexto Transitorio del Decreto de Ley establece que la atención, trámite y resolución de los asuntos y procedimientos iniciados con anterioridad a la entrada en vigor del mismo, como </w:t>
      </w:r>
      <w:r w:rsidR="00875EDC" w:rsidRPr="00264CA5">
        <w:rPr>
          <w:rFonts w:ascii="ITC Avant Garde" w:hAnsi="ITC Avant Garde"/>
          <w:bCs/>
        </w:rPr>
        <w:t>son</w:t>
      </w:r>
      <w:r w:rsidRPr="00264CA5">
        <w:rPr>
          <w:rFonts w:ascii="ITC Avant Garde" w:hAnsi="ITC Avant Garde"/>
          <w:bCs/>
        </w:rPr>
        <w:t xml:space="preserve"> </w:t>
      </w:r>
      <w:r w:rsidR="00875EDC" w:rsidRPr="00264CA5">
        <w:rPr>
          <w:rFonts w:ascii="ITC Avant Garde" w:hAnsi="ITC Avant Garde"/>
          <w:bCs/>
        </w:rPr>
        <w:t>los</w:t>
      </w:r>
      <w:r w:rsidRPr="00264CA5">
        <w:rPr>
          <w:rFonts w:ascii="ITC Avant Garde" w:hAnsi="ITC Avant Garde"/>
          <w:bCs/>
        </w:rPr>
        <w:t xml:space="preserve"> caso</w:t>
      </w:r>
      <w:r w:rsidR="00875EDC" w:rsidRPr="00264CA5">
        <w:rPr>
          <w:rFonts w:ascii="ITC Avant Garde" w:hAnsi="ITC Avant Garde"/>
          <w:bCs/>
        </w:rPr>
        <w:t>s</w:t>
      </w:r>
      <w:r w:rsidRPr="00264CA5">
        <w:rPr>
          <w:rFonts w:ascii="ITC Avant Garde" w:hAnsi="ITC Avant Garde"/>
          <w:bCs/>
        </w:rPr>
        <w:t xml:space="preserve"> </w:t>
      </w:r>
      <w:r w:rsidR="00875EDC" w:rsidRPr="00264CA5">
        <w:rPr>
          <w:rFonts w:ascii="ITC Avant Garde" w:hAnsi="ITC Avant Garde"/>
          <w:bCs/>
        </w:rPr>
        <w:t xml:space="preserve">señalados en el Antecedente </w:t>
      </w:r>
      <w:r w:rsidR="009F7F20">
        <w:rPr>
          <w:rFonts w:ascii="ITC Avant Garde" w:hAnsi="ITC Avant Garde"/>
          <w:bCs/>
        </w:rPr>
        <w:t>I</w:t>
      </w:r>
      <w:r w:rsidR="00875EDC" w:rsidRPr="00264CA5">
        <w:rPr>
          <w:rFonts w:ascii="ITC Avant Garde" w:hAnsi="ITC Avant Garde"/>
          <w:bCs/>
        </w:rPr>
        <w:t>I de la presente Resolución</w:t>
      </w:r>
      <w:r w:rsidRPr="00264CA5">
        <w:rPr>
          <w:rFonts w:ascii="ITC Avant Garde" w:hAnsi="ITC Avant Garde"/>
          <w:bCs/>
        </w:rPr>
        <w:t>, se realizará</w:t>
      </w:r>
      <w:r w:rsidR="002F0963" w:rsidRPr="00264CA5">
        <w:rPr>
          <w:rFonts w:ascii="ITC Avant Garde" w:hAnsi="ITC Avant Garde"/>
          <w:bCs/>
        </w:rPr>
        <w:t>n</w:t>
      </w:r>
      <w:r w:rsidRPr="00264CA5">
        <w:rPr>
          <w:rFonts w:ascii="ITC Avant Garde" w:hAnsi="ITC Avant Garde"/>
          <w:bCs/>
        </w:rPr>
        <w:t xml:space="preserve"> en los términos establecidos en el artículo Séptimo Transitorio del Decreto de Reforma Constitucional.</w:t>
      </w:r>
    </w:p>
    <w:p w14:paraId="137DD445" w14:textId="77777777" w:rsidR="00B637A6" w:rsidRDefault="00E145D1"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t xml:space="preserve">Al respecto, el Decreto de Reforma Constitucional establece en su artículo Séptimo Transitorio, segundo párrafo, que los procedimientos iniciados con anterioridad a la integración del Instituto, </w:t>
      </w:r>
      <w:r w:rsidR="00875EDC" w:rsidRPr="00264CA5">
        <w:rPr>
          <w:rFonts w:ascii="ITC Avant Garde" w:hAnsi="ITC Avant Garde"/>
          <w:bCs/>
        </w:rPr>
        <w:t xml:space="preserve">como son los casos que nos ocupan, </w:t>
      </w:r>
      <w:r w:rsidR="005678C3" w:rsidRPr="00264CA5">
        <w:rPr>
          <w:rFonts w:ascii="ITC Avant Garde" w:hAnsi="ITC Avant Garde"/>
          <w:bCs/>
        </w:rPr>
        <w:t>continuarán su trámite ante dicho órgano, en los términos de la legislación aplicable al momento de su inicio</w:t>
      </w:r>
      <w:r w:rsidR="00BC2E53" w:rsidRPr="00264CA5">
        <w:rPr>
          <w:rFonts w:ascii="ITC Avant Garde" w:hAnsi="ITC Avant Garde"/>
          <w:bCs/>
        </w:rPr>
        <w:t>.</w:t>
      </w:r>
    </w:p>
    <w:p w14:paraId="3EB30C01" w14:textId="77777777" w:rsidR="00B637A6" w:rsidRDefault="00E64B6B" w:rsidP="00B637A6">
      <w:pPr>
        <w:autoSpaceDE w:val="0"/>
        <w:autoSpaceDN w:val="0"/>
        <w:adjustRightInd w:val="0"/>
        <w:spacing w:before="240" w:line="240" w:lineRule="auto"/>
        <w:jc w:val="both"/>
        <w:rPr>
          <w:rFonts w:ascii="ITC Avant Garde" w:hAnsi="ITC Avant Garde" w:cs="Tahoma"/>
          <w:bCs/>
          <w:lang w:eastAsia="es-MX"/>
        </w:rPr>
      </w:pPr>
      <w:r w:rsidRPr="00264CA5">
        <w:rPr>
          <w:rFonts w:ascii="ITC Avant Garde" w:hAnsi="ITC Avant Garde" w:cs="Tahoma"/>
          <w:bCs/>
          <w:lang w:eastAsia="es-MX"/>
        </w:rPr>
        <w:t>Ahora bien, corresponde al Pleno del Instituto, conforme a lo establecido en los artículos 15 fracción IV y 17 fracción I de la Ley Federal de Telecomunicaciones y Radiodifusión</w:t>
      </w:r>
      <w:r w:rsidR="00BC0D39" w:rsidRPr="00264CA5">
        <w:rPr>
          <w:rFonts w:ascii="ITC Avant Garde" w:hAnsi="ITC Avant Garde" w:cs="Tahoma"/>
          <w:bCs/>
          <w:lang w:eastAsia="es-MX"/>
        </w:rPr>
        <w:t xml:space="preserve"> (la “Ley”)</w:t>
      </w:r>
      <w:r w:rsidRPr="00264CA5">
        <w:rPr>
          <w:rFonts w:ascii="ITC Avant Garde" w:hAnsi="ITC Avant Garde" w:cs="Tahoma"/>
          <w:bCs/>
          <w:lang w:eastAsia="es-MX"/>
        </w:rPr>
        <w:t xml:space="preserve"> el otorgamiento de concesiones, así como resolver respecto de </w:t>
      </w:r>
      <w:r w:rsidR="00A74D8A">
        <w:rPr>
          <w:rFonts w:ascii="ITC Avant Garde" w:hAnsi="ITC Avant Garde" w:cs="Tahoma"/>
          <w:bCs/>
          <w:lang w:eastAsia="es-MX"/>
        </w:rPr>
        <w:t>su</w:t>
      </w:r>
      <w:r w:rsidR="00A74D8A" w:rsidRPr="00264CA5">
        <w:rPr>
          <w:rFonts w:ascii="ITC Avant Garde" w:hAnsi="ITC Avant Garde" w:cs="Tahoma"/>
          <w:bCs/>
          <w:lang w:eastAsia="es-MX"/>
        </w:rPr>
        <w:t xml:space="preserve"> </w:t>
      </w:r>
      <w:r w:rsidRPr="00264CA5">
        <w:rPr>
          <w:rFonts w:ascii="ITC Avant Garde" w:hAnsi="ITC Avant Garde" w:cs="Tahoma"/>
          <w:bCs/>
          <w:lang w:eastAsia="es-MX"/>
        </w:rPr>
        <w:t>prórroga, modificación o terminación.</w:t>
      </w:r>
    </w:p>
    <w:p w14:paraId="38B745A9" w14:textId="77777777" w:rsidR="00B637A6" w:rsidRDefault="00E64B6B" w:rsidP="00B637A6">
      <w:pPr>
        <w:autoSpaceDE w:val="0"/>
        <w:autoSpaceDN w:val="0"/>
        <w:adjustRightInd w:val="0"/>
        <w:spacing w:before="240" w:line="240" w:lineRule="auto"/>
        <w:jc w:val="both"/>
        <w:rPr>
          <w:rFonts w:ascii="ITC Avant Garde" w:hAnsi="ITC Avant Garde" w:cs="Tahoma"/>
          <w:bCs/>
          <w:lang w:eastAsia="es-MX"/>
        </w:rPr>
      </w:pPr>
      <w:r w:rsidRPr="00264CA5">
        <w:rPr>
          <w:rFonts w:ascii="ITC Avant Garde" w:hAnsi="ITC Avant Garde" w:cs="Tahoma"/>
          <w:bCs/>
          <w:lang w:eastAsia="es-MX"/>
        </w:rPr>
        <w:t>Por otra parte, corresponde al Pleno del Instituto, en términos del artículo 6 fracci</w:t>
      </w:r>
      <w:r w:rsidR="005678C3" w:rsidRPr="00264CA5">
        <w:rPr>
          <w:rFonts w:ascii="ITC Avant Garde" w:hAnsi="ITC Avant Garde" w:cs="Tahoma"/>
          <w:bCs/>
          <w:lang w:eastAsia="es-MX"/>
        </w:rPr>
        <w:t>ones</w:t>
      </w:r>
      <w:r w:rsidRPr="00264CA5">
        <w:rPr>
          <w:rFonts w:ascii="ITC Avant Garde" w:hAnsi="ITC Avant Garde" w:cs="Tahoma"/>
          <w:bCs/>
          <w:lang w:eastAsia="es-MX"/>
        </w:rPr>
        <w:t xml:space="preserve"> I </w:t>
      </w:r>
      <w:r w:rsidR="005678C3" w:rsidRPr="00264CA5">
        <w:rPr>
          <w:rFonts w:ascii="ITC Avant Garde" w:hAnsi="ITC Avant Garde" w:cs="Tahoma"/>
          <w:bCs/>
          <w:lang w:eastAsia="es-MX"/>
        </w:rPr>
        <w:t>y XXXVII</w:t>
      </w:r>
      <w:r w:rsidR="00422482">
        <w:rPr>
          <w:rFonts w:ascii="ITC Avant Garde" w:hAnsi="ITC Avant Garde" w:cs="Tahoma"/>
          <w:bCs/>
          <w:lang w:eastAsia="es-MX"/>
        </w:rPr>
        <w:t>I</w:t>
      </w:r>
      <w:r w:rsidR="005678C3" w:rsidRPr="00264CA5">
        <w:rPr>
          <w:rFonts w:ascii="ITC Avant Garde" w:hAnsi="ITC Avant Garde" w:cs="Tahoma"/>
          <w:bCs/>
          <w:lang w:eastAsia="es-MX"/>
        </w:rPr>
        <w:t xml:space="preserve"> </w:t>
      </w:r>
      <w:r w:rsidRPr="00264CA5">
        <w:rPr>
          <w:rFonts w:ascii="ITC Avant Garde" w:hAnsi="ITC Avant Garde" w:cs="Tahoma"/>
          <w:bCs/>
          <w:lang w:eastAsia="es-MX"/>
        </w:rPr>
        <w:t xml:space="preserve">del </w:t>
      </w:r>
      <w:r w:rsidRPr="00264CA5">
        <w:rPr>
          <w:rFonts w:ascii="ITC Avant Garde" w:hAnsi="ITC Avant Garde"/>
          <w:bCs/>
          <w:lang w:eastAsia="es-MX"/>
        </w:rPr>
        <w:t>Estatuto Orgánico,</w:t>
      </w:r>
      <w:r w:rsidRPr="00264CA5">
        <w:rPr>
          <w:rFonts w:ascii="ITC Avant Garde" w:hAnsi="ITC Avant Garde" w:cs="Tahoma"/>
          <w:bCs/>
          <w:lang w:eastAsia="es-MX"/>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r w:rsidR="005678C3" w:rsidRPr="00264CA5">
        <w:rPr>
          <w:rFonts w:ascii="ITC Avant Garde" w:hAnsi="ITC Avant Garde" w:cs="Tahoma"/>
          <w:bCs/>
          <w:lang w:eastAsia="es-MX"/>
        </w:rPr>
        <w:t xml:space="preserve"> y las demás que la Ley y otros ordenamientos le confieran</w:t>
      </w:r>
      <w:r w:rsidRPr="00264CA5">
        <w:rPr>
          <w:rFonts w:ascii="ITC Avant Garde" w:hAnsi="ITC Avant Garde" w:cs="Tahoma"/>
          <w:bCs/>
          <w:lang w:eastAsia="es-MX"/>
        </w:rPr>
        <w:t>.</w:t>
      </w:r>
    </w:p>
    <w:p w14:paraId="74640ADC" w14:textId="77777777" w:rsidR="00B637A6" w:rsidRDefault="006A38B1" w:rsidP="00B637A6">
      <w:pPr>
        <w:autoSpaceDE w:val="0"/>
        <w:autoSpaceDN w:val="0"/>
        <w:adjustRightInd w:val="0"/>
        <w:spacing w:before="240" w:line="240" w:lineRule="auto"/>
        <w:jc w:val="both"/>
        <w:rPr>
          <w:rFonts w:ascii="ITC Avant Garde" w:hAnsi="ITC Avant Garde" w:cs="Tahoma"/>
          <w:bCs/>
          <w:lang w:eastAsia="es-MX"/>
        </w:rPr>
      </w:pPr>
      <w:r w:rsidRPr="00264CA5">
        <w:rPr>
          <w:rFonts w:ascii="ITC Avant Garde" w:hAnsi="ITC Avant Garde" w:cs="Tahoma"/>
          <w:bCs/>
          <w:lang w:eastAsia="es-MX"/>
        </w:rPr>
        <w:t>Asimismo</w:t>
      </w:r>
      <w:r w:rsidR="00FA0380" w:rsidRPr="00264CA5">
        <w:rPr>
          <w:rFonts w:ascii="ITC Avant Garde" w:hAnsi="ITC Avant Garde" w:cs="Tahoma"/>
          <w:bCs/>
          <w:lang w:eastAsia="es-MX"/>
        </w:rPr>
        <w:t xml:space="preserve">, </w:t>
      </w:r>
      <w:r w:rsidR="00B573B6" w:rsidRPr="00264CA5">
        <w:rPr>
          <w:rFonts w:ascii="ITC Avant Garde" w:hAnsi="ITC Avant Garde" w:cs="Tahoma"/>
          <w:bCs/>
          <w:lang w:eastAsia="es-MX"/>
        </w:rPr>
        <w:t>conforme a</w:t>
      </w:r>
      <w:r w:rsidR="002F0963" w:rsidRPr="00264CA5">
        <w:rPr>
          <w:rFonts w:ascii="ITC Avant Garde" w:hAnsi="ITC Avant Garde" w:cs="Tahoma"/>
          <w:bCs/>
          <w:lang w:eastAsia="es-MX"/>
        </w:rPr>
        <w:t xml:space="preserve"> </w:t>
      </w:r>
      <w:r w:rsidR="00B573B6" w:rsidRPr="00264CA5">
        <w:rPr>
          <w:rFonts w:ascii="ITC Avant Garde" w:hAnsi="ITC Avant Garde" w:cs="Tahoma"/>
          <w:bCs/>
          <w:lang w:eastAsia="es-MX"/>
        </w:rPr>
        <w:t>l</w:t>
      </w:r>
      <w:r w:rsidR="002F0963" w:rsidRPr="00264CA5">
        <w:rPr>
          <w:rFonts w:ascii="ITC Avant Garde" w:hAnsi="ITC Avant Garde" w:cs="Tahoma"/>
          <w:bCs/>
          <w:lang w:eastAsia="es-MX"/>
        </w:rPr>
        <w:t>os</w:t>
      </w:r>
      <w:r w:rsidR="00B573B6" w:rsidRPr="00264CA5">
        <w:rPr>
          <w:rFonts w:ascii="ITC Avant Garde" w:hAnsi="ITC Avant Garde" w:cs="Tahoma"/>
          <w:bCs/>
          <w:lang w:eastAsia="es-MX"/>
        </w:rPr>
        <w:t xml:space="preserve"> artículo</w:t>
      </w:r>
      <w:r w:rsidR="002F0963" w:rsidRPr="00264CA5">
        <w:rPr>
          <w:rFonts w:ascii="ITC Avant Garde" w:hAnsi="ITC Avant Garde" w:cs="Tahoma"/>
          <w:bCs/>
          <w:lang w:eastAsia="es-MX"/>
        </w:rPr>
        <w:t>s</w:t>
      </w:r>
      <w:r w:rsidR="00B573B6" w:rsidRPr="00264CA5">
        <w:rPr>
          <w:rFonts w:ascii="ITC Avant Garde" w:hAnsi="ITC Avant Garde" w:cs="Tahoma"/>
          <w:bCs/>
          <w:lang w:eastAsia="es-MX"/>
        </w:rPr>
        <w:t xml:space="preserve"> </w:t>
      </w:r>
      <w:r w:rsidR="00022FDF" w:rsidRPr="00264CA5">
        <w:rPr>
          <w:rFonts w:ascii="ITC Avant Garde" w:hAnsi="ITC Avant Garde" w:cs="Tahoma"/>
          <w:bCs/>
          <w:lang w:eastAsia="es-MX"/>
        </w:rPr>
        <w:t xml:space="preserve">32 y </w:t>
      </w:r>
      <w:r w:rsidR="0082518F" w:rsidRPr="00264CA5">
        <w:rPr>
          <w:rFonts w:ascii="ITC Avant Garde" w:hAnsi="ITC Avant Garde" w:cs="Tahoma"/>
          <w:bCs/>
          <w:lang w:eastAsia="es-MX"/>
        </w:rPr>
        <w:t xml:space="preserve">33 </w:t>
      </w:r>
      <w:proofErr w:type="gramStart"/>
      <w:r w:rsidR="0082518F" w:rsidRPr="00264CA5">
        <w:rPr>
          <w:rFonts w:ascii="ITC Avant Garde" w:hAnsi="ITC Avant Garde" w:cs="Tahoma"/>
          <w:bCs/>
          <w:lang w:eastAsia="es-MX"/>
        </w:rPr>
        <w:t>fracción</w:t>
      </w:r>
      <w:proofErr w:type="gramEnd"/>
      <w:r w:rsidR="0082518F" w:rsidRPr="00264CA5">
        <w:rPr>
          <w:rFonts w:ascii="ITC Avant Garde" w:hAnsi="ITC Avant Garde" w:cs="Tahoma"/>
          <w:bCs/>
          <w:lang w:eastAsia="es-MX"/>
        </w:rPr>
        <w:t xml:space="preserve"> II del Estatuto Orgánico</w:t>
      </w:r>
      <w:r w:rsidR="00B4598E">
        <w:rPr>
          <w:rFonts w:ascii="ITC Avant Garde" w:hAnsi="ITC Avant Garde" w:cs="Tahoma"/>
          <w:bCs/>
          <w:lang w:eastAsia="es-MX"/>
        </w:rPr>
        <w:t>,</w:t>
      </w:r>
      <w:r w:rsidR="00B048BA" w:rsidRPr="00264CA5">
        <w:rPr>
          <w:rFonts w:ascii="ITC Avant Garde" w:hAnsi="ITC Avant Garde"/>
          <w:bCs/>
        </w:rPr>
        <w:t xml:space="preserve"> corresponde a</w:t>
      </w:r>
      <w:r w:rsidR="0082518F" w:rsidRPr="00264CA5">
        <w:rPr>
          <w:rFonts w:ascii="ITC Avant Garde" w:hAnsi="ITC Avant Garde"/>
          <w:bCs/>
        </w:rPr>
        <w:t xml:space="preserve"> </w:t>
      </w:r>
      <w:r w:rsidR="0082518F" w:rsidRPr="00264CA5">
        <w:rPr>
          <w:rFonts w:ascii="ITC Avant Garde" w:hAnsi="ITC Avant Garde" w:cs="Tahoma"/>
          <w:bCs/>
          <w:lang w:eastAsia="es-MX"/>
        </w:rPr>
        <w:t xml:space="preserve">la </w:t>
      </w:r>
      <w:r w:rsidR="00924700" w:rsidRPr="00264CA5">
        <w:rPr>
          <w:rFonts w:ascii="ITC Avant Garde" w:hAnsi="ITC Avant Garde" w:cs="Tahoma"/>
          <w:bCs/>
          <w:lang w:eastAsia="es-MX"/>
        </w:rPr>
        <w:t xml:space="preserve">Unidad de Concesiones y Servicios, a través de la </w:t>
      </w:r>
      <w:r w:rsidR="0082518F" w:rsidRPr="00264CA5">
        <w:rPr>
          <w:rFonts w:ascii="ITC Avant Garde" w:hAnsi="ITC Avant Garde" w:cs="Tahoma"/>
          <w:bCs/>
          <w:lang w:eastAsia="es-MX"/>
        </w:rPr>
        <w:t xml:space="preserve">Dirección General de Concesiones de Telecomunicaciones, tramitar y evaluar las solicitudes </w:t>
      </w:r>
      <w:r w:rsidR="0071048A" w:rsidRPr="00264CA5">
        <w:rPr>
          <w:rFonts w:ascii="ITC Avant Garde" w:hAnsi="ITC Avant Garde" w:cs="Tahoma"/>
          <w:bCs/>
          <w:lang w:eastAsia="es-MX"/>
        </w:rPr>
        <w:t xml:space="preserve">de cesión, modificación o prórroga de las concesiones </w:t>
      </w:r>
      <w:r w:rsidR="0082518F" w:rsidRPr="00264CA5">
        <w:rPr>
          <w:rFonts w:ascii="ITC Avant Garde" w:hAnsi="ITC Avant Garde" w:cs="Tahoma"/>
          <w:bCs/>
          <w:lang w:eastAsia="es-MX"/>
        </w:rPr>
        <w:t>e</w:t>
      </w:r>
      <w:r w:rsidR="0071048A" w:rsidRPr="00264CA5">
        <w:rPr>
          <w:rFonts w:ascii="ITC Avant Garde" w:hAnsi="ITC Avant Garde" w:cs="Tahoma"/>
          <w:bCs/>
          <w:lang w:eastAsia="es-MX"/>
        </w:rPr>
        <w:t>n materia de telecomunicaciones</w:t>
      </w:r>
      <w:r w:rsidR="0082518F" w:rsidRPr="00264CA5">
        <w:rPr>
          <w:rFonts w:ascii="ITC Avant Garde" w:hAnsi="ITC Avant Garde" w:cs="Tahoma"/>
          <w:bCs/>
          <w:lang w:eastAsia="es-MX"/>
        </w:rPr>
        <w:t xml:space="preserve"> para somet</w:t>
      </w:r>
      <w:r w:rsidR="0071048A" w:rsidRPr="00264CA5">
        <w:rPr>
          <w:rFonts w:ascii="ITC Avant Garde" w:hAnsi="ITC Avant Garde" w:cs="Tahoma"/>
          <w:bCs/>
          <w:lang w:eastAsia="es-MX"/>
        </w:rPr>
        <w:t>erlas a consider</w:t>
      </w:r>
      <w:r w:rsidR="009F21AA" w:rsidRPr="00264CA5">
        <w:rPr>
          <w:rFonts w:ascii="ITC Avant Garde" w:hAnsi="ITC Avant Garde" w:cs="Tahoma"/>
          <w:bCs/>
          <w:lang w:eastAsia="es-MX"/>
        </w:rPr>
        <w:t>ación del Pleno.</w:t>
      </w:r>
    </w:p>
    <w:p w14:paraId="028B037A" w14:textId="77777777" w:rsidR="00B637A6" w:rsidRDefault="00F93EFF"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t xml:space="preserve">En este orden de ideas, </w:t>
      </w:r>
      <w:r w:rsidR="000F3F9A" w:rsidRPr="00264CA5">
        <w:rPr>
          <w:rFonts w:ascii="ITC Avant Garde" w:hAnsi="ITC Avant Garde"/>
          <w:bCs/>
        </w:rPr>
        <w:t xml:space="preserve">y toda vez </w:t>
      </w:r>
      <w:r w:rsidRPr="00264CA5">
        <w:rPr>
          <w:rFonts w:ascii="ITC Avant Garde" w:hAnsi="ITC Avant Garde"/>
          <w:bCs/>
        </w:rPr>
        <w:t>que</w:t>
      </w:r>
      <w:r w:rsidR="00E64B6B" w:rsidRPr="00264CA5">
        <w:rPr>
          <w:rFonts w:ascii="ITC Avant Garde" w:hAnsi="ITC Avant Garde"/>
          <w:bCs/>
        </w:rPr>
        <w:t xml:space="preserve"> el Instituto está facultado para otorgar concesiones en materia de telecomunicaciones</w:t>
      </w:r>
      <w:r w:rsidR="000F3F9A" w:rsidRPr="00264CA5">
        <w:rPr>
          <w:rFonts w:ascii="ITC Avant Garde" w:hAnsi="ITC Avant Garde"/>
          <w:bCs/>
        </w:rPr>
        <w:t xml:space="preserve">; </w:t>
      </w:r>
      <w:r w:rsidR="00E64B6B" w:rsidRPr="00264CA5">
        <w:rPr>
          <w:rFonts w:ascii="ITC Avant Garde" w:hAnsi="ITC Avant Garde"/>
          <w:bCs/>
        </w:rPr>
        <w:t xml:space="preserve">resolver respecto de </w:t>
      </w:r>
      <w:r w:rsidR="000F3F9A" w:rsidRPr="00264CA5">
        <w:rPr>
          <w:rFonts w:ascii="ITC Avant Garde" w:hAnsi="ITC Avant Garde"/>
          <w:bCs/>
        </w:rPr>
        <w:t>las</w:t>
      </w:r>
      <w:r w:rsidR="00E64B6B" w:rsidRPr="00264CA5">
        <w:rPr>
          <w:rFonts w:ascii="ITC Avant Garde" w:hAnsi="ITC Avant Garde"/>
          <w:bCs/>
        </w:rPr>
        <w:t xml:space="preserve"> prórrogas, modificación o terminación de las mismas, </w:t>
      </w:r>
      <w:r w:rsidR="000F3F9A" w:rsidRPr="00264CA5">
        <w:rPr>
          <w:rFonts w:ascii="ITC Avant Garde" w:hAnsi="ITC Avant Garde"/>
          <w:bCs/>
        </w:rPr>
        <w:t xml:space="preserve">y </w:t>
      </w:r>
      <w:r w:rsidR="002F0963" w:rsidRPr="00264CA5">
        <w:rPr>
          <w:rFonts w:ascii="ITC Avant Garde" w:hAnsi="ITC Avant Garde"/>
          <w:bCs/>
        </w:rPr>
        <w:t xml:space="preserve">además </w:t>
      </w:r>
      <w:r w:rsidR="000F3F9A" w:rsidRPr="00264CA5">
        <w:rPr>
          <w:rFonts w:ascii="ITC Avant Garde" w:hAnsi="ITC Avant Garde"/>
          <w:bCs/>
        </w:rPr>
        <w:t>tiene</w:t>
      </w:r>
      <w:r w:rsidR="00E64B6B" w:rsidRPr="00264CA5">
        <w:rPr>
          <w:rFonts w:ascii="ITC Avant Garde" w:hAnsi="ITC Avant Garde"/>
          <w:bCs/>
        </w:rPr>
        <w:t xml:space="preserve"> a su cargo la regulación, promoción y supervisión de las telecomunicaciones</w:t>
      </w:r>
      <w:r w:rsidR="000F3F9A" w:rsidRPr="00264CA5">
        <w:rPr>
          <w:rFonts w:ascii="ITC Avant Garde" w:hAnsi="ITC Avant Garde"/>
          <w:bCs/>
        </w:rPr>
        <w:t xml:space="preserve">, se concluye que </w:t>
      </w:r>
      <w:r w:rsidRPr="00264CA5">
        <w:rPr>
          <w:rFonts w:ascii="ITC Avant Garde" w:hAnsi="ITC Avant Garde"/>
          <w:bCs/>
        </w:rPr>
        <w:t>el Pleno, como órgano máximo de gobierno y decisión del Instituto, se encuentra plenamente facultado para resolver la</w:t>
      </w:r>
      <w:r w:rsidR="00AE2635" w:rsidRPr="00264CA5">
        <w:rPr>
          <w:rFonts w:ascii="ITC Avant Garde" w:hAnsi="ITC Avant Garde"/>
          <w:bCs/>
        </w:rPr>
        <w:t>s</w:t>
      </w:r>
      <w:r w:rsidRPr="00264CA5">
        <w:rPr>
          <w:rFonts w:ascii="ITC Avant Garde" w:hAnsi="ITC Avant Garde"/>
          <w:bCs/>
        </w:rPr>
        <w:t xml:space="preserve"> Solicitud</w:t>
      </w:r>
      <w:r w:rsidR="00AE2635" w:rsidRPr="00264CA5">
        <w:rPr>
          <w:rFonts w:ascii="ITC Avant Garde" w:hAnsi="ITC Avant Garde"/>
          <w:bCs/>
        </w:rPr>
        <w:t>es</w:t>
      </w:r>
      <w:r w:rsidRPr="00264CA5">
        <w:rPr>
          <w:rFonts w:ascii="ITC Avant Garde" w:hAnsi="ITC Avant Garde"/>
          <w:bCs/>
        </w:rPr>
        <w:t xml:space="preserve"> de Prórroga</w:t>
      </w:r>
      <w:r w:rsidR="00A6521D" w:rsidRPr="00264CA5">
        <w:rPr>
          <w:rFonts w:ascii="ITC Avant Garde" w:hAnsi="ITC Avant Garde"/>
          <w:bCs/>
        </w:rPr>
        <w:t>.</w:t>
      </w:r>
    </w:p>
    <w:p w14:paraId="6DB17AC5" w14:textId="77777777" w:rsidR="00B637A6" w:rsidRDefault="00CB4474" w:rsidP="00B637A6">
      <w:pPr>
        <w:autoSpaceDE w:val="0"/>
        <w:autoSpaceDN w:val="0"/>
        <w:adjustRightInd w:val="0"/>
        <w:spacing w:before="240" w:line="240" w:lineRule="auto"/>
        <w:jc w:val="both"/>
        <w:rPr>
          <w:rFonts w:ascii="ITC Avant Garde" w:hAnsi="ITC Avant Garde"/>
          <w:bCs/>
          <w:color w:val="000000"/>
          <w:lang w:eastAsia="es-MX"/>
        </w:rPr>
      </w:pPr>
      <w:r w:rsidRPr="00264CA5">
        <w:rPr>
          <w:rFonts w:ascii="ITC Avant Garde" w:hAnsi="ITC Avant Garde"/>
          <w:b/>
          <w:bCs/>
        </w:rPr>
        <w:lastRenderedPageBreak/>
        <w:t>Segundo</w:t>
      </w:r>
      <w:r w:rsidR="00A6521D" w:rsidRPr="00264CA5">
        <w:rPr>
          <w:rFonts w:ascii="ITC Avant Garde" w:hAnsi="ITC Avant Garde"/>
          <w:b/>
          <w:bCs/>
        </w:rPr>
        <w:t>.-</w:t>
      </w:r>
      <w:r w:rsidR="00A6521D" w:rsidRPr="00264CA5">
        <w:rPr>
          <w:rFonts w:ascii="ITC Avant Garde" w:hAnsi="ITC Avant Garde"/>
          <w:bCs/>
        </w:rPr>
        <w:t xml:space="preserve"> </w:t>
      </w:r>
      <w:r w:rsidR="00A6521D" w:rsidRPr="00264CA5">
        <w:rPr>
          <w:rFonts w:ascii="ITC Avant Garde" w:hAnsi="ITC Avant Garde"/>
          <w:b/>
          <w:bCs/>
        </w:rPr>
        <w:t>Marco legal aplicable a la</w:t>
      </w:r>
      <w:r w:rsidR="00AE2635" w:rsidRPr="00264CA5">
        <w:rPr>
          <w:rFonts w:ascii="ITC Avant Garde" w:hAnsi="ITC Avant Garde"/>
          <w:b/>
          <w:bCs/>
        </w:rPr>
        <w:t>s</w:t>
      </w:r>
      <w:r w:rsidR="00A6521D" w:rsidRPr="00264CA5">
        <w:rPr>
          <w:rFonts w:ascii="ITC Avant Garde" w:hAnsi="ITC Avant Garde"/>
          <w:b/>
          <w:bCs/>
        </w:rPr>
        <w:t xml:space="preserve"> </w:t>
      </w:r>
      <w:r w:rsidR="00923F63" w:rsidRPr="00264CA5">
        <w:rPr>
          <w:rFonts w:ascii="ITC Avant Garde" w:hAnsi="ITC Avant Garde"/>
          <w:b/>
          <w:bCs/>
        </w:rPr>
        <w:t>Solicitud</w:t>
      </w:r>
      <w:r w:rsidR="00AE2635" w:rsidRPr="00264CA5">
        <w:rPr>
          <w:rFonts w:ascii="ITC Avant Garde" w:hAnsi="ITC Avant Garde"/>
          <w:b/>
          <w:bCs/>
        </w:rPr>
        <w:t>es</w:t>
      </w:r>
      <w:r w:rsidR="00923F63" w:rsidRPr="00264CA5">
        <w:rPr>
          <w:rFonts w:ascii="ITC Avant Garde" w:hAnsi="ITC Avant Garde"/>
          <w:b/>
          <w:bCs/>
        </w:rPr>
        <w:t xml:space="preserve"> de P</w:t>
      </w:r>
      <w:r w:rsidR="00A6521D" w:rsidRPr="00264CA5">
        <w:rPr>
          <w:rFonts w:ascii="ITC Avant Garde" w:hAnsi="ITC Avant Garde"/>
          <w:b/>
          <w:bCs/>
        </w:rPr>
        <w:t>rórroga.</w:t>
      </w:r>
      <w:r w:rsidR="00A6521D" w:rsidRPr="00264CA5">
        <w:rPr>
          <w:rFonts w:ascii="ITC Avant Garde" w:hAnsi="ITC Avant Garde"/>
          <w:bCs/>
        </w:rPr>
        <w:t xml:space="preserve"> </w:t>
      </w:r>
      <w:r w:rsidR="007B4E69" w:rsidRPr="00264CA5">
        <w:rPr>
          <w:rFonts w:ascii="ITC Avant Garde" w:hAnsi="ITC Avant Garde"/>
          <w:bCs/>
        </w:rPr>
        <w:t xml:space="preserve">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w:t>
      </w:r>
      <w:r w:rsidR="00946B3B" w:rsidRPr="00264CA5">
        <w:rPr>
          <w:rFonts w:ascii="ITC Avant Garde" w:hAnsi="ITC Avant Garde"/>
          <w:bCs/>
          <w:color w:val="000000"/>
          <w:lang w:eastAsia="es-MX"/>
        </w:rPr>
        <w:t xml:space="preserve">normatividad aplicable que establece los requisitos de procedencia </w:t>
      </w:r>
      <w:r w:rsidR="006C2F94" w:rsidRPr="00264CA5">
        <w:rPr>
          <w:rFonts w:ascii="ITC Avant Garde" w:hAnsi="ITC Avant Garde"/>
          <w:bCs/>
          <w:color w:val="000000"/>
          <w:lang w:eastAsia="es-MX"/>
        </w:rPr>
        <w:t xml:space="preserve">para </w:t>
      </w:r>
      <w:r w:rsidR="007B4E69" w:rsidRPr="00264CA5">
        <w:rPr>
          <w:rFonts w:ascii="ITC Avant Garde" w:hAnsi="ITC Avant Garde"/>
          <w:bCs/>
          <w:color w:val="000000"/>
          <w:lang w:eastAsia="es-MX"/>
        </w:rPr>
        <w:t>el análisis de la</w:t>
      </w:r>
      <w:r w:rsidR="00AE2635" w:rsidRPr="00264CA5">
        <w:rPr>
          <w:rFonts w:ascii="ITC Avant Garde" w:hAnsi="ITC Avant Garde"/>
          <w:bCs/>
          <w:color w:val="000000"/>
          <w:lang w:eastAsia="es-MX"/>
        </w:rPr>
        <w:t>s</w:t>
      </w:r>
      <w:r w:rsidR="007B4E69" w:rsidRPr="00264CA5">
        <w:rPr>
          <w:rFonts w:ascii="ITC Avant Garde" w:hAnsi="ITC Avant Garde"/>
          <w:bCs/>
          <w:color w:val="000000"/>
          <w:lang w:eastAsia="es-MX"/>
        </w:rPr>
        <w:t xml:space="preserve"> Solicitud</w:t>
      </w:r>
      <w:r w:rsidR="00AE2635" w:rsidRPr="00264CA5">
        <w:rPr>
          <w:rFonts w:ascii="ITC Avant Garde" w:hAnsi="ITC Avant Garde"/>
          <w:bCs/>
          <w:color w:val="000000"/>
          <w:lang w:eastAsia="es-MX"/>
        </w:rPr>
        <w:t>es</w:t>
      </w:r>
      <w:r w:rsidR="007B4E69" w:rsidRPr="00264CA5">
        <w:rPr>
          <w:rFonts w:ascii="ITC Avant Garde" w:hAnsi="ITC Avant Garde"/>
          <w:bCs/>
          <w:color w:val="000000"/>
          <w:lang w:eastAsia="es-MX"/>
        </w:rPr>
        <w:t xml:space="preserve"> de Prórroga</w:t>
      </w:r>
      <w:r w:rsidR="00AE2635" w:rsidRPr="00264CA5">
        <w:rPr>
          <w:rFonts w:ascii="ITC Avant Garde" w:hAnsi="ITC Avant Garde"/>
          <w:bCs/>
          <w:color w:val="000000"/>
          <w:lang w:eastAsia="es-MX"/>
        </w:rPr>
        <w:t xml:space="preserve"> </w:t>
      </w:r>
      <w:r w:rsidR="006C2F94" w:rsidRPr="00264CA5">
        <w:rPr>
          <w:rFonts w:ascii="ITC Avant Garde" w:hAnsi="ITC Avant Garde"/>
          <w:bCs/>
          <w:color w:val="000000"/>
          <w:lang w:eastAsia="es-MX"/>
        </w:rPr>
        <w:t xml:space="preserve">se encuentra contenida en </w:t>
      </w:r>
      <w:r w:rsidR="00CB2327" w:rsidRPr="00264CA5">
        <w:rPr>
          <w:rFonts w:ascii="ITC Avant Garde" w:hAnsi="ITC Avant Garde"/>
          <w:bCs/>
          <w:color w:val="000000"/>
          <w:lang w:eastAsia="es-MX"/>
        </w:rPr>
        <w:t xml:space="preserve">la Ley </w:t>
      </w:r>
      <w:r w:rsidR="007B4E69" w:rsidRPr="00264CA5">
        <w:rPr>
          <w:rFonts w:ascii="ITC Avant Garde" w:hAnsi="ITC Avant Garde"/>
          <w:bCs/>
          <w:color w:val="000000"/>
          <w:lang w:eastAsia="es-MX"/>
        </w:rPr>
        <w:t xml:space="preserve">Federal de Telecomunicaciones (la “LFT”) y </w:t>
      </w:r>
      <w:r w:rsidR="00BF1160" w:rsidRPr="00264CA5">
        <w:rPr>
          <w:rFonts w:ascii="ITC Avant Garde" w:hAnsi="ITC Avant Garde"/>
          <w:bCs/>
          <w:color w:val="000000"/>
          <w:lang w:eastAsia="es-MX"/>
        </w:rPr>
        <w:t xml:space="preserve">en </w:t>
      </w:r>
      <w:r w:rsidR="007B4E69" w:rsidRPr="00264CA5">
        <w:rPr>
          <w:rFonts w:ascii="ITC Avant Garde" w:hAnsi="ITC Avant Garde"/>
          <w:bCs/>
          <w:color w:val="000000"/>
          <w:lang w:eastAsia="es-MX"/>
        </w:rPr>
        <w:t>lo establecido en l</w:t>
      </w:r>
      <w:r w:rsidR="00BF1160" w:rsidRPr="00264CA5">
        <w:rPr>
          <w:rFonts w:ascii="ITC Avant Garde" w:hAnsi="ITC Avant Garde"/>
          <w:bCs/>
          <w:color w:val="000000"/>
          <w:lang w:eastAsia="es-MX"/>
        </w:rPr>
        <w:t>a</w:t>
      </w:r>
      <w:r w:rsidR="00262255" w:rsidRPr="00264CA5">
        <w:rPr>
          <w:rFonts w:ascii="ITC Avant Garde" w:hAnsi="ITC Avant Garde"/>
          <w:bCs/>
          <w:color w:val="000000"/>
          <w:lang w:eastAsia="es-MX"/>
        </w:rPr>
        <w:t>s</w:t>
      </w:r>
      <w:r w:rsidR="00BF1160" w:rsidRPr="00264CA5">
        <w:rPr>
          <w:rFonts w:ascii="ITC Avant Garde" w:hAnsi="ITC Avant Garde"/>
          <w:bCs/>
          <w:color w:val="000000"/>
          <w:lang w:eastAsia="es-MX"/>
        </w:rPr>
        <w:t xml:space="preserve"> Asignaci</w:t>
      </w:r>
      <w:r w:rsidR="00262255" w:rsidRPr="00264CA5">
        <w:rPr>
          <w:rFonts w:ascii="ITC Avant Garde" w:hAnsi="ITC Avant Garde"/>
          <w:bCs/>
          <w:color w:val="000000"/>
          <w:lang w:eastAsia="es-MX"/>
        </w:rPr>
        <w:t>ones</w:t>
      </w:r>
      <w:r w:rsidR="007B4E69" w:rsidRPr="00264CA5">
        <w:rPr>
          <w:rFonts w:ascii="ITC Avant Garde" w:hAnsi="ITC Avant Garde"/>
          <w:bCs/>
          <w:color w:val="000000"/>
          <w:lang w:eastAsia="es-MX"/>
        </w:rPr>
        <w:t>.</w:t>
      </w:r>
    </w:p>
    <w:p w14:paraId="759A7FC3" w14:textId="77777777" w:rsidR="00B637A6" w:rsidRDefault="00BF1160" w:rsidP="00B637A6">
      <w:pPr>
        <w:autoSpaceDE w:val="0"/>
        <w:autoSpaceDN w:val="0"/>
        <w:adjustRightInd w:val="0"/>
        <w:spacing w:before="240" w:line="240" w:lineRule="auto"/>
        <w:jc w:val="both"/>
        <w:rPr>
          <w:rFonts w:ascii="ITC Avant Garde" w:hAnsi="ITC Avant Garde"/>
          <w:bCs/>
          <w:color w:val="000000"/>
          <w:lang w:eastAsia="es-MX"/>
        </w:rPr>
      </w:pPr>
      <w:r w:rsidRPr="00264CA5">
        <w:rPr>
          <w:rFonts w:ascii="ITC Avant Garde" w:hAnsi="ITC Avant Garde"/>
          <w:bCs/>
          <w:color w:val="000000"/>
          <w:lang w:eastAsia="es-MX"/>
        </w:rPr>
        <w:t>El artículo 22 de la LFT establecía que las asignaciones para el uso, aprovechamiento o explotación de bandas de frecuencia para uso oficial, ser</w:t>
      </w:r>
      <w:r w:rsidR="008B2A78">
        <w:rPr>
          <w:rFonts w:ascii="ITC Avant Garde" w:hAnsi="ITC Avant Garde"/>
          <w:bCs/>
          <w:color w:val="000000"/>
          <w:lang w:eastAsia="es-MX"/>
        </w:rPr>
        <w:t>ía</w:t>
      </w:r>
      <w:r w:rsidRPr="00264CA5">
        <w:rPr>
          <w:rFonts w:ascii="ITC Avant Garde" w:hAnsi="ITC Avant Garde"/>
          <w:bCs/>
          <w:color w:val="000000"/>
          <w:lang w:eastAsia="es-MX"/>
        </w:rPr>
        <w:t>n intransferibles y estar</w:t>
      </w:r>
      <w:r w:rsidR="008B2A78">
        <w:rPr>
          <w:rFonts w:ascii="ITC Avant Garde" w:hAnsi="ITC Avant Garde"/>
          <w:bCs/>
          <w:color w:val="000000"/>
          <w:lang w:eastAsia="es-MX"/>
        </w:rPr>
        <w:t>ía</w:t>
      </w:r>
      <w:r w:rsidRPr="00264CA5">
        <w:rPr>
          <w:rFonts w:ascii="ITC Avant Garde" w:hAnsi="ITC Avant Garde"/>
          <w:bCs/>
          <w:color w:val="000000"/>
          <w:lang w:eastAsia="es-MX"/>
        </w:rPr>
        <w:t>n sujetas a las disposiciones que en materia de concesiones prev</w:t>
      </w:r>
      <w:r w:rsidR="008B2A78">
        <w:rPr>
          <w:rFonts w:ascii="ITC Avant Garde" w:hAnsi="ITC Avant Garde"/>
          <w:bCs/>
          <w:color w:val="000000"/>
          <w:lang w:eastAsia="es-MX"/>
        </w:rPr>
        <w:t>eía</w:t>
      </w:r>
      <w:r w:rsidRPr="00264CA5">
        <w:rPr>
          <w:rFonts w:ascii="ITC Avant Garde" w:hAnsi="ITC Avant Garde"/>
          <w:bCs/>
          <w:color w:val="000000"/>
          <w:lang w:eastAsia="es-MX"/>
        </w:rPr>
        <w:t xml:space="preserve"> dicha ley, con excepción de las referentes al procedimiento de licitación pública.</w:t>
      </w:r>
    </w:p>
    <w:p w14:paraId="61232F66" w14:textId="77777777" w:rsidR="00B637A6" w:rsidRDefault="007B4E69" w:rsidP="00B637A6">
      <w:pPr>
        <w:autoSpaceDE w:val="0"/>
        <w:autoSpaceDN w:val="0"/>
        <w:adjustRightInd w:val="0"/>
        <w:spacing w:before="240" w:line="240" w:lineRule="auto"/>
        <w:jc w:val="both"/>
        <w:rPr>
          <w:rFonts w:ascii="ITC Avant Garde" w:hAnsi="ITC Avant Garde"/>
          <w:bCs/>
          <w:color w:val="000000"/>
          <w:lang w:eastAsia="es-MX"/>
        </w:rPr>
      </w:pPr>
      <w:r w:rsidRPr="00264CA5">
        <w:rPr>
          <w:rFonts w:ascii="ITC Avant Garde" w:hAnsi="ITC Avant Garde"/>
          <w:bCs/>
          <w:color w:val="000000"/>
          <w:lang w:eastAsia="es-MX"/>
        </w:rPr>
        <w:t>En este sentido, el artículo 19 de la LFT disponía</w:t>
      </w:r>
      <w:r w:rsidR="009511B5" w:rsidRPr="00264CA5">
        <w:rPr>
          <w:rFonts w:ascii="ITC Avant Garde" w:hAnsi="ITC Avant Garde"/>
          <w:bCs/>
          <w:color w:val="000000"/>
          <w:lang w:eastAsia="es-MX"/>
        </w:rPr>
        <w:t xml:space="preserve"> </w:t>
      </w:r>
      <w:r w:rsidR="006C2F94" w:rsidRPr="00264CA5">
        <w:rPr>
          <w:rFonts w:ascii="ITC Avant Garde" w:hAnsi="ITC Avant Garde"/>
          <w:bCs/>
          <w:color w:val="000000"/>
          <w:lang w:eastAsia="es-MX"/>
        </w:rPr>
        <w:t>lo siguiente:</w:t>
      </w:r>
    </w:p>
    <w:p w14:paraId="73F3DF43" w14:textId="77777777" w:rsidR="00B637A6" w:rsidRDefault="006C2F94" w:rsidP="00B637A6">
      <w:pPr>
        <w:spacing w:before="240" w:line="240" w:lineRule="auto"/>
        <w:ind w:left="567" w:right="616"/>
        <w:jc w:val="both"/>
        <w:rPr>
          <w:rFonts w:ascii="ITC Avant Garde" w:hAnsi="ITC Avant Garde"/>
          <w:bCs/>
          <w:i/>
          <w:color w:val="000000"/>
          <w:sz w:val="20"/>
          <w:szCs w:val="20"/>
          <w:lang w:eastAsia="es-MX"/>
        </w:rPr>
      </w:pPr>
      <w:r w:rsidRPr="00264CA5">
        <w:rPr>
          <w:rFonts w:ascii="ITC Avant Garde" w:hAnsi="ITC Avant Garde"/>
          <w:bCs/>
          <w:i/>
          <w:color w:val="000000"/>
          <w:sz w:val="20"/>
          <w:szCs w:val="20"/>
          <w:lang w:eastAsia="es-MX"/>
        </w:rPr>
        <w:t>“</w:t>
      </w:r>
      <w:r w:rsidRPr="00264CA5">
        <w:rPr>
          <w:rFonts w:ascii="ITC Avant Garde" w:hAnsi="ITC Avant Garde"/>
          <w:b/>
          <w:bCs/>
          <w:i/>
          <w:color w:val="000000"/>
          <w:sz w:val="20"/>
          <w:szCs w:val="20"/>
          <w:lang w:eastAsia="es-MX"/>
        </w:rPr>
        <w:t>Artículo 1</w:t>
      </w:r>
      <w:r w:rsidR="007B4E69" w:rsidRPr="00264CA5">
        <w:rPr>
          <w:rFonts w:ascii="ITC Avant Garde" w:hAnsi="ITC Avant Garde"/>
          <w:b/>
          <w:bCs/>
          <w:i/>
          <w:color w:val="000000"/>
          <w:sz w:val="20"/>
          <w:szCs w:val="20"/>
          <w:lang w:eastAsia="es-MX"/>
        </w:rPr>
        <w:t>9</w:t>
      </w:r>
      <w:r w:rsidRPr="00264CA5">
        <w:rPr>
          <w:rFonts w:ascii="ITC Avant Garde" w:hAnsi="ITC Avant Garde"/>
          <w:b/>
          <w:bCs/>
          <w:i/>
          <w:color w:val="000000"/>
          <w:sz w:val="20"/>
          <w:szCs w:val="20"/>
          <w:lang w:eastAsia="es-MX"/>
        </w:rPr>
        <w:t>.</w:t>
      </w:r>
      <w:r w:rsidRPr="00264CA5">
        <w:rPr>
          <w:rFonts w:ascii="ITC Avant Garde" w:hAnsi="ITC Avant Garde"/>
          <w:bCs/>
          <w:i/>
          <w:color w:val="000000"/>
          <w:sz w:val="20"/>
          <w:szCs w:val="20"/>
          <w:lang w:eastAsia="es-MX"/>
        </w:rPr>
        <w:t xml:space="preserve"> </w:t>
      </w:r>
      <w:r w:rsidR="007B4E69" w:rsidRPr="00264CA5">
        <w:rPr>
          <w:rFonts w:ascii="ITC Avant Garde" w:hAnsi="ITC Avant Garde"/>
          <w:bCs/>
          <w:i/>
          <w:color w:val="000000"/>
          <w:sz w:val="20"/>
          <w:szCs w:val="20"/>
          <w:lang w:eastAsia="es-MX"/>
        </w:rPr>
        <w:t>Las concesiones sobre bandas de frecuencias se otorgarán por un plazo hasta de 20 años y podrán ser prorrogadas hasta por plazos iguales a los originalmente establecidos, a juicio de la Secretaría.</w:t>
      </w:r>
    </w:p>
    <w:p w14:paraId="52BADA74" w14:textId="77777777" w:rsidR="00B637A6" w:rsidRDefault="007B4E69" w:rsidP="00B637A6">
      <w:pPr>
        <w:autoSpaceDE w:val="0"/>
        <w:autoSpaceDN w:val="0"/>
        <w:adjustRightInd w:val="0"/>
        <w:spacing w:before="240" w:line="240" w:lineRule="auto"/>
        <w:ind w:left="567" w:right="615"/>
        <w:jc w:val="both"/>
        <w:rPr>
          <w:rFonts w:ascii="ITC Avant Garde" w:hAnsi="ITC Avant Garde"/>
          <w:bCs/>
          <w:color w:val="000000"/>
          <w:sz w:val="20"/>
          <w:szCs w:val="20"/>
          <w:lang w:eastAsia="es-MX"/>
        </w:rPr>
      </w:pPr>
      <w:r w:rsidRPr="00264CA5">
        <w:rPr>
          <w:rFonts w:ascii="ITC Avant Garde" w:hAnsi="ITC Avant Garde"/>
          <w:bCs/>
          <w:i/>
          <w:color w:val="000000"/>
          <w:sz w:val="20"/>
          <w:szCs w:val="20"/>
          <w:lang w:eastAsia="es-MX"/>
        </w:rPr>
        <w:t xml:space="preserve">Para el otorgamiento de las prórrogas será necesario que el concesionario hubiere cumplido con las condiciones previstas en la concesión que se pretenda prorrogar; </w:t>
      </w:r>
      <w:r w:rsidRPr="00264CA5">
        <w:rPr>
          <w:rFonts w:ascii="ITC Avant Garde" w:hAnsi="ITC Avant Garde"/>
          <w:b/>
          <w:bCs/>
          <w:i/>
          <w:color w:val="000000"/>
          <w:sz w:val="20"/>
          <w:szCs w:val="20"/>
          <w:lang w:eastAsia="es-MX"/>
        </w:rPr>
        <w:t>lo solicite antes de que inicie la última quinta parte del plazo de la concesión</w:t>
      </w:r>
      <w:r w:rsidRPr="00264CA5">
        <w:rPr>
          <w:rFonts w:ascii="ITC Avant Garde" w:hAnsi="ITC Avant Garde"/>
          <w:bCs/>
          <w:i/>
          <w:color w:val="000000"/>
          <w:sz w:val="20"/>
          <w:szCs w:val="20"/>
          <w:lang w:eastAsia="es-MX"/>
        </w:rPr>
        <w:t>, y acepte las nuevas condiciones que establezca la propia Secretaría de acuerdo a la presente Ley y demás disposiciones aplicables. La Secretaría resolverá lo conducente en un plazo no mayor a 180 días naturales.</w:t>
      </w:r>
      <w:r w:rsidR="00EC02ED" w:rsidRPr="00264CA5">
        <w:rPr>
          <w:rFonts w:ascii="ITC Avant Garde" w:hAnsi="ITC Avant Garde"/>
          <w:bCs/>
          <w:i/>
          <w:color w:val="000000"/>
          <w:sz w:val="20"/>
          <w:szCs w:val="20"/>
          <w:lang w:eastAsia="es-MX"/>
        </w:rPr>
        <w:t>”</w:t>
      </w:r>
      <w:r w:rsidR="00BF1160" w:rsidRPr="00264CA5">
        <w:rPr>
          <w:rFonts w:ascii="ITC Avant Garde" w:hAnsi="ITC Avant Garde"/>
          <w:bCs/>
          <w:i/>
          <w:color w:val="000000"/>
          <w:sz w:val="20"/>
          <w:szCs w:val="20"/>
          <w:lang w:eastAsia="es-MX"/>
        </w:rPr>
        <w:t xml:space="preserve"> </w:t>
      </w:r>
      <w:r w:rsidR="00BF1160" w:rsidRPr="00264CA5">
        <w:rPr>
          <w:rFonts w:ascii="ITC Avant Garde" w:hAnsi="ITC Avant Garde"/>
          <w:bCs/>
          <w:color w:val="000000"/>
          <w:sz w:val="20"/>
          <w:szCs w:val="20"/>
          <w:lang w:eastAsia="es-MX"/>
        </w:rPr>
        <w:t>(</w:t>
      </w:r>
      <w:r w:rsidR="00EC02ED" w:rsidRPr="00264CA5">
        <w:rPr>
          <w:rFonts w:ascii="ITC Avant Garde" w:hAnsi="ITC Avant Garde"/>
          <w:bCs/>
          <w:color w:val="000000"/>
          <w:sz w:val="20"/>
          <w:szCs w:val="20"/>
          <w:lang w:eastAsia="es-MX"/>
        </w:rPr>
        <w:t>Énfasis añadido</w:t>
      </w:r>
      <w:r w:rsidR="00BF1160" w:rsidRPr="00264CA5">
        <w:rPr>
          <w:rFonts w:ascii="ITC Avant Garde" w:hAnsi="ITC Avant Garde"/>
          <w:bCs/>
          <w:color w:val="000000"/>
          <w:sz w:val="20"/>
          <w:szCs w:val="20"/>
          <w:lang w:eastAsia="es-MX"/>
        </w:rPr>
        <w:t>)</w:t>
      </w:r>
      <w:r w:rsidR="00EC02ED" w:rsidRPr="00264CA5">
        <w:rPr>
          <w:rFonts w:ascii="ITC Avant Garde" w:hAnsi="ITC Avant Garde"/>
          <w:bCs/>
          <w:color w:val="000000"/>
          <w:sz w:val="20"/>
          <w:szCs w:val="20"/>
          <w:lang w:eastAsia="es-MX"/>
        </w:rPr>
        <w:t>.</w:t>
      </w:r>
    </w:p>
    <w:p w14:paraId="035CDC68" w14:textId="77777777" w:rsidR="00B637A6" w:rsidRDefault="00BC2E53" w:rsidP="00B637A6">
      <w:pPr>
        <w:spacing w:before="240" w:line="240" w:lineRule="auto"/>
        <w:ind w:right="48"/>
        <w:jc w:val="both"/>
        <w:rPr>
          <w:rFonts w:ascii="ITC Avant Garde" w:hAnsi="ITC Avant Garde"/>
          <w:bCs/>
        </w:rPr>
      </w:pPr>
      <w:r w:rsidRPr="00264CA5">
        <w:rPr>
          <w:rFonts w:ascii="ITC Avant Garde" w:hAnsi="ITC Avant Garde"/>
          <w:bCs/>
        </w:rPr>
        <w:t>Por otra parte</w:t>
      </w:r>
      <w:r w:rsidR="00753BFF" w:rsidRPr="00264CA5">
        <w:rPr>
          <w:rFonts w:ascii="ITC Avant Garde" w:hAnsi="ITC Avant Garde"/>
          <w:bCs/>
        </w:rPr>
        <w:t>,</w:t>
      </w:r>
      <w:r w:rsidR="00AD653D" w:rsidRPr="00264CA5">
        <w:rPr>
          <w:rFonts w:ascii="ITC Avant Garde" w:hAnsi="ITC Avant Garde"/>
          <w:bCs/>
        </w:rPr>
        <w:t xml:space="preserve"> la Condición </w:t>
      </w:r>
      <w:r w:rsidR="00BF1160" w:rsidRPr="00264CA5">
        <w:rPr>
          <w:rFonts w:ascii="ITC Avant Garde" w:hAnsi="ITC Avant Garde"/>
          <w:bCs/>
        </w:rPr>
        <w:t>Tercera de la</w:t>
      </w:r>
      <w:r w:rsidR="00075C57" w:rsidRPr="00264CA5">
        <w:rPr>
          <w:rFonts w:ascii="ITC Avant Garde" w:hAnsi="ITC Avant Garde"/>
          <w:bCs/>
        </w:rPr>
        <w:t>s</w:t>
      </w:r>
      <w:r w:rsidR="00BF1160" w:rsidRPr="00264CA5">
        <w:rPr>
          <w:rFonts w:ascii="ITC Avant Garde" w:hAnsi="ITC Avant Garde"/>
          <w:bCs/>
        </w:rPr>
        <w:t xml:space="preserve"> Asignaci</w:t>
      </w:r>
      <w:r w:rsidR="00075C57" w:rsidRPr="00264CA5">
        <w:rPr>
          <w:rFonts w:ascii="ITC Avant Garde" w:hAnsi="ITC Avant Garde"/>
          <w:bCs/>
        </w:rPr>
        <w:t>ones</w:t>
      </w:r>
      <w:r w:rsidR="008D59AA" w:rsidRPr="00264CA5">
        <w:rPr>
          <w:rFonts w:ascii="ITC Avant Garde" w:hAnsi="ITC Avant Garde"/>
          <w:bCs/>
        </w:rPr>
        <w:t>,</w:t>
      </w:r>
      <w:r w:rsidR="00AD653D" w:rsidRPr="00264CA5">
        <w:rPr>
          <w:rFonts w:ascii="ITC Avant Garde" w:hAnsi="ITC Avant Garde"/>
          <w:bCs/>
        </w:rPr>
        <w:t xml:space="preserve"> </w:t>
      </w:r>
      <w:r w:rsidR="008D59AA" w:rsidRPr="00264CA5">
        <w:rPr>
          <w:rFonts w:ascii="ITC Avant Garde" w:hAnsi="ITC Avant Garde"/>
          <w:bCs/>
        </w:rPr>
        <w:t>establec</w:t>
      </w:r>
      <w:r w:rsidR="00E8486F" w:rsidRPr="00264CA5">
        <w:rPr>
          <w:rFonts w:ascii="ITC Avant Garde" w:hAnsi="ITC Avant Garde"/>
          <w:bCs/>
        </w:rPr>
        <w:t>ió</w:t>
      </w:r>
      <w:r w:rsidR="008D59AA" w:rsidRPr="00264CA5">
        <w:rPr>
          <w:rFonts w:ascii="ITC Avant Garde" w:hAnsi="ITC Avant Garde"/>
          <w:bCs/>
        </w:rPr>
        <w:t xml:space="preserve"> </w:t>
      </w:r>
      <w:r w:rsidR="004328DA">
        <w:rPr>
          <w:rFonts w:ascii="ITC Avant Garde" w:hAnsi="ITC Avant Garde"/>
          <w:bCs/>
        </w:rPr>
        <w:t>lo siguiente:</w:t>
      </w:r>
    </w:p>
    <w:p w14:paraId="7CECBDA1" w14:textId="77777777" w:rsidR="00B637A6" w:rsidRDefault="004328DA" w:rsidP="00B637A6">
      <w:pPr>
        <w:spacing w:before="240" w:line="240" w:lineRule="auto"/>
        <w:ind w:left="567" w:right="616"/>
        <w:jc w:val="both"/>
        <w:rPr>
          <w:rFonts w:ascii="ITC Avant Garde" w:hAnsi="ITC Avant Garde"/>
          <w:bCs/>
          <w:i/>
          <w:color w:val="000000"/>
          <w:sz w:val="20"/>
          <w:szCs w:val="20"/>
          <w:lang w:eastAsia="es-MX"/>
        </w:rPr>
      </w:pPr>
      <w:r w:rsidRPr="00AD653D">
        <w:rPr>
          <w:rFonts w:ascii="ITC Avant Garde" w:hAnsi="ITC Avant Garde"/>
          <w:bCs/>
          <w:i/>
          <w:color w:val="000000"/>
          <w:sz w:val="20"/>
          <w:szCs w:val="20"/>
          <w:lang w:eastAsia="es-MX"/>
        </w:rPr>
        <w:t>“</w:t>
      </w:r>
      <w:r>
        <w:rPr>
          <w:rFonts w:ascii="ITC Avant Garde" w:hAnsi="ITC Avant Garde"/>
          <w:b/>
          <w:bCs/>
          <w:i/>
          <w:color w:val="000000"/>
          <w:sz w:val="20"/>
          <w:szCs w:val="20"/>
          <w:lang w:eastAsia="es-MX"/>
        </w:rPr>
        <w:t>3. Vigencia</w:t>
      </w:r>
      <w:r w:rsidRPr="00AD653D">
        <w:rPr>
          <w:rFonts w:ascii="ITC Avant Garde" w:hAnsi="ITC Avant Garde"/>
          <w:b/>
          <w:bCs/>
          <w:i/>
          <w:color w:val="000000"/>
          <w:sz w:val="20"/>
          <w:szCs w:val="20"/>
          <w:lang w:eastAsia="es-MX"/>
        </w:rPr>
        <w:t>.</w:t>
      </w:r>
      <w:r w:rsidRPr="00AD653D">
        <w:rPr>
          <w:rFonts w:ascii="ITC Avant Garde" w:hAnsi="ITC Avant Garde"/>
          <w:bCs/>
          <w:i/>
          <w:color w:val="000000"/>
          <w:sz w:val="20"/>
          <w:szCs w:val="20"/>
          <w:lang w:eastAsia="es-MX"/>
        </w:rPr>
        <w:t xml:space="preserve"> La </w:t>
      </w:r>
      <w:r>
        <w:rPr>
          <w:rFonts w:ascii="ITC Avant Garde" w:hAnsi="ITC Avant Garde"/>
          <w:bCs/>
          <w:i/>
          <w:color w:val="000000"/>
          <w:sz w:val="20"/>
          <w:szCs w:val="20"/>
          <w:lang w:eastAsia="es-MX"/>
        </w:rPr>
        <w:t>vigencia de esta Asignación será de 4</w:t>
      </w:r>
      <w:r w:rsidRPr="00AD653D">
        <w:rPr>
          <w:rFonts w:ascii="ITC Avant Garde" w:hAnsi="ITC Avant Garde"/>
          <w:bCs/>
          <w:i/>
          <w:color w:val="000000"/>
          <w:sz w:val="20"/>
          <w:szCs w:val="20"/>
          <w:lang w:eastAsia="es-MX"/>
        </w:rPr>
        <w:t xml:space="preserve"> (</w:t>
      </w:r>
      <w:r>
        <w:rPr>
          <w:rFonts w:ascii="ITC Avant Garde" w:hAnsi="ITC Avant Garde"/>
          <w:bCs/>
          <w:i/>
          <w:color w:val="000000"/>
          <w:sz w:val="20"/>
          <w:szCs w:val="20"/>
          <w:lang w:eastAsia="es-MX"/>
        </w:rPr>
        <w:t>cuatro</w:t>
      </w:r>
      <w:r w:rsidRPr="00AD653D">
        <w:rPr>
          <w:rFonts w:ascii="ITC Avant Garde" w:hAnsi="ITC Avant Garde"/>
          <w:bCs/>
          <w:i/>
          <w:color w:val="000000"/>
          <w:sz w:val="20"/>
          <w:szCs w:val="20"/>
          <w:lang w:eastAsia="es-MX"/>
        </w:rPr>
        <w:t>) años</w:t>
      </w:r>
      <w:r>
        <w:rPr>
          <w:rFonts w:ascii="ITC Avant Garde" w:hAnsi="ITC Avant Garde"/>
          <w:bCs/>
          <w:i/>
          <w:color w:val="000000"/>
          <w:sz w:val="20"/>
          <w:szCs w:val="20"/>
          <w:lang w:eastAsia="es-MX"/>
        </w:rPr>
        <w:t>,</w:t>
      </w:r>
      <w:r w:rsidRPr="00AD653D">
        <w:rPr>
          <w:rFonts w:ascii="ITC Avant Garde" w:hAnsi="ITC Avant Garde"/>
          <w:bCs/>
          <w:i/>
          <w:color w:val="000000"/>
          <w:sz w:val="20"/>
          <w:szCs w:val="20"/>
          <w:lang w:eastAsia="es-MX"/>
        </w:rPr>
        <w:t xml:space="preserve"> contados a partir de</w:t>
      </w:r>
      <w:r>
        <w:rPr>
          <w:rFonts w:ascii="ITC Avant Garde" w:hAnsi="ITC Avant Garde"/>
          <w:bCs/>
          <w:i/>
          <w:color w:val="000000"/>
          <w:sz w:val="20"/>
          <w:szCs w:val="20"/>
          <w:lang w:eastAsia="es-MX"/>
        </w:rPr>
        <w:t xml:space="preserve"> la fecha de su otorgamiento, y podrá prorrogarse por plazos iguales</w:t>
      </w:r>
      <w:r w:rsidRPr="00AD653D">
        <w:rPr>
          <w:rFonts w:ascii="ITC Avant Garde" w:hAnsi="ITC Avant Garde"/>
          <w:bCs/>
          <w:i/>
          <w:color w:val="000000"/>
          <w:sz w:val="20"/>
          <w:szCs w:val="20"/>
          <w:lang w:eastAsia="es-MX"/>
        </w:rPr>
        <w:t>.</w:t>
      </w:r>
    </w:p>
    <w:p w14:paraId="5996EB03" w14:textId="77777777" w:rsidR="00B637A6" w:rsidRDefault="004328DA" w:rsidP="00B637A6">
      <w:pPr>
        <w:spacing w:before="240" w:line="240" w:lineRule="auto"/>
        <w:ind w:left="567" w:right="616"/>
        <w:jc w:val="both"/>
        <w:rPr>
          <w:rFonts w:ascii="ITC Avant Garde" w:hAnsi="ITC Avant Garde"/>
          <w:bCs/>
          <w:i/>
          <w:color w:val="000000"/>
          <w:sz w:val="20"/>
          <w:szCs w:val="20"/>
          <w:lang w:eastAsia="es-MX"/>
        </w:rPr>
      </w:pPr>
      <w:r>
        <w:rPr>
          <w:rFonts w:ascii="ITC Avant Garde" w:hAnsi="ITC Avant Garde"/>
          <w:bCs/>
          <w:i/>
          <w:color w:val="000000"/>
          <w:sz w:val="20"/>
          <w:szCs w:val="20"/>
          <w:lang w:eastAsia="es-MX"/>
        </w:rPr>
        <w:t xml:space="preserve">No obstante lo anterior, en cualquier momento, la Secretaría podrá requerir del Asignatario frecuencias o bandas de frecuencias asignadas, cuando así lo exija el interés público, para lo cual dará aviso al Asignatario con una anticipación de al menos 30 (treinta) días naturales, a fin de que proceda a su despeje.” </w:t>
      </w:r>
    </w:p>
    <w:p w14:paraId="04BA080E" w14:textId="77777777" w:rsidR="00B637A6" w:rsidRDefault="00AB59A7" w:rsidP="00B637A6">
      <w:pPr>
        <w:spacing w:before="240" w:line="240" w:lineRule="auto"/>
        <w:ind w:right="-94"/>
        <w:jc w:val="both"/>
        <w:rPr>
          <w:rFonts w:ascii="ITC Avant Garde" w:hAnsi="ITC Avant Garde"/>
          <w:bCs/>
        </w:rPr>
      </w:pPr>
      <w:r w:rsidRPr="00264CA5">
        <w:rPr>
          <w:rFonts w:ascii="ITC Avant Garde" w:hAnsi="ITC Avant Garde"/>
          <w:bCs/>
        </w:rPr>
        <w:t xml:space="preserve">Derivado de lo anterior y de conformidad con lo dispuesto por </w:t>
      </w:r>
      <w:r w:rsidR="002B51E5" w:rsidRPr="00264CA5">
        <w:rPr>
          <w:rFonts w:ascii="ITC Avant Garde" w:hAnsi="ITC Avant Garde"/>
          <w:bCs/>
        </w:rPr>
        <w:t>el artículo 19 de la LFT</w:t>
      </w:r>
      <w:r w:rsidRPr="00264CA5">
        <w:rPr>
          <w:rFonts w:ascii="ITC Avant Garde" w:hAnsi="ITC Avant Garde"/>
          <w:bCs/>
        </w:rPr>
        <w:t xml:space="preserve">, en relación con el artículo 22 del mismo ordenamiento, </w:t>
      </w:r>
      <w:r w:rsidR="0036510C" w:rsidRPr="00264CA5">
        <w:rPr>
          <w:rFonts w:ascii="ITC Avant Garde" w:hAnsi="ITC Avant Garde"/>
          <w:bCs/>
        </w:rPr>
        <w:t xml:space="preserve">los requisitos que </w:t>
      </w:r>
      <w:r w:rsidR="00137712">
        <w:rPr>
          <w:rFonts w:ascii="ITC Avant Garde" w:hAnsi="ITC Avant Garde"/>
          <w:bCs/>
        </w:rPr>
        <w:t>el</w:t>
      </w:r>
      <w:r w:rsidR="00137712" w:rsidRPr="00264CA5">
        <w:rPr>
          <w:rFonts w:ascii="ITC Avant Garde" w:hAnsi="ITC Avant Garde"/>
          <w:bCs/>
        </w:rPr>
        <w:t xml:space="preserve"> </w:t>
      </w:r>
      <w:r w:rsidR="0021465D" w:rsidRPr="00264CA5">
        <w:rPr>
          <w:rFonts w:ascii="ITC Avant Garde" w:hAnsi="ITC Avant Garde"/>
          <w:bCs/>
        </w:rPr>
        <w:t>asignatario</w:t>
      </w:r>
      <w:r w:rsidR="00B4598E">
        <w:rPr>
          <w:rFonts w:ascii="ITC Avant Garde" w:hAnsi="ITC Avant Garde"/>
          <w:bCs/>
        </w:rPr>
        <w:t xml:space="preserve"> debía</w:t>
      </w:r>
      <w:r w:rsidR="0036510C" w:rsidRPr="00264CA5">
        <w:rPr>
          <w:rFonts w:ascii="ITC Avant Garde" w:hAnsi="ITC Avant Garde"/>
          <w:bCs/>
        </w:rPr>
        <w:t xml:space="preserve"> cumplir para el otorgamiento de prórrogas de </w:t>
      </w:r>
      <w:r w:rsidRPr="00264CA5">
        <w:rPr>
          <w:rFonts w:ascii="ITC Avant Garde" w:hAnsi="ITC Avant Garde"/>
          <w:bCs/>
        </w:rPr>
        <w:t>asignaciones</w:t>
      </w:r>
      <w:r w:rsidR="0036510C" w:rsidRPr="00264CA5">
        <w:rPr>
          <w:rFonts w:ascii="ITC Avant Garde" w:hAnsi="ITC Avant Garde"/>
          <w:bCs/>
        </w:rPr>
        <w:t xml:space="preserve"> de bandas de frecuencias</w:t>
      </w:r>
      <w:r w:rsidR="001F19BE" w:rsidRPr="00264CA5">
        <w:rPr>
          <w:rFonts w:ascii="ITC Avant Garde" w:hAnsi="ITC Avant Garde"/>
          <w:bCs/>
        </w:rPr>
        <w:t xml:space="preserve"> </w:t>
      </w:r>
      <w:r w:rsidR="00850E0B">
        <w:rPr>
          <w:rFonts w:ascii="ITC Avant Garde" w:hAnsi="ITC Avant Garde"/>
          <w:bCs/>
        </w:rPr>
        <w:t>para uso oficial</w:t>
      </w:r>
      <w:r w:rsidR="0036510C" w:rsidRPr="00264CA5">
        <w:rPr>
          <w:rFonts w:ascii="ITC Avant Garde" w:hAnsi="ITC Avant Garde"/>
          <w:bCs/>
        </w:rPr>
        <w:t xml:space="preserve">, </w:t>
      </w:r>
      <w:r w:rsidR="00AC05EE">
        <w:rPr>
          <w:rFonts w:ascii="ITC Avant Garde" w:hAnsi="ITC Avant Garde"/>
          <w:bCs/>
        </w:rPr>
        <w:t>eran</w:t>
      </w:r>
      <w:r w:rsidRPr="00264CA5">
        <w:rPr>
          <w:rFonts w:ascii="ITC Avant Garde" w:hAnsi="ITC Avant Garde"/>
          <w:bCs/>
        </w:rPr>
        <w:t xml:space="preserve"> </w:t>
      </w:r>
      <w:r w:rsidR="0036510C" w:rsidRPr="00264CA5">
        <w:rPr>
          <w:rFonts w:ascii="ITC Avant Garde" w:hAnsi="ITC Avant Garde"/>
          <w:bCs/>
        </w:rPr>
        <w:t>lo</w:t>
      </w:r>
      <w:r w:rsidRPr="00264CA5">
        <w:rPr>
          <w:rFonts w:ascii="ITC Avant Garde" w:hAnsi="ITC Avant Garde"/>
          <w:bCs/>
        </w:rPr>
        <w:t>s</w:t>
      </w:r>
      <w:r w:rsidR="0036510C" w:rsidRPr="00264CA5">
        <w:rPr>
          <w:rFonts w:ascii="ITC Avant Garde" w:hAnsi="ITC Avant Garde"/>
          <w:bCs/>
        </w:rPr>
        <w:t xml:space="preserve"> siguiente</w:t>
      </w:r>
      <w:r w:rsidRPr="00264CA5">
        <w:rPr>
          <w:rFonts w:ascii="ITC Avant Garde" w:hAnsi="ITC Avant Garde"/>
          <w:bCs/>
        </w:rPr>
        <w:t>s</w:t>
      </w:r>
      <w:r w:rsidR="0036510C" w:rsidRPr="00264CA5">
        <w:rPr>
          <w:rFonts w:ascii="ITC Avant Garde" w:hAnsi="ITC Avant Garde"/>
          <w:bCs/>
        </w:rPr>
        <w:t xml:space="preserve">: (i) </w:t>
      </w:r>
      <w:r w:rsidR="0021465D" w:rsidRPr="00264CA5">
        <w:rPr>
          <w:rFonts w:ascii="ITC Avant Garde" w:hAnsi="ITC Avant Garde"/>
          <w:bCs/>
        </w:rPr>
        <w:t xml:space="preserve">que </w:t>
      </w:r>
      <w:r w:rsidR="00EC02ED" w:rsidRPr="00264CA5">
        <w:rPr>
          <w:rFonts w:ascii="ITC Avant Garde" w:hAnsi="ITC Avant Garde"/>
          <w:bCs/>
        </w:rPr>
        <w:t>hubiere</w:t>
      </w:r>
      <w:r w:rsidR="00137712">
        <w:rPr>
          <w:rFonts w:ascii="ITC Avant Garde" w:hAnsi="ITC Avant Garde"/>
          <w:bCs/>
        </w:rPr>
        <w:t xml:space="preserve"> </w:t>
      </w:r>
      <w:r w:rsidR="00EC02ED" w:rsidRPr="00264CA5">
        <w:rPr>
          <w:rFonts w:ascii="ITC Avant Garde" w:hAnsi="ITC Avant Garde"/>
          <w:bCs/>
        </w:rPr>
        <w:t xml:space="preserve">cumplido con las condiciones previstas en la </w:t>
      </w:r>
      <w:r w:rsidR="0021465D" w:rsidRPr="00264CA5">
        <w:rPr>
          <w:rFonts w:ascii="ITC Avant Garde" w:hAnsi="ITC Avant Garde"/>
          <w:bCs/>
        </w:rPr>
        <w:t>asignación</w:t>
      </w:r>
      <w:r w:rsidR="00AC05EE">
        <w:rPr>
          <w:rFonts w:ascii="ITC Avant Garde" w:hAnsi="ITC Avant Garde"/>
          <w:bCs/>
        </w:rPr>
        <w:t xml:space="preserve"> que pretendiera</w:t>
      </w:r>
      <w:r w:rsidR="00EC02ED" w:rsidRPr="00264CA5">
        <w:rPr>
          <w:rFonts w:ascii="ITC Avant Garde" w:hAnsi="ITC Avant Garde"/>
          <w:bCs/>
        </w:rPr>
        <w:t xml:space="preserve"> prorrogar; (ii) </w:t>
      </w:r>
      <w:r w:rsidRPr="00264CA5">
        <w:rPr>
          <w:rFonts w:ascii="ITC Avant Garde" w:hAnsi="ITC Avant Garde"/>
          <w:bCs/>
        </w:rPr>
        <w:t xml:space="preserve">que </w:t>
      </w:r>
      <w:r w:rsidR="00AC05EE">
        <w:rPr>
          <w:rFonts w:ascii="ITC Avant Garde" w:hAnsi="ITC Avant Garde"/>
          <w:bCs/>
        </w:rPr>
        <w:t xml:space="preserve">lo solicitara </w:t>
      </w:r>
      <w:r w:rsidR="0036510C" w:rsidRPr="00264CA5">
        <w:rPr>
          <w:rFonts w:ascii="ITC Avant Garde" w:hAnsi="ITC Avant Garde"/>
          <w:bCs/>
        </w:rPr>
        <w:t>a</w:t>
      </w:r>
      <w:r w:rsidR="00AC05EE">
        <w:rPr>
          <w:rFonts w:ascii="ITC Avant Garde" w:hAnsi="ITC Avant Garde"/>
          <w:bCs/>
        </w:rPr>
        <w:t>ntes de que iniciara</w:t>
      </w:r>
      <w:r w:rsidR="00EC02ED" w:rsidRPr="00264CA5">
        <w:rPr>
          <w:rFonts w:ascii="ITC Avant Garde" w:hAnsi="ITC Avant Garde"/>
          <w:bCs/>
        </w:rPr>
        <w:t xml:space="preserve"> </w:t>
      </w:r>
      <w:r w:rsidR="0036510C" w:rsidRPr="00264CA5">
        <w:rPr>
          <w:rFonts w:ascii="ITC Avant Garde" w:hAnsi="ITC Avant Garde"/>
          <w:bCs/>
        </w:rPr>
        <w:t>l</w:t>
      </w:r>
      <w:r w:rsidR="00EC02ED" w:rsidRPr="00264CA5">
        <w:rPr>
          <w:rFonts w:ascii="ITC Avant Garde" w:hAnsi="ITC Avant Garde"/>
          <w:bCs/>
        </w:rPr>
        <w:t xml:space="preserve">a última quinta parte del plazo de la </w:t>
      </w:r>
      <w:r w:rsidRPr="00264CA5">
        <w:rPr>
          <w:rFonts w:ascii="ITC Avant Garde" w:hAnsi="ITC Avant Garde"/>
          <w:bCs/>
        </w:rPr>
        <w:t>asignación</w:t>
      </w:r>
      <w:r w:rsidR="0036510C" w:rsidRPr="00264CA5">
        <w:rPr>
          <w:rFonts w:ascii="ITC Avant Garde" w:hAnsi="ITC Avant Garde"/>
          <w:bCs/>
        </w:rPr>
        <w:t xml:space="preserve">, y (iii) </w:t>
      </w:r>
      <w:r w:rsidRPr="00264CA5">
        <w:rPr>
          <w:rFonts w:ascii="ITC Avant Garde" w:hAnsi="ITC Avant Garde"/>
          <w:bCs/>
        </w:rPr>
        <w:t xml:space="preserve">que </w:t>
      </w:r>
      <w:r w:rsidR="00AC05EE">
        <w:rPr>
          <w:rFonts w:ascii="ITC Avant Garde" w:hAnsi="ITC Avant Garde"/>
          <w:bCs/>
        </w:rPr>
        <w:t>aceptara</w:t>
      </w:r>
      <w:r w:rsidR="00137712">
        <w:rPr>
          <w:rFonts w:ascii="ITC Avant Garde" w:hAnsi="ITC Avant Garde"/>
          <w:bCs/>
        </w:rPr>
        <w:t xml:space="preserve"> </w:t>
      </w:r>
      <w:r w:rsidR="00EC02ED" w:rsidRPr="00264CA5">
        <w:rPr>
          <w:rFonts w:ascii="ITC Avant Garde" w:hAnsi="ITC Avant Garde"/>
          <w:bCs/>
        </w:rPr>
        <w:t>las n</w:t>
      </w:r>
      <w:r w:rsidR="00AC05EE">
        <w:rPr>
          <w:rFonts w:ascii="ITC Avant Garde" w:hAnsi="ITC Avant Garde"/>
          <w:bCs/>
        </w:rPr>
        <w:t>uevas condiciones que estableciera</w:t>
      </w:r>
      <w:r w:rsidR="00EC02ED" w:rsidRPr="00264CA5">
        <w:rPr>
          <w:rFonts w:ascii="ITC Avant Garde" w:hAnsi="ITC Avant Garde"/>
          <w:bCs/>
        </w:rPr>
        <w:t xml:space="preserve"> el Instituto.</w:t>
      </w:r>
    </w:p>
    <w:p w14:paraId="6FFF15BD" w14:textId="0DC2C987" w:rsidR="00335AFE" w:rsidRDefault="00CB4474" w:rsidP="00B637A6">
      <w:pPr>
        <w:autoSpaceDE w:val="0"/>
        <w:autoSpaceDN w:val="0"/>
        <w:adjustRightInd w:val="0"/>
        <w:spacing w:before="240" w:line="240" w:lineRule="auto"/>
        <w:jc w:val="both"/>
        <w:rPr>
          <w:rFonts w:ascii="ITC Avant Garde" w:eastAsia="Times New Roman" w:hAnsi="ITC Avant Garde"/>
          <w:bCs/>
          <w:lang w:val="es-ES" w:eastAsia="es-ES"/>
        </w:rPr>
      </w:pPr>
      <w:r w:rsidRPr="00264CA5">
        <w:rPr>
          <w:rFonts w:ascii="ITC Avant Garde" w:hAnsi="ITC Avant Garde"/>
          <w:b/>
          <w:bCs/>
        </w:rPr>
        <w:t>Tercero</w:t>
      </w:r>
      <w:r w:rsidR="00B048BA" w:rsidRPr="00264CA5">
        <w:rPr>
          <w:rFonts w:ascii="ITC Avant Garde" w:hAnsi="ITC Avant Garde"/>
          <w:b/>
          <w:bCs/>
        </w:rPr>
        <w:t>.- Análisis de la</w:t>
      </w:r>
      <w:r w:rsidR="00AE2635" w:rsidRPr="00264CA5">
        <w:rPr>
          <w:rFonts w:ascii="ITC Avant Garde" w:hAnsi="ITC Avant Garde"/>
          <w:b/>
          <w:bCs/>
        </w:rPr>
        <w:t>s</w:t>
      </w:r>
      <w:r w:rsidR="00B048BA" w:rsidRPr="00264CA5">
        <w:rPr>
          <w:rFonts w:ascii="ITC Avant Garde" w:hAnsi="ITC Avant Garde"/>
          <w:b/>
          <w:bCs/>
        </w:rPr>
        <w:t xml:space="preserve"> Solicitud</w:t>
      </w:r>
      <w:r w:rsidR="00AE2635" w:rsidRPr="00264CA5">
        <w:rPr>
          <w:rFonts w:ascii="ITC Avant Garde" w:hAnsi="ITC Avant Garde"/>
          <w:b/>
          <w:bCs/>
        </w:rPr>
        <w:t>es</w:t>
      </w:r>
      <w:r w:rsidR="00B048BA" w:rsidRPr="00264CA5">
        <w:rPr>
          <w:rFonts w:ascii="ITC Avant Garde" w:hAnsi="ITC Avant Garde"/>
          <w:b/>
          <w:bCs/>
        </w:rPr>
        <w:t xml:space="preserve"> de </w:t>
      </w:r>
      <w:r w:rsidR="001A6B6F" w:rsidRPr="00264CA5">
        <w:rPr>
          <w:rFonts w:ascii="ITC Avant Garde" w:hAnsi="ITC Avant Garde"/>
          <w:b/>
          <w:bCs/>
        </w:rPr>
        <w:t>Prórroga</w:t>
      </w:r>
      <w:r w:rsidR="00B048BA" w:rsidRPr="00264CA5">
        <w:rPr>
          <w:rFonts w:ascii="ITC Avant Garde" w:hAnsi="ITC Avant Garde"/>
          <w:b/>
          <w:bCs/>
        </w:rPr>
        <w:t>.</w:t>
      </w:r>
      <w:r w:rsidR="001A6B6F" w:rsidRPr="00264CA5">
        <w:rPr>
          <w:rFonts w:ascii="ITC Avant Garde" w:hAnsi="ITC Avant Garde"/>
          <w:bCs/>
        </w:rPr>
        <w:t xml:space="preserve"> </w:t>
      </w:r>
      <w:r w:rsidR="00220626" w:rsidRPr="00264CA5">
        <w:rPr>
          <w:rFonts w:ascii="ITC Avant Garde" w:eastAsia="Times New Roman" w:hAnsi="ITC Avant Garde"/>
          <w:bCs/>
          <w:lang w:val="es-ES" w:eastAsia="es-ES"/>
        </w:rPr>
        <w:t>Por lo que hace al requisito de procedencia señalado en el artículo 1</w:t>
      </w:r>
      <w:r w:rsidR="00AA4CE0" w:rsidRPr="00264CA5">
        <w:rPr>
          <w:rFonts w:ascii="ITC Avant Garde" w:eastAsia="Times New Roman" w:hAnsi="ITC Avant Garde"/>
          <w:bCs/>
          <w:lang w:val="es-ES" w:eastAsia="es-ES"/>
        </w:rPr>
        <w:t>9</w:t>
      </w:r>
      <w:r w:rsidR="00220626" w:rsidRPr="00264CA5">
        <w:rPr>
          <w:rFonts w:ascii="ITC Avant Garde" w:eastAsia="Times New Roman" w:hAnsi="ITC Avant Garde"/>
          <w:bCs/>
          <w:lang w:val="es-ES" w:eastAsia="es-ES"/>
        </w:rPr>
        <w:t xml:space="preserve"> de la L</w:t>
      </w:r>
      <w:r w:rsidR="00AA4CE0" w:rsidRPr="00264CA5">
        <w:rPr>
          <w:rFonts w:ascii="ITC Avant Garde" w:eastAsia="Times New Roman" w:hAnsi="ITC Avant Garde"/>
          <w:bCs/>
          <w:lang w:val="es-ES" w:eastAsia="es-ES"/>
        </w:rPr>
        <w:t>FT</w:t>
      </w:r>
      <w:r w:rsidR="00220626" w:rsidRPr="00264CA5">
        <w:rPr>
          <w:rFonts w:ascii="ITC Avant Garde" w:eastAsia="Times New Roman" w:hAnsi="ITC Avant Garde"/>
          <w:bCs/>
          <w:lang w:val="es-ES" w:eastAsia="es-ES"/>
        </w:rPr>
        <w:t xml:space="preserve">, relativo a que </w:t>
      </w:r>
      <w:r w:rsidR="00137712">
        <w:rPr>
          <w:rFonts w:ascii="ITC Avant Garde" w:eastAsia="Times New Roman" w:hAnsi="ITC Avant Garde"/>
          <w:bCs/>
          <w:lang w:val="es-ES" w:eastAsia="es-ES"/>
        </w:rPr>
        <w:t>el</w:t>
      </w:r>
      <w:r w:rsidR="00137712" w:rsidRPr="00264CA5">
        <w:rPr>
          <w:rFonts w:ascii="ITC Avant Garde" w:eastAsia="Times New Roman" w:hAnsi="ITC Avant Garde"/>
          <w:bCs/>
          <w:lang w:val="es-ES" w:eastAsia="es-ES"/>
        </w:rPr>
        <w:t xml:space="preserve"> </w:t>
      </w:r>
      <w:r w:rsidR="00AB59A7" w:rsidRPr="00264CA5">
        <w:rPr>
          <w:rFonts w:ascii="ITC Avant Garde" w:eastAsia="Times New Roman" w:hAnsi="ITC Avant Garde"/>
          <w:bCs/>
          <w:lang w:val="es-ES" w:eastAsia="es-ES"/>
        </w:rPr>
        <w:t xml:space="preserve">asignatario </w:t>
      </w:r>
      <w:r w:rsidR="00220626" w:rsidRPr="00264CA5">
        <w:rPr>
          <w:rFonts w:ascii="ITC Avant Garde" w:eastAsia="Times New Roman" w:hAnsi="ITC Avant Garde"/>
          <w:bCs/>
          <w:lang w:val="es-ES" w:eastAsia="es-ES"/>
        </w:rPr>
        <w:t>solicita</w:t>
      </w:r>
      <w:r w:rsidR="00AA4CE0" w:rsidRPr="00264CA5">
        <w:rPr>
          <w:rFonts w:ascii="ITC Avant Garde" w:eastAsia="Times New Roman" w:hAnsi="ITC Avant Garde"/>
          <w:bCs/>
          <w:lang w:val="es-ES" w:eastAsia="es-ES"/>
        </w:rPr>
        <w:t>ra</w:t>
      </w:r>
      <w:r w:rsidR="00220626" w:rsidRPr="00264CA5">
        <w:rPr>
          <w:rFonts w:ascii="ITC Avant Garde" w:eastAsia="Times New Roman" w:hAnsi="ITC Avant Garde"/>
          <w:bCs/>
          <w:lang w:val="es-ES" w:eastAsia="es-ES"/>
        </w:rPr>
        <w:t xml:space="preserve"> la prórroga </w:t>
      </w:r>
      <w:r w:rsidR="00AA4CE0" w:rsidRPr="00264CA5">
        <w:rPr>
          <w:rFonts w:ascii="ITC Avant Garde" w:hAnsi="ITC Avant Garde"/>
          <w:bCs/>
        </w:rPr>
        <w:t>antes del inicio de la última quinta parte del plazo de la</w:t>
      </w:r>
      <w:r w:rsidR="00AD5B92" w:rsidRPr="00264CA5">
        <w:rPr>
          <w:rFonts w:ascii="ITC Avant Garde" w:hAnsi="ITC Avant Garde"/>
          <w:bCs/>
        </w:rPr>
        <w:t>s</w:t>
      </w:r>
      <w:r w:rsidR="00AA4CE0" w:rsidRPr="00264CA5">
        <w:rPr>
          <w:rFonts w:ascii="ITC Avant Garde" w:hAnsi="ITC Avant Garde"/>
          <w:bCs/>
        </w:rPr>
        <w:t xml:space="preserve"> </w:t>
      </w:r>
      <w:r w:rsidR="00AB59A7" w:rsidRPr="00264CA5">
        <w:rPr>
          <w:rFonts w:ascii="ITC Avant Garde" w:hAnsi="ITC Avant Garde"/>
          <w:bCs/>
        </w:rPr>
        <w:t>asignaci</w:t>
      </w:r>
      <w:r w:rsidR="00AD5B92" w:rsidRPr="00264CA5">
        <w:rPr>
          <w:rFonts w:ascii="ITC Avant Garde" w:hAnsi="ITC Avant Garde"/>
          <w:bCs/>
        </w:rPr>
        <w:t>o</w:t>
      </w:r>
      <w:r w:rsidR="00AB59A7" w:rsidRPr="00264CA5">
        <w:rPr>
          <w:rFonts w:ascii="ITC Avant Garde" w:hAnsi="ITC Avant Garde"/>
          <w:bCs/>
        </w:rPr>
        <w:t>n</w:t>
      </w:r>
      <w:r w:rsidR="00AD5B92" w:rsidRPr="00264CA5">
        <w:rPr>
          <w:rFonts w:ascii="ITC Avant Garde" w:hAnsi="ITC Avant Garde"/>
          <w:bCs/>
        </w:rPr>
        <w:t>es</w:t>
      </w:r>
      <w:r w:rsidR="00AA4CE0" w:rsidRPr="00264CA5">
        <w:rPr>
          <w:rFonts w:ascii="ITC Avant Garde" w:eastAsia="Times New Roman" w:hAnsi="ITC Avant Garde"/>
          <w:bCs/>
          <w:lang w:val="es-ES" w:eastAsia="es-ES"/>
        </w:rPr>
        <w:t>, dicho requisito no fue satisfecho, en virtud de que la</w:t>
      </w:r>
      <w:r w:rsidR="006868CC" w:rsidRPr="00264CA5">
        <w:rPr>
          <w:rFonts w:ascii="ITC Avant Garde" w:eastAsia="Times New Roman" w:hAnsi="ITC Avant Garde"/>
          <w:bCs/>
          <w:lang w:val="es-ES" w:eastAsia="es-ES"/>
        </w:rPr>
        <w:t>s</w:t>
      </w:r>
      <w:r w:rsidR="00AA4CE0" w:rsidRPr="00264CA5">
        <w:rPr>
          <w:rFonts w:ascii="ITC Avant Garde" w:eastAsia="Times New Roman" w:hAnsi="ITC Avant Garde"/>
          <w:bCs/>
          <w:lang w:val="es-ES" w:eastAsia="es-ES"/>
        </w:rPr>
        <w:t xml:space="preserve"> Solicitud</w:t>
      </w:r>
      <w:r w:rsidR="006868CC" w:rsidRPr="00264CA5">
        <w:rPr>
          <w:rFonts w:ascii="ITC Avant Garde" w:eastAsia="Times New Roman" w:hAnsi="ITC Avant Garde"/>
          <w:bCs/>
          <w:lang w:val="es-ES" w:eastAsia="es-ES"/>
        </w:rPr>
        <w:t>es</w:t>
      </w:r>
      <w:r w:rsidR="00AA4CE0" w:rsidRPr="00264CA5">
        <w:rPr>
          <w:rFonts w:ascii="ITC Avant Garde" w:eastAsia="Times New Roman" w:hAnsi="ITC Avant Garde"/>
          <w:bCs/>
          <w:lang w:val="es-ES" w:eastAsia="es-ES"/>
        </w:rPr>
        <w:t xml:space="preserve"> de Prórroga</w:t>
      </w:r>
      <w:r w:rsidR="006868CC" w:rsidRPr="00264CA5">
        <w:rPr>
          <w:rFonts w:ascii="ITC Avant Garde" w:eastAsia="Times New Roman" w:hAnsi="ITC Avant Garde"/>
          <w:bCs/>
          <w:lang w:val="es-ES" w:eastAsia="es-ES"/>
        </w:rPr>
        <w:t xml:space="preserve"> </w:t>
      </w:r>
      <w:r w:rsidR="00AA4CE0" w:rsidRPr="00264CA5">
        <w:rPr>
          <w:rFonts w:ascii="ITC Avant Garde" w:eastAsia="Times New Roman" w:hAnsi="ITC Avant Garde"/>
          <w:bCs/>
          <w:lang w:val="es-ES" w:eastAsia="es-ES"/>
        </w:rPr>
        <w:t>fue</w:t>
      </w:r>
      <w:r w:rsidR="006868CC" w:rsidRPr="00264CA5">
        <w:rPr>
          <w:rFonts w:ascii="ITC Avant Garde" w:eastAsia="Times New Roman" w:hAnsi="ITC Avant Garde"/>
          <w:bCs/>
          <w:lang w:val="es-ES" w:eastAsia="es-ES"/>
        </w:rPr>
        <w:t>ron</w:t>
      </w:r>
      <w:r w:rsidR="00AA4CE0" w:rsidRPr="00264CA5">
        <w:rPr>
          <w:rFonts w:ascii="ITC Avant Garde" w:eastAsia="Times New Roman" w:hAnsi="ITC Avant Garde"/>
          <w:bCs/>
          <w:lang w:val="es-ES" w:eastAsia="es-ES"/>
        </w:rPr>
        <w:t xml:space="preserve"> </w:t>
      </w:r>
      <w:r w:rsidR="00AA4CE0" w:rsidRPr="00264CA5">
        <w:rPr>
          <w:rFonts w:ascii="ITC Avant Garde" w:eastAsia="Times New Roman" w:hAnsi="ITC Avant Garde"/>
          <w:bCs/>
          <w:lang w:val="es-ES" w:eastAsia="es-ES"/>
        </w:rPr>
        <w:lastRenderedPageBreak/>
        <w:t>presentada</w:t>
      </w:r>
      <w:r w:rsidR="006868CC" w:rsidRPr="00264CA5">
        <w:rPr>
          <w:rFonts w:ascii="ITC Avant Garde" w:eastAsia="Times New Roman" w:hAnsi="ITC Avant Garde"/>
          <w:bCs/>
          <w:lang w:val="es-ES" w:eastAsia="es-ES"/>
        </w:rPr>
        <w:t>s</w:t>
      </w:r>
      <w:r w:rsidR="00AA4CE0" w:rsidRPr="00264CA5">
        <w:rPr>
          <w:rFonts w:ascii="ITC Avant Garde" w:eastAsia="Times New Roman" w:hAnsi="ITC Avant Garde"/>
          <w:bCs/>
          <w:lang w:val="es-ES" w:eastAsia="es-ES"/>
        </w:rPr>
        <w:t xml:space="preserve"> con posterioridad a la fecha </w:t>
      </w:r>
      <w:r w:rsidR="001F0289" w:rsidRPr="00264CA5">
        <w:rPr>
          <w:rFonts w:ascii="ITC Avant Garde" w:eastAsia="Times New Roman" w:hAnsi="ITC Avant Garde"/>
          <w:bCs/>
          <w:lang w:val="es-ES" w:eastAsia="es-ES"/>
        </w:rPr>
        <w:t>de</w:t>
      </w:r>
      <w:r w:rsidR="00AA4CE0" w:rsidRPr="00264CA5">
        <w:rPr>
          <w:rFonts w:ascii="ITC Avant Garde" w:eastAsia="Times New Roman" w:hAnsi="ITC Avant Garde"/>
          <w:bCs/>
          <w:lang w:val="es-ES" w:eastAsia="es-ES"/>
        </w:rPr>
        <w:t xml:space="preserve"> inicio de la última quinta parte de su plazo de vigencia</w:t>
      </w:r>
      <w:r w:rsidR="00E95377" w:rsidRPr="00264CA5">
        <w:rPr>
          <w:rFonts w:ascii="ITC Avant Garde" w:eastAsia="Times New Roman" w:hAnsi="ITC Avant Garde"/>
          <w:bCs/>
          <w:lang w:val="es-ES" w:eastAsia="es-ES"/>
        </w:rPr>
        <w:t>, como se puede observar</w:t>
      </w:r>
      <w:r w:rsidR="006868CC" w:rsidRPr="00264CA5">
        <w:rPr>
          <w:rFonts w:ascii="ITC Avant Garde" w:eastAsia="Times New Roman" w:hAnsi="ITC Avant Garde"/>
          <w:bCs/>
          <w:lang w:val="es-ES" w:eastAsia="es-ES"/>
        </w:rPr>
        <w:t xml:space="preserve"> en la </w:t>
      </w:r>
      <w:r w:rsidR="00AB59A7" w:rsidRPr="00264CA5">
        <w:rPr>
          <w:rFonts w:ascii="ITC Avant Garde" w:eastAsia="Times New Roman" w:hAnsi="ITC Avant Garde"/>
          <w:bCs/>
          <w:lang w:val="es-ES" w:eastAsia="es-ES"/>
        </w:rPr>
        <w:t>T</w:t>
      </w:r>
      <w:r w:rsidR="006868CC" w:rsidRPr="00264CA5">
        <w:rPr>
          <w:rFonts w:ascii="ITC Avant Garde" w:eastAsia="Times New Roman" w:hAnsi="ITC Avant Garde"/>
          <w:bCs/>
          <w:lang w:val="es-ES" w:eastAsia="es-ES"/>
        </w:rPr>
        <w:t>abla</w:t>
      </w:r>
      <w:r w:rsidR="00AB59A7" w:rsidRPr="00264CA5">
        <w:rPr>
          <w:rFonts w:ascii="ITC Avant Garde" w:eastAsia="Times New Roman" w:hAnsi="ITC Avant Garde"/>
          <w:bCs/>
          <w:lang w:val="es-ES" w:eastAsia="es-ES"/>
        </w:rPr>
        <w:t xml:space="preserve"> 3</w:t>
      </w:r>
      <w:r w:rsidR="006868CC" w:rsidRPr="00264CA5">
        <w:rPr>
          <w:rFonts w:ascii="ITC Avant Garde" w:eastAsia="Times New Roman" w:hAnsi="ITC Avant Garde"/>
          <w:bCs/>
          <w:lang w:val="es-ES" w:eastAsia="es-ES"/>
        </w:rPr>
        <w:t xml:space="preserve"> </w:t>
      </w:r>
      <w:r w:rsidR="007F6602" w:rsidRPr="00264CA5">
        <w:rPr>
          <w:rFonts w:ascii="ITC Avant Garde" w:eastAsia="Times New Roman" w:hAnsi="ITC Avant Garde"/>
          <w:bCs/>
          <w:lang w:val="es-ES" w:eastAsia="es-ES"/>
        </w:rPr>
        <w:t>siguiente</w:t>
      </w:r>
      <w:r w:rsidR="00AB59A7" w:rsidRPr="00264CA5">
        <w:rPr>
          <w:rFonts w:ascii="ITC Avant Garde" w:eastAsia="Times New Roman" w:hAnsi="ITC Avant Garde"/>
          <w:bCs/>
          <w:lang w:val="es-ES" w:eastAsia="es-ES"/>
        </w:rPr>
        <w:t>:</w:t>
      </w:r>
    </w:p>
    <w:p w14:paraId="30E4ADD5" w14:textId="0389F69F" w:rsidR="00BE54AF" w:rsidRPr="00D41D0C" w:rsidRDefault="00D41D0C" w:rsidP="00D41D0C">
      <w:pPr>
        <w:autoSpaceDE w:val="0"/>
        <w:autoSpaceDN w:val="0"/>
        <w:adjustRightInd w:val="0"/>
        <w:spacing w:before="240" w:line="240" w:lineRule="auto"/>
        <w:jc w:val="center"/>
        <w:rPr>
          <w:rFonts w:ascii="ITC Avant Garde" w:eastAsia="Times New Roman" w:hAnsi="ITC Avant Garde"/>
          <w:bCs/>
          <w:sz w:val="18"/>
          <w:szCs w:val="18"/>
          <w:lang w:val="es-ES" w:eastAsia="es-ES"/>
        </w:rPr>
      </w:pPr>
      <w:r w:rsidRPr="00D41D0C">
        <w:rPr>
          <w:rFonts w:ascii="ITC Avant Garde" w:eastAsia="Times New Roman" w:hAnsi="ITC Avant Garde"/>
          <w:b/>
          <w:bCs/>
          <w:color w:val="000000"/>
          <w:sz w:val="18"/>
          <w:szCs w:val="18"/>
          <w:lang w:eastAsia="es-MX"/>
        </w:rPr>
        <w:t>Tabla 3</w:t>
      </w:r>
      <w:r>
        <w:rPr>
          <w:rFonts w:ascii="ITC Avant Garde" w:eastAsia="Times New Roman" w:hAnsi="ITC Avant Garde"/>
          <w:b/>
          <w:bCs/>
          <w:sz w:val="18"/>
          <w:szCs w:val="18"/>
          <w:lang w:eastAsia="es-MX"/>
        </w:rPr>
        <w:t xml:space="preserve">. </w:t>
      </w:r>
      <w:r w:rsidRPr="00D41D0C">
        <w:rPr>
          <w:rFonts w:ascii="ITC Avant Garde" w:eastAsia="Times New Roman" w:hAnsi="ITC Avant Garde"/>
          <w:b/>
          <w:bCs/>
          <w:sz w:val="18"/>
          <w:szCs w:val="18"/>
          <w:lang w:eastAsia="es-MX"/>
        </w:rPr>
        <w:t>Datos de la Asignación</w:t>
      </w:r>
    </w:p>
    <w:tbl>
      <w:tblPr>
        <w:tblStyle w:val="Cuadrculadetablaclara"/>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3: Análisis de las asignaciones"/>
        <w:tblDescription w:val="En una tabla de 7 columnas, se proporciona información de 2 asignaciones de frecuencia con las fechas de inicio y vencimiento, así como las solicitudes de prórroga."/>
      </w:tblPr>
      <w:tblGrid>
        <w:gridCol w:w="763"/>
        <w:gridCol w:w="1200"/>
        <w:gridCol w:w="1293"/>
        <w:gridCol w:w="1237"/>
        <w:gridCol w:w="1320"/>
        <w:gridCol w:w="1412"/>
        <w:gridCol w:w="1417"/>
      </w:tblGrid>
      <w:tr w:rsidR="000328D4" w:rsidRPr="000328D4" w14:paraId="0F423D91" w14:textId="77777777" w:rsidTr="007A4A4F">
        <w:trPr>
          <w:trHeight w:val="20"/>
          <w:tblHeader/>
          <w:jc w:val="center"/>
        </w:trPr>
        <w:tc>
          <w:tcPr>
            <w:tcW w:w="763" w:type="dxa"/>
            <w:shd w:val="clear" w:color="auto" w:fill="A6A6A6" w:themeFill="background1" w:themeFillShade="A6"/>
            <w:vAlign w:val="center"/>
          </w:tcPr>
          <w:p w14:paraId="1CE8A3C2" w14:textId="1CA01DAC"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color w:val="000000"/>
                <w:sz w:val="12"/>
                <w:szCs w:val="12"/>
                <w:lang w:eastAsia="es-MX"/>
              </w:rPr>
              <w:t>Número</w:t>
            </w:r>
          </w:p>
        </w:tc>
        <w:tc>
          <w:tcPr>
            <w:tcW w:w="1200" w:type="dxa"/>
            <w:shd w:val="clear" w:color="auto" w:fill="A6A6A6" w:themeFill="background1" w:themeFillShade="A6"/>
            <w:vAlign w:val="center"/>
          </w:tcPr>
          <w:p w14:paraId="23DF1CB9" w14:textId="30CCA056"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No. de Asignación</w:t>
            </w:r>
          </w:p>
        </w:tc>
        <w:tc>
          <w:tcPr>
            <w:tcW w:w="1293" w:type="dxa"/>
            <w:shd w:val="clear" w:color="auto" w:fill="A6A6A6" w:themeFill="background1" w:themeFillShade="A6"/>
            <w:vAlign w:val="center"/>
          </w:tcPr>
          <w:p w14:paraId="415DB77B" w14:textId="2810C118"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Fecha de otorgamiento</w:t>
            </w:r>
          </w:p>
        </w:tc>
        <w:tc>
          <w:tcPr>
            <w:tcW w:w="1237" w:type="dxa"/>
            <w:shd w:val="clear" w:color="auto" w:fill="A6A6A6" w:themeFill="background1" w:themeFillShade="A6"/>
            <w:vAlign w:val="center"/>
          </w:tcPr>
          <w:p w14:paraId="4354AE18" w14:textId="25CC7689"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Años de Vigencia</w:t>
            </w:r>
          </w:p>
        </w:tc>
        <w:tc>
          <w:tcPr>
            <w:tcW w:w="1320" w:type="dxa"/>
            <w:shd w:val="clear" w:color="auto" w:fill="A6A6A6" w:themeFill="background1" w:themeFillShade="A6"/>
            <w:vAlign w:val="center"/>
          </w:tcPr>
          <w:p w14:paraId="22A7A257" w14:textId="2FEC1DD1"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Fecha de vencimiento</w:t>
            </w:r>
          </w:p>
        </w:tc>
        <w:tc>
          <w:tcPr>
            <w:tcW w:w="1412" w:type="dxa"/>
            <w:shd w:val="clear" w:color="auto" w:fill="A6A6A6" w:themeFill="background1" w:themeFillShade="A6"/>
            <w:noWrap/>
            <w:vAlign w:val="center"/>
          </w:tcPr>
          <w:p w14:paraId="140BB25C" w14:textId="495BE625"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Fecha de Solicitud de Prórroga</w:t>
            </w:r>
          </w:p>
        </w:tc>
        <w:tc>
          <w:tcPr>
            <w:tcW w:w="1417" w:type="dxa"/>
            <w:shd w:val="clear" w:color="auto" w:fill="A6A6A6" w:themeFill="background1" w:themeFillShade="A6"/>
            <w:vAlign w:val="center"/>
          </w:tcPr>
          <w:p w14:paraId="1FC6233A" w14:textId="6598ED22" w:rsidR="00D41D0C" w:rsidRPr="000328D4" w:rsidRDefault="00D41D0C" w:rsidP="007A4A4F">
            <w:pPr>
              <w:spacing w:after="0" w:line="240" w:lineRule="auto"/>
              <w:jc w:val="center"/>
              <w:rPr>
                <w:rFonts w:ascii="ITC Avant Garde" w:eastAsia="Times New Roman" w:hAnsi="ITC Avant Garde"/>
                <w:b/>
                <w:color w:val="000000"/>
                <w:sz w:val="12"/>
                <w:szCs w:val="12"/>
                <w:lang w:eastAsia="es-MX"/>
              </w:rPr>
            </w:pPr>
            <w:r w:rsidRPr="000328D4">
              <w:rPr>
                <w:rFonts w:ascii="ITC Avant Garde" w:eastAsia="Times New Roman" w:hAnsi="ITC Avant Garde"/>
                <w:b/>
                <w:bCs/>
                <w:sz w:val="12"/>
                <w:szCs w:val="12"/>
                <w:lang w:eastAsia="es-MX"/>
              </w:rPr>
              <w:t>Fecha límite para presentar la Solicitud de Prórroga</w:t>
            </w:r>
          </w:p>
        </w:tc>
      </w:tr>
      <w:tr w:rsidR="000328D4" w:rsidRPr="000328D4" w14:paraId="07D59CDF" w14:textId="77777777" w:rsidTr="007A4A4F">
        <w:trPr>
          <w:trHeight w:val="20"/>
          <w:jc w:val="center"/>
        </w:trPr>
        <w:tc>
          <w:tcPr>
            <w:tcW w:w="763" w:type="dxa"/>
            <w:hideMark/>
          </w:tcPr>
          <w:p w14:paraId="06A2791C"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w:t>
            </w:r>
          </w:p>
        </w:tc>
        <w:tc>
          <w:tcPr>
            <w:tcW w:w="1200" w:type="dxa"/>
            <w:hideMark/>
          </w:tcPr>
          <w:p w14:paraId="220CE776"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1.-222</w:t>
            </w:r>
          </w:p>
        </w:tc>
        <w:tc>
          <w:tcPr>
            <w:tcW w:w="1293" w:type="dxa"/>
            <w:hideMark/>
          </w:tcPr>
          <w:p w14:paraId="64186DDC" w14:textId="1CCD33CB" w:rsidR="00D41D0C" w:rsidRPr="000328D4" w:rsidRDefault="000328D4"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 xml:space="preserve">7 de julio del año </w:t>
            </w:r>
            <w:r w:rsidR="00D41D0C" w:rsidRPr="000328D4">
              <w:rPr>
                <w:rFonts w:ascii="ITC Avant Garde" w:eastAsia="Times New Roman" w:hAnsi="ITC Avant Garde"/>
                <w:color w:val="000000"/>
                <w:sz w:val="14"/>
                <w:szCs w:val="14"/>
                <w:lang w:eastAsia="es-MX"/>
              </w:rPr>
              <w:t>2004</w:t>
            </w:r>
          </w:p>
        </w:tc>
        <w:tc>
          <w:tcPr>
            <w:tcW w:w="1237" w:type="dxa"/>
            <w:hideMark/>
          </w:tcPr>
          <w:p w14:paraId="183B8284"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4</w:t>
            </w:r>
          </w:p>
        </w:tc>
        <w:tc>
          <w:tcPr>
            <w:tcW w:w="1320" w:type="dxa"/>
            <w:hideMark/>
          </w:tcPr>
          <w:p w14:paraId="3E0AC384" w14:textId="78AAC496" w:rsidR="00D41D0C" w:rsidRPr="000328D4" w:rsidRDefault="000328D4"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 xml:space="preserve">7 de julio del año </w:t>
            </w:r>
            <w:r w:rsidR="00D41D0C" w:rsidRPr="000328D4">
              <w:rPr>
                <w:rFonts w:ascii="ITC Avant Garde" w:eastAsia="Times New Roman" w:hAnsi="ITC Avant Garde"/>
                <w:color w:val="000000"/>
                <w:sz w:val="14"/>
                <w:szCs w:val="14"/>
                <w:lang w:eastAsia="es-MX"/>
              </w:rPr>
              <w:t>2008</w:t>
            </w:r>
          </w:p>
        </w:tc>
        <w:tc>
          <w:tcPr>
            <w:tcW w:w="1412" w:type="dxa"/>
            <w:noWrap/>
            <w:hideMark/>
          </w:tcPr>
          <w:p w14:paraId="3DFB7652" w14:textId="161DA6BF" w:rsidR="00D41D0C" w:rsidRPr="000328D4" w:rsidRDefault="000328D4"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 xml:space="preserve">8 de noviembre del año </w:t>
            </w:r>
            <w:r w:rsidR="00D41D0C" w:rsidRPr="000328D4">
              <w:rPr>
                <w:rFonts w:ascii="ITC Avant Garde" w:eastAsia="Times New Roman" w:hAnsi="ITC Avant Garde"/>
                <w:color w:val="000000"/>
                <w:sz w:val="14"/>
                <w:szCs w:val="14"/>
                <w:lang w:eastAsia="es-MX"/>
              </w:rPr>
              <w:t>2007</w:t>
            </w:r>
          </w:p>
        </w:tc>
        <w:tc>
          <w:tcPr>
            <w:tcW w:w="1417" w:type="dxa"/>
            <w:hideMark/>
          </w:tcPr>
          <w:p w14:paraId="72F6F9AF" w14:textId="1E598FC6"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19</w:t>
            </w:r>
            <w:r w:rsidR="000328D4" w:rsidRPr="000328D4">
              <w:rPr>
                <w:rFonts w:ascii="ITC Avant Garde" w:eastAsia="Times New Roman" w:hAnsi="ITC Avant Garde"/>
                <w:color w:val="000000"/>
                <w:sz w:val="14"/>
                <w:szCs w:val="14"/>
                <w:lang w:eastAsia="es-MX"/>
              </w:rPr>
              <w:t xml:space="preserve"> de septiembre del año </w:t>
            </w:r>
            <w:r w:rsidRPr="000328D4">
              <w:rPr>
                <w:rFonts w:ascii="ITC Avant Garde" w:eastAsia="Times New Roman" w:hAnsi="ITC Avant Garde"/>
                <w:color w:val="000000"/>
                <w:sz w:val="14"/>
                <w:szCs w:val="14"/>
                <w:lang w:eastAsia="es-MX"/>
              </w:rPr>
              <w:t>2007</w:t>
            </w:r>
          </w:p>
        </w:tc>
      </w:tr>
      <w:tr w:rsidR="00D41D0C" w:rsidRPr="000328D4" w14:paraId="445A0DE5" w14:textId="77777777" w:rsidTr="007A4A4F">
        <w:trPr>
          <w:trHeight w:val="20"/>
          <w:jc w:val="center"/>
        </w:trPr>
        <w:tc>
          <w:tcPr>
            <w:tcW w:w="763" w:type="dxa"/>
            <w:hideMark/>
          </w:tcPr>
          <w:p w14:paraId="28EFD8E0"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2</w:t>
            </w:r>
          </w:p>
        </w:tc>
        <w:tc>
          <w:tcPr>
            <w:tcW w:w="1200" w:type="dxa"/>
            <w:hideMark/>
          </w:tcPr>
          <w:p w14:paraId="145FD641"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1.-291</w:t>
            </w:r>
          </w:p>
        </w:tc>
        <w:tc>
          <w:tcPr>
            <w:tcW w:w="1293" w:type="dxa"/>
            <w:hideMark/>
          </w:tcPr>
          <w:p w14:paraId="3BAB3D07" w14:textId="61CF2DEF"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w:t>
            </w:r>
            <w:r w:rsidR="000328D4" w:rsidRPr="000328D4">
              <w:rPr>
                <w:rFonts w:ascii="ITC Avant Garde" w:eastAsia="Times New Roman" w:hAnsi="ITC Avant Garde"/>
                <w:color w:val="000000"/>
                <w:sz w:val="14"/>
                <w:szCs w:val="14"/>
                <w:lang w:eastAsia="es-MX"/>
              </w:rPr>
              <w:t xml:space="preserve">2 de octubre del año </w:t>
            </w:r>
            <w:r w:rsidRPr="000328D4">
              <w:rPr>
                <w:rFonts w:ascii="ITC Avant Garde" w:eastAsia="Times New Roman" w:hAnsi="ITC Avant Garde"/>
                <w:color w:val="000000"/>
                <w:sz w:val="14"/>
                <w:szCs w:val="14"/>
                <w:lang w:eastAsia="es-MX"/>
              </w:rPr>
              <w:t>2005</w:t>
            </w:r>
          </w:p>
        </w:tc>
        <w:tc>
          <w:tcPr>
            <w:tcW w:w="1237" w:type="dxa"/>
            <w:hideMark/>
          </w:tcPr>
          <w:p w14:paraId="3350FEF9" w14:textId="77777777"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4</w:t>
            </w:r>
          </w:p>
        </w:tc>
        <w:tc>
          <w:tcPr>
            <w:tcW w:w="1320" w:type="dxa"/>
            <w:hideMark/>
          </w:tcPr>
          <w:p w14:paraId="45527099" w14:textId="2E7262D1"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12</w:t>
            </w:r>
            <w:r w:rsidR="000328D4" w:rsidRPr="000328D4">
              <w:rPr>
                <w:rFonts w:ascii="ITC Avant Garde" w:eastAsia="Times New Roman" w:hAnsi="ITC Avant Garde"/>
                <w:color w:val="000000"/>
                <w:sz w:val="14"/>
                <w:szCs w:val="14"/>
                <w:lang w:eastAsia="es-MX"/>
              </w:rPr>
              <w:t xml:space="preserve"> de octubre del año </w:t>
            </w:r>
            <w:r w:rsidRPr="000328D4">
              <w:rPr>
                <w:rFonts w:ascii="ITC Avant Garde" w:eastAsia="Times New Roman" w:hAnsi="ITC Avant Garde"/>
                <w:color w:val="000000"/>
                <w:sz w:val="14"/>
                <w:szCs w:val="14"/>
                <w:lang w:eastAsia="es-MX"/>
              </w:rPr>
              <w:t>2009</w:t>
            </w:r>
          </w:p>
        </w:tc>
        <w:tc>
          <w:tcPr>
            <w:tcW w:w="1412" w:type="dxa"/>
            <w:noWrap/>
            <w:hideMark/>
          </w:tcPr>
          <w:p w14:paraId="06B664C5" w14:textId="4F933EB1"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color w:val="000000"/>
                <w:sz w:val="14"/>
                <w:szCs w:val="14"/>
                <w:lang w:eastAsia="es-MX"/>
              </w:rPr>
              <w:t>14</w:t>
            </w:r>
            <w:r w:rsidR="000328D4" w:rsidRPr="000328D4">
              <w:rPr>
                <w:rFonts w:ascii="ITC Avant Garde" w:eastAsia="Times New Roman" w:hAnsi="ITC Avant Garde"/>
                <w:color w:val="000000"/>
                <w:sz w:val="14"/>
                <w:szCs w:val="14"/>
                <w:lang w:eastAsia="es-MX"/>
              </w:rPr>
              <w:t xml:space="preserve"> de octubre del año </w:t>
            </w:r>
            <w:r w:rsidRPr="000328D4">
              <w:rPr>
                <w:rFonts w:ascii="ITC Avant Garde" w:eastAsia="Times New Roman" w:hAnsi="ITC Avant Garde"/>
                <w:color w:val="000000"/>
                <w:sz w:val="14"/>
                <w:szCs w:val="14"/>
                <w:lang w:eastAsia="es-MX"/>
              </w:rPr>
              <w:t>2009</w:t>
            </w:r>
          </w:p>
        </w:tc>
        <w:tc>
          <w:tcPr>
            <w:tcW w:w="1417" w:type="dxa"/>
            <w:hideMark/>
          </w:tcPr>
          <w:p w14:paraId="1E447C1C" w14:textId="34B414FB" w:rsidR="00D41D0C" w:rsidRPr="000328D4" w:rsidRDefault="00D41D0C" w:rsidP="007A4A4F">
            <w:pPr>
              <w:spacing w:after="0" w:line="240" w:lineRule="auto"/>
              <w:jc w:val="center"/>
              <w:rPr>
                <w:rFonts w:ascii="ITC Avant Garde" w:eastAsia="Times New Roman" w:hAnsi="ITC Avant Garde"/>
                <w:color w:val="000000"/>
                <w:sz w:val="14"/>
                <w:szCs w:val="14"/>
                <w:lang w:eastAsia="es-MX"/>
              </w:rPr>
            </w:pPr>
            <w:r w:rsidRPr="000328D4">
              <w:rPr>
                <w:rFonts w:ascii="ITC Avant Garde" w:eastAsia="Times New Roman" w:hAnsi="ITC Avant Garde"/>
                <w:sz w:val="14"/>
                <w:szCs w:val="14"/>
                <w:lang w:eastAsia="es-MX"/>
              </w:rPr>
              <w:t>24</w:t>
            </w:r>
            <w:r w:rsidR="000328D4" w:rsidRPr="000328D4">
              <w:rPr>
                <w:rFonts w:ascii="ITC Avant Garde" w:eastAsia="Times New Roman" w:hAnsi="ITC Avant Garde"/>
                <w:color w:val="000000"/>
                <w:sz w:val="14"/>
                <w:szCs w:val="14"/>
                <w:lang w:eastAsia="es-MX"/>
              </w:rPr>
              <w:t xml:space="preserve"> de diciembre del año </w:t>
            </w:r>
            <w:r w:rsidRPr="000328D4">
              <w:rPr>
                <w:rFonts w:ascii="ITC Avant Garde" w:eastAsia="Times New Roman" w:hAnsi="ITC Avant Garde"/>
                <w:sz w:val="14"/>
                <w:szCs w:val="14"/>
                <w:lang w:eastAsia="es-MX"/>
              </w:rPr>
              <w:t>2008</w:t>
            </w:r>
          </w:p>
        </w:tc>
      </w:tr>
    </w:tbl>
    <w:p w14:paraId="25364758" w14:textId="77777777" w:rsidR="00B637A6" w:rsidRDefault="00D01ADE" w:rsidP="00B637A6">
      <w:pPr>
        <w:autoSpaceDE w:val="0"/>
        <w:autoSpaceDN w:val="0"/>
        <w:adjustRightInd w:val="0"/>
        <w:spacing w:before="240" w:line="240" w:lineRule="auto"/>
        <w:jc w:val="both"/>
        <w:rPr>
          <w:rFonts w:ascii="ITC Avant Garde" w:eastAsia="Times New Roman" w:hAnsi="ITC Avant Garde"/>
          <w:bCs/>
          <w:lang w:val="es-ES" w:eastAsia="es-ES"/>
        </w:rPr>
      </w:pPr>
      <w:r>
        <w:rPr>
          <w:rFonts w:ascii="ITC Avant Garde" w:eastAsia="Times New Roman" w:hAnsi="ITC Avant Garde"/>
          <w:bCs/>
          <w:lang w:val="es-ES" w:eastAsia="es-ES"/>
        </w:rPr>
        <w:t xml:space="preserve">Con la finalidad de establecer con exactitud la fecha límite en que la </w:t>
      </w:r>
      <w:r w:rsidR="0004366E">
        <w:rPr>
          <w:rFonts w:ascii="ITC Avant Garde" w:eastAsia="Times New Roman" w:hAnsi="ITC Avant Garde"/>
          <w:bCs/>
          <w:lang w:val="es-ES" w:eastAsia="es-ES"/>
        </w:rPr>
        <w:t xml:space="preserve">CESPM </w:t>
      </w:r>
      <w:r>
        <w:rPr>
          <w:rFonts w:ascii="ITC Avant Garde" w:eastAsia="Times New Roman" w:hAnsi="ITC Avant Garde"/>
          <w:bCs/>
          <w:lang w:val="es-ES" w:eastAsia="es-ES"/>
        </w:rPr>
        <w:t>debía haber presentado las Solicitudes de Prórroga, la Unidad de Concesiones y Servicios, a través de la Dirección General de Concesiones de Telecomunicaciones, llevó a cabo el cálculo para cada una de las Solicitudes de Prórroga</w:t>
      </w:r>
      <w:r w:rsidR="00AC05EE">
        <w:rPr>
          <w:rFonts w:ascii="ITC Avant Garde" w:eastAsia="Times New Roman" w:hAnsi="ITC Avant Garde"/>
          <w:bCs/>
          <w:lang w:val="es-ES" w:eastAsia="es-ES"/>
        </w:rPr>
        <w:t>. A</w:t>
      </w:r>
      <w:r w:rsidR="00710148">
        <w:rPr>
          <w:rFonts w:ascii="ITC Avant Garde" w:eastAsia="Times New Roman" w:hAnsi="ITC Avant Garde"/>
          <w:bCs/>
          <w:lang w:val="es-ES" w:eastAsia="es-ES"/>
        </w:rPr>
        <w:t xml:space="preserve"> </w:t>
      </w:r>
      <w:r w:rsidR="006D1830">
        <w:rPr>
          <w:rFonts w:ascii="ITC Avant Garde" w:eastAsia="Times New Roman" w:hAnsi="ITC Avant Garde"/>
          <w:bCs/>
          <w:lang w:val="es-ES" w:eastAsia="es-ES"/>
        </w:rPr>
        <w:t xml:space="preserve">continuación se describe para el caso de </w:t>
      </w:r>
      <w:r>
        <w:rPr>
          <w:rFonts w:ascii="ITC Avant Garde" w:eastAsia="Times New Roman" w:hAnsi="ITC Avant Garde"/>
          <w:bCs/>
          <w:lang w:val="es-ES" w:eastAsia="es-ES"/>
        </w:rPr>
        <w:t>la asignación 1.-</w:t>
      </w:r>
      <w:r w:rsidR="0004366E">
        <w:rPr>
          <w:rFonts w:ascii="ITC Avant Garde" w:eastAsia="Times New Roman" w:hAnsi="ITC Avant Garde"/>
          <w:bCs/>
          <w:lang w:val="es-ES" w:eastAsia="es-ES"/>
        </w:rPr>
        <w:t xml:space="preserve">222 </w:t>
      </w:r>
      <w:r>
        <w:rPr>
          <w:rFonts w:ascii="ITC Avant Garde" w:eastAsia="Times New Roman" w:hAnsi="ITC Avant Garde"/>
          <w:bCs/>
          <w:lang w:val="es-ES" w:eastAsia="es-ES"/>
        </w:rPr>
        <w:t xml:space="preserve">de fecha </w:t>
      </w:r>
      <w:r w:rsidR="0004366E">
        <w:rPr>
          <w:rFonts w:ascii="ITC Avant Garde" w:eastAsia="Times New Roman" w:hAnsi="ITC Avant Garde"/>
          <w:bCs/>
          <w:lang w:val="es-ES" w:eastAsia="es-ES"/>
        </w:rPr>
        <w:t>7 de julio de 2004.</w:t>
      </w:r>
    </w:p>
    <w:p w14:paraId="4A072A55" w14:textId="6FD3A38D" w:rsidR="00D01ADE" w:rsidRPr="00EE440F" w:rsidRDefault="00D01ADE" w:rsidP="00B637A6">
      <w:pPr>
        <w:pStyle w:val="Prrafodelista"/>
        <w:numPr>
          <w:ilvl w:val="0"/>
          <w:numId w:val="14"/>
        </w:numPr>
        <w:autoSpaceDE w:val="0"/>
        <w:autoSpaceDN w:val="0"/>
        <w:adjustRightInd w:val="0"/>
        <w:spacing w:before="240" w:after="200"/>
        <w:ind w:left="284" w:hanging="284"/>
        <w:jc w:val="both"/>
        <w:rPr>
          <w:rFonts w:ascii="ITC Avant Garde" w:hAnsi="ITC Avant Garde"/>
          <w:bCs/>
          <w:sz w:val="22"/>
          <w:szCs w:val="22"/>
        </w:rPr>
      </w:pPr>
      <w:r w:rsidRPr="00EE440F">
        <w:rPr>
          <w:rFonts w:ascii="ITC Avant Garde" w:hAnsi="ITC Avant Garde"/>
          <w:bCs/>
          <w:sz w:val="22"/>
          <w:szCs w:val="22"/>
        </w:rPr>
        <w:t xml:space="preserve">La Asignación se otorgó </w:t>
      </w:r>
      <w:r>
        <w:rPr>
          <w:rFonts w:ascii="ITC Avant Garde" w:hAnsi="ITC Avant Garde"/>
          <w:bCs/>
          <w:sz w:val="22"/>
          <w:szCs w:val="22"/>
        </w:rPr>
        <w:t xml:space="preserve">el </w:t>
      </w:r>
      <w:r w:rsidR="0004366E">
        <w:rPr>
          <w:rFonts w:ascii="ITC Avant Garde" w:hAnsi="ITC Avant Garde"/>
          <w:bCs/>
          <w:sz w:val="22"/>
          <w:szCs w:val="22"/>
        </w:rPr>
        <w:t>7 de julio de 2004</w:t>
      </w:r>
      <w:r>
        <w:rPr>
          <w:rFonts w:ascii="ITC Avant Garde" w:hAnsi="ITC Avant Garde"/>
          <w:bCs/>
          <w:sz w:val="22"/>
          <w:szCs w:val="22"/>
        </w:rPr>
        <w:t xml:space="preserve"> </w:t>
      </w:r>
      <w:r w:rsidRPr="00EE440F">
        <w:rPr>
          <w:rFonts w:ascii="ITC Avant Garde" w:hAnsi="ITC Avant Garde"/>
          <w:bCs/>
          <w:sz w:val="22"/>
          <w:szCs w:val="22"/>
        </w:rPr>
        <w:t>con una vigencia de 4 años, que equivalen a 1460 días (365 días que tiene un año x 4 años =1460 días).</w:t>
      </w:r>
    </w:p>
    <w:p w14:paraId="0FEFCFBB" w14:textId="77777777" w:rsidR="00D01ADE" w:rsidRPr="00EE440F" w:rsidRDefault="00D01ADE" w:rsidP="00B637A6">
      <w:pPr>
        <w:pStyle w:val="Prrafodelista"/>
        <w:numPr>
          <w:ilvl w:val="0"/>
          <w:numId w:val="14"/>
        </w:numPr>
        <w:autoSpaceDE w:val="0"/>
        <w:autoSpaceDN w:val="0"/>
        <w:adjustRightInd w:val="0"/>
        <w:spacing w:before="240" w:after="200"/>
        <w:ind w:left="284" w:hanging="284"/>
        <w:jc w:val="both"/>
        <w:rPr>
          <w:rFonts w:ascii="ITC Avant Garde" w:hAnsi="ITC Avant Garde"/>
          <w:bCs/>
          <w:sz w:val="22"/>
          <w:szCs w:val="22"/>
        </w:rPr>
      </w:pPr>
      <w:r w:rsidRPr="00EE440F">
        <w:rPr>
          <w:rFonts w:ascii="ITC Avant Garde" w:hAnsi="ITC Avant Garde"/>
          <w:bCs/>
          <w:sz w:val="22"/>
          <w:szCs w:val="22"/>
        </w:rPr>
        <w:t xml:space="preserve">Para calcular </w:t>
      </w:r>
      <w:r>
        <w:rPr>
          <w:rFonts w:ascii="ITC Avant Garde" w:hAnsi="ITC Avant Garde"/>
          <w:bCs/>
          <w:sz w:val="22"/>
          <w:szCs w:val="22"/>
        </w:rPr>
        <w:t>los</w:t>
      </w:r>
      <w:r w:rsidRPr="00EE440F">
        <w:rPr>
          <w:rFonts w:ascii="ITC Avant Garde" w:hAnsi="ITC Avant Garde"/>
          <w:bCs/>
          <w:sz w:val="22"/>
          <w:szCs w:val="22"/>
        </w:rPr>
        <w:t xml:space="preserve"> días </w:t>
      </w:r>
      <w:r>
        <w:rPr>
          <w:rFonts w:ascii="ITC Avant Garde" w:hAnsi="ITC Avant Garde"/>
          <w:bCs/>
          <w:sz w:val="22"/>
          <w:szCs w:val="22"/>
        </w:rPr>
        <w:t xml:space="preserve">a que </w:t>
      </w:r>
      <w:r w:rsidRPr="00EE440F">
        <w:rPr>
          <w:rFonts w:ascii="ITC Avant Garde" w:hAnsi="ITC Avant Garde"/>
          <w:bCs/>
          <w:sz w:val="22"/>
          <w:szCs w:val="22"/>
        </w:rPr>
        <w:t>equivale la última quinta parte</w:t>
      </w:r>
      <w:r>
        <w:rPr>
          <w:rFonts w:ascii="ITC Avant Garde" w:hAnsi="ITC Avant Garde"/>
          <w:bCs/>
          <w:sz w:val="22"/>
          <w:szCs w:val="22"/>
        </w:rPr>
        <w:t xml:space="preserve"> de esos 1460 días,</w:t>
      </w:r>
      <w:r w:rsidRPr="00EE440F">
        <w:rPr>
          <w:rFonts w:ascii="ITC Avant Garde" w:hAnsi="ITC Avant Garde"/>
          <w:bCs/>
          <w:sz w:val="22"/>
          <w:szCs w:val="22"/>
        </w:rPr>
        <w:t xml:space="preserve"> se </w:t>
      </w:r>
      <w:r>
        <w:rPr>
          <w:rFonts w:ascii="ITC Avant Garde" w:hAnsi="ITC Avant Garde"/>
          <w:bCs/>
          <w:sz w:val="22"/>
          <w:szCs w:val="22"/>
        </w:rPr>
        <w:t>realizó la siguiente operación: 1</w:t>
      </w:r>
      <w:r w:rsidRPr="00EE440F">
        <w:rPr>
          <w:rFonts w:ascii="ITC Avant Garde" w:hAnsi="ITC Avant Garde"/>
          <w:bCs/>
          <w:sz w:val="22"/>
          <w:szCs w:val="22"/>
        </w:rPr>
        <w:t>460/5=292 días.</w:t>
      </w:r>
      <w:r>
        <w:rPr>
          <w:rFonts w:ascii="ITC Avant Garde" w:hAnsi="ITC Avant Garde"/>
          <w:bCs/>
          <w:sz w:val="22"/>
          <w:szCs w:val="22"/>
        </w:rPr>
        <w:t xml:space="preserve"> Es decir, la quinta parte de 1460 días son 292 días.</w:t>
      </w:r>
    </w:p>
    <w:p w14:paraId="7E00EC08" w14:textId="00CFA5B2" w:rsidR="00D01ADE" w:rsidRDefault="00D01ADE" w:rsidP="00B637A6">
      <w:pPr>
        <w:pStyle w:val="Prrafodelista"/>
        <w:numPr>
          <w:ilvl w:val="0"/>
          <w:numId w:val="14"/>
        </w:numPr>
        <w:autoSpaceDE w:val="0"/>
        <w:autoSpaceDN w:val="0"/>
        <w:adjustRightInd w:val="0"/>
        <w:spacing w:before="240" w:after="200"/>
        <w:ind w:left="284" w:hanging="284"/>
        <w:jc w:val="both"/>
        <w:rPr>
          <w:rFonts w:ascii="ITC Avant Garde" w:hAnsi="ITC Avant Garde"/>
          <w:bCs/>
          <w:sz w:val="22"/>
          <w:szCs w:val="22"/>
        </w:rPr>
      </w:pPr>
      <w:r>
        <w:rPr>
          <w:rFonts w:ascii="ITC Avant Garde" w:hAnsi="ITC Avant Garde"/>
          <w:bCs/>
          <w:sz w:val="22"/>
          <w:szCs w:val="22"/>
        </w:rPr>
        <w:t>L</w:t>
      </w:r>
      <w:r w:rsidRPr="00EE440F">
        <w:rPr>
          <w:rFonts w:ascii="ITC Avant Garde" w:hAnsi="ITC Avant Garde"/>
          <w:bCs/>
          <w:sz w:val="22"/>
          <w:szCs w:val="22"/>
        </w:rPr>
        <w:t>a Ley Federal de Procedimiento Administrativo en su artículo 29</w:t>
      </w:r>
      <w:r>
        <w:rPr>
          <w:rFonts w:ascii="ITC Avant Garde" w:hAnsi="ITC Avant Garde"/>
          <w:bCs/>
          <w:sz w:val="22"/>
          <w:szCs w:val="22"/>
        </w:rPr>
        <w:t xml:space="preserve"> señala que</w:t>
      </w:r>
      <w:r w:rsidRPr="00EE440F">
        <w:rPr>
          <w:rFonts w:ascii="ITC Avant Garde" w:hAnsi="ITC Avant Garde"/>
          <w:bCs/>
          <w:sz w:val="22"/>
          <w:szCs w:val="22"/>
        </w:rPr>
        <w:t xml:space="preserve"> </w:t>
      </w:r>
      <w:r>
        <w:rPr>
          <w:rFonts w:ascii="ITC Avant Garde" w:hAnsi="ITC Avant Garde"/>
          <w:bCs/>
          <w:sz w:val="22"/>
          <w:szCs w:val="22"/>
        </w:rPr>
        <w:t xml:space="preserve">para el cómputo de </w:t>
      </w:r>
      <w:r w:rsidRPr="00EE440F">
        <w:rPr>
          <w:rFonts w:ascii="ITC Avant Garde" w:hAnsi="ITC Avant Garde"/>
          <w:bCs/>
          <w:sz w:val="22"/>
          <w:szCs w:val="22"/>
        </w:rPr>
        <w:t>los plazos establecidos por año, se entenderá que el plazo concluye el mismo número de día del mes o año de calendario que corresponda</w:t>
      </w:r>
      <w:r>
        <w:rPr>
          <w:rFonts w:ascii="ITC Avant Garde" w:hAnsi="ITC Avant Garde"/>
          <w:bCs/>
          <w:sz w:val="22"/>
          <w:szCs w:val="22"/>
        </w:rPr>
        <w:t xml:space="preserve">. Al respecto, y considerando que </w:t>
      </w:r>
      <w:r w:rsidR="006D1830">
        <w:rPr>
          <w:rFonts w:ascii="ITC Avant Garde" w:hAnsi="ITC Avant Garde"/>
          <w:bCs/>
          <w:sz w:val="22"/>
          <w:szCs w:val="22"/>
        </w:rPr>
        <w:t>dicha a</w:t>
      </w:r>
      <w:r>
        <w:rPr>
          <w:rFonts w:ascii="ITC Avant Garde" w:hAnsi="ITC Avant Garde"/>
          <w:bCs/>
          <w:sz w:val="22"/>
          <w:szCs w:val="22"/>
        </w:rPr>
        <w:t xml:space="preserve">signación se otorgó por 4 años, contados a partir del </w:t>
      </w:r>
      <w:r w:rsidR="0004366E">
        <w:rPr>
          <w:rFonts w:ascii="ITC Avant Garde" w:hAnsi="ITC Avant Garde"/>
          <w:bCs/>
          <w:sz w:val="22"/>
          <w:szCs w:val="22"/>
        </w:rPr>
        <w:t>7 de julio de 2004</w:t>
      </w:r>
      <w:r>
        <w:rPr>
          <w:rFonts w:ascii="ITC Avant Garde" w:hAnsi="ITC Avant Garde"/>
          <w:bCs/>
          <w:sz w:val="22"/>
          <w:szCs w:val="22"/>
        </w:rPr>
        <w:t xml:space="preserve">, se concluye que su vigencia finalizó </w:t>
      </w:r>
      <w:r w:rsidRPr="00EE440F">
        <w:rPr>
          <w:rFonts w:ascii="ITC Avant Garde" w:hAnsi="ITC Avant Garde"/>
          <w:bCs/>
          <w:sz w:val="22"/>
          <w:szCs w:val="22"/>
        </w:rPr>
        <w:t xml:space="preserve">el </w:t>
      </w:r>
      <w:r w:rsidR="0004366E">
        <w:rPr>
          <w:rFonts w:ascii="ITC Avant Garde" w:hAnsi="ITC Avant Garde"/>
          <w:bCs/>
          <w:sz w:val="22"/>
          <w:szCs w:val="22"/>
        </w:rPr>
        <w:t>7 de julio de 2008</w:t>
      </w:r>
      <w:r w:rsidRPr="00EE440F">
        <w:rPr>
          <w:rFonts w:ascii="ITC Avant Garde" w:hAnsi="ITC Avant Garde"/>
          <w:bCs/>
          <w:sz w:val="22"/>
          <w:szCs w:val="22"/>
        </w:rPr>
        <w:t>.</w:t>
      </w:r>
    </w:p>
    <w:p w14:paraId="046BEA78" w14:textId="0E38C53F" w:rsidR="00D01ADE" w:rsidRDefault="00D01ADE" w:rsidP="00B637A6">
      <w:pPr>
        <w:pStyle w:val="Prrafodelista"/>
        <w:numPr>
          <w:ilvl w:val="0"/>
          <w:numId w:val="14"/>
        </w:numPr>
        <w:autoSpaceDE w:val="0"/>
        <w:autoSpaceDN w:val="0"/>
        <w:adjustRightInd w:val="0"/>
        <w:spacing w:before="240" w:after="200"/>
        <w:ind w:left="284" w:hanging="284"/>
        <w:jc w:val="both"/>
        <w:rPr>
          <w:rFonts w:ascii="ITC Avant Garde" w:hAnsi="ITC Avant Garde"/>
          <w:bCs/>
          <w:sz w:val="22"/>
          <w:szCs w:val="22"/>
        </w:rPr>
      </w:pPr>
      <w:r>
        <w:rPr>
          <w:rFonts w:ascii="ITC Avant Garde" w:hAnsi="ITC Avant Garde"/>
          <w:bCs/>
          <w:sz w:val="22"/>
          <w:szCs w:val="22"/>
        </w:rPr>
        <w:t>Para determinar</w:t>
      </w:r>
      <w:r w:rsidRPr="00EE440F">
        <w:rPr>
          <w:rFonts w:ascii="ITC Avant Garde" w:hAnsi="ITC Avant Garde"/>
          <w:bCs/>
          <w:sz w:val="22"/>
          <w:szCs w:val="22"/>
        </w:rPr>
        <w:t xml:space="preserve"> la fecha límite </w:t>
      </w:r>
      <w:r>
        <w:rPr>
          <w:rFonts w:ascii="ITC Avant Garde" w:hAnsi="ITC Avant Garde"/>
          <w:bCs/>
          <w:sz w:val="22"/>
          <w:szCs w:val="22"/>
        </w:rPr>
        <w:t xml:space="preserve">que tenía </w:t>
      </w:r>
      <w:r w:rsidR="006D1830" w:rsidRPr="004E4397">
        <w:rPr>
          <w:rFonts w:ascii="ITC Avant Garde" w:hAnsi="ITC Avant Garde"/>
          <w:bCs/>
          <w:sz w:val="22"/>
          <w:szCs w:val="22"/>
        </w:rPr>
        <w:t xml:space="preserve">la </w:t>
      </w:r>
      <w:r w:rsidR="0004366E">
        <w:rPr>
          <w:rFonts w:ascii="ITC Avant Garde" w:hAnsi="ITC Avant Garde"/>
          <w:bCs/>
          <w:sz w:val="22"/>
          <w:szCs w:val="22"/>
        </w:rPr>
        <w:t>CESPM</w:t>
      </w:r>
      <w:r w:rsidR="006D1830" w:rsidRPr="00EE440F">
        <w:rPr>
          <w:rFonts w:ascii="ITC Avant Garde" w:hAnsi="ITC Avant Garde"/>
          <w:bCs/>
          <w:sz w:val="22"/>
          <w:szCs w:val="22"/>
        </w:rPr>
        <w:t xml:space="preserve"> </w:t>
      </w:r>
      <w:r w:rsidR="006D1830">
        <w:rPr>
          <w:rFonts w:ascii="ITC Avant Garde" w:hAnsi="ITC Avant Garde"/>
          <w:bCs/>
          <w:sz w:val="22"/>
          <w:szCs w:val="22"/>
        </w:rPr>
        <w:t xml:space="preserve">para presentar </w:t>
      </w:r>
      <w:r w:rsidR="00650748">
        <w:rPr>
          <w:rFonts w:ascii="ITC Avant Garde" w:hAnsi="ITC Avant Garde"/>
          <w:bCs/>
          <w:sz w:val="22"/>
          <w:szCs w:val="22"/>
        </w:rPr>
        <w:t>dicha</w:t>
      </w:r>
      <w:r w:rsidR="006D1830">
        <w:rPr>
          <w:rFonts w:ascii="ITC Avant Garde" w:hAnsi="ITC Avant Garde"/>
          <w:bCs/>
          <w:sz w:val="22"/>
          <w:szCs w:val="22"/>
        </w:rPr>
        <w:t xml:space="preserve"> s</w:t>
      </w:r>
      <w:r w:rsidRPr="00EE440F">
        <w:rPr>
          <w:rFonts w:ascii="ITC Avant Garde" w:hAnsi="ITC Avant Garde"/>
          <w:bCs/>
          <w:sz w:val="22"/>
          <w:szCs w:val="22"/>
        </w:rPr>
        <w:t xml:space="preserve">olicitud de </w:t>
      </w:r>
      <w:r w:rsidR="006D1830">
        <w:rPr>
          <w:rFonts w:ascii="ITC Avant Garde" w:hAnsi="ITC Avant Garde"/>
          <w:bCs/>
          <w:sz w:val="22"/>
          <w:szCs w:val="22"/>
        </w:rPr>
        <w:t>p</w:t>
      </w:r>
      <w:r w:rsidRPr="00EE440F">
        <w:rPr>
          <w:rFonts w:ascii="ITC Avant Garde" w:hAnsi="ITC Avant Garde"/>
          <w:bCs/>
          <w:sz w:val="22"/>
          <w:szCs w:val="22"/>
        </w:rPr>
        <w:t xml:space="preserve">rórroga, se </w:t>
      </w:r>
      <w:r>
        <w:rPr>
          <w:rFonts w:ascii="ITC Avant Garde" w:hAnsi="ITC Avant Garde"/>
          <w:bCs/>
          <w:sz w:val="22"/>
          <w:szCs w:val="22"/>
        </w:rPr>
        <w:t xml:space="preserve">realizó la siguiente operación: a </w:t>
      </w:r>
      <w:r w:rsidRPr="00EE440F">
        <w:rPr>
          <w:rFonts w:ascii="ITC Avant Garde" w:hAnsi="ITC Avant Garde"/>
          <w:bCs/>
          <w:sz w:val="22"/>
          <w:szCs w:val="22"/>
        </w:rPr>
        <w:t xml:space="preserve">la fecha en que concluyó la vigencia de la </w:t>
      </w:r>
      <w:r w:rsidR="006D1830">
        <w:rPr>
          <w:rFonts w:ascii="ITC Avant Garde" w:hAnsi="ITC Avant Garde"/>
          <w:bCs/>
          <w:sz w:val="22"/>
          <w:szCs w:val="22"/>
        </w:rPr>
        <w:t>a</w:t>
      </w:r>
      <w:r w:rsidRPr="00EE440F">
        <w:rPr>
          <w:rFonts w:ascii="ITC Avant Garde" w:hAnsi="ITC Avant Garde"/>
          <w:bCs/>
          <w:sz w:val="22"/>
          <w:szCs w:val="22"/>
        </w:rPr>
        <w:t>signación</w:t>
      </w:r>
      <w:r>
        <w:rPr>
          <w:rFonts w:ascii="ITC Avant Garde" w:hAnsi="ITC Avant Garde"/>
          <w:bCs/>
          <w:sz w:val="22"/>
          <w:szCs w:val="22"/>
        </w:rPr>
        <w:t xml:space="preserve">, es decir, el </w:t>
      </w:r>
      <w:r w:rsidR="000F30C5">
        <w:rPr>
          <w:rFonts w:ascii="ITC Avant Garde" w:hAnsi="ITC Avant Garde"/>
          <w:bCs/>
          <w:sz w:val="22"/>
          <w:szCs w:val="22"/>
        </w:rPr>
        <w:t>7 de julio de 2008</w:t>
      </w:r>
      <w:r>
        <w:rPr>
          <w:rFonts w:ascii="ITC Avant Garde" w:hAnsi="ITC Avant Garde"/>
          <w:bCs/>
          <w:sz w:val="22"/>
          <w:szCs w:val="22"/>
        </w:rPr>
        <w:t xml:space="preserve">, </w:t>
      </w:r>
      <w:r w:rsidRPr="00EE440F">
        <w:rPr>
          <w:rFonts w:ascii="ITC Avant Garde" w:hAnsi="ITC Avant Garde"/>
          <w:bCs/>
          <w:sz w:val="22"/>
          <w:szCs w:val="22"/>
        </w:rPr>
        <w:t>se le restan los 292 días</w:t>
      </w:r>
      <w:r>
        <w:rPr>
          <w:rFonts w:ascii="ITC Avant Garde" w:hAnsi="ITC Avant Garde"/>
          <w:bCs/>
          <w:sz w:val="22"/>
          <w:szCs w:val="22"/>
        </w:rPr>
        <w:t xml:space="preserve">, que equivalen a la quinta parte. Lo anterior da como resultado la fecha del </w:t>
      </w:r>
      <w:r w:rsidR="000F30C5">
        <w:rPr>
          <w:rFonts w:ascii="ITC Avant Garde" w:hAnsi="ITC Avant Garde"/>
          <w:bCs/>
          <w:sz w:val="22"/>
          <w:szCs w:val="22"/>
        </w:rPr>
        <w:t>19 de septiembre de 2007</w:t>
      </w:r>
      <w:r>
        <w:rPr>
          <w:rFonts w:ascii="ITC Avant Garde" w:hAnsi="ITC Avant Garde"/>
          <w:bCs/>
          <w:sz w:val="22"/>
          <w:szCs w:val="22"/>
        </w:rPr>
        <w:t>.</w:t>
      </w:r>
    </w:p>
    <w:p w14:paraId="10680442" w14:textId="77777777" w:rsidR="00B637A6" w:rsidRDefault="006D1830" w:rsidP="00B637A6">
      <w:pPr>
        <w:pStyle w:val="Prrafodelista"/>
        <w:numPr>
          <w:ilvl w:val="0"/>
          <w:numId w:val="14"/>
        </w:numPr>
        <w:autoSpaceDE w:val="0"/>
        <w:autoSpaceDN w:val="0"/>
        <w:adjustRightInd w:val="0"/>
        <w:spacing w:before="240" w:after="200"/>
        <w:ind w:left="284" w:hanging="284"/>
        <w:jc w:val="both"/>
        <w:rPr>
          <w:rFonts w:ascii="ITC Avant Garde" w:hAnsi="ITC Avant Garde"/>
          <w:bCs/>
          <w:sz w:val="22"/>
          <w:szCs w:val="22"/>
        </w:rPr>
      </w:pPr>
      <w:r>
        <w:rPr>
          <w:rFonts w:ascii="ITC Avant Garde" w:hAnsi="ITC Avant Garde"/>
          <w:bCs/>
          <w:sz w:val="22"/>
          <w:szCs w:val="22"/>
        </w:rPr>
        <w:t xml:space="preserve">Por lo que </w:t>
      </w:r>
      <w:r w:rsidR="00D01ADE">
        <w:rPr>
          <w:rFonts w:ascii="ITC Avant Garde" w:hAnsi="ITC Avant Garde"/>
          <w:bCs/>
          <w:sz w:val="22"/>
          <w:szCs w:val="22"/>
        </w:rPr>
        <w:t xml:space="preserve">se concluye que </w:t>
      </w:r>
      <w:r w:rsidR="00650748">
        <w:rPr>
          <w:rFonts w:ascii="ITC Avant Garde" w:hAnsi="ITC Avant Garde"/>
          <w:bCs/>
          <w:sz w:val="22"/>
          <w:szCs w:val="22"/>
        </w:rPr>
        <w:t xml:space="preserve">la </w:t>
      </w:r>
      <w:r w:rsidR="004630FD">
        <w:rPr>
          <w:rFonts w:ascii="ITC Avant Garde" w:hAnsi="ITC Avant Garde"/>
          <w:bCs/>
          <w:sz w:val="22"/>
          <w:szCs w:val="22"/>
        </w:rPr>
        <w:t>CESPM</w:t>
      </w:r>
      <w:r w:rsidRPr="00EE440F">
        <w:rPr>
          <w:rFonts w:ascii="ITC Avant Garde" w:hAnsi="ITC Avant Garde"/>
          <w:bCs/>
          <w:sz w:val="22"/>
          <w:szCs w:val="22"/>
        </w:rPr>
        <w:t xml:space="preserve"> </w:t>
      </w:r>
      <w:r>
        <w:rPr>
          <w:rFonts w:ascii="ITC Avant Garde" w:hAnsi="ITC Avant Garde"/>
          <w:bCs/>
          <w:sz w:val="22"/>
          <w:szCs w:val="22"/>
        </w:rPr>
        <w:t>debió presentar la solicitud de p</w:t>
      </w:r>
      <w:r w:rsidR="00D01ADE">
        <w:rPr>
          <w:rFonts w:ascii="ITC Avant Garde" w:hAnsi="ITC Avant Garde"/>
          <w:bCs/>
          <w:sz w:val="22"/>
          <w:szCs w:val="22"/>
        </w:rPr>
        <w:t xml:space="preserve">rórroga antes del </w:t>
      </w:r>
      <w:r w:rsidR="004630FD">
        <w:rPr>
          <w:rFonts w:ascii="ITC Avant Garde" w:hAnsi="ITC Avant Garde"/>
          <w:bCs/>
          <w:sz w:val="22"/>
          <w:szCs w:val="22"/>
        </w:rPr>
        <w:t>19 de septiembre de 2007</w:t>
      </w:r>
      <w:r w:rsidR="00D01ADE" w:rsidRPr="00EE440F">
        <w:rPr>
          <w:rFonts w:ascii="ITC Avant Garde" w:hAnsi="ITC Avant Garde"/>
          <w:bCs/>
          <w:sz w:val="22"/>
          <w:szCs w:val="22"/>
        </w:rPr>
        <w:t>.</w:t>
      </w:r>
    </w:p>
    <w:p w14:paraId="57A90DC6" w14:textId="2E5BBCD5" w:rsidR="00AC05EE" w:rsidRDefault="00AC05EE" w:rsidP="00B637A6">
      <w:pPr>
        <w:autoSpaceDE w:val="0"/>
        <w:autoSpaceDN w:val="0"/>
        <w:adjustRightInd w:val="0"/>
        <w:spacing w:before="240" w:line="240" w:lineRule="auto"/>
        <w:jc w:val="both"/>
        <w:rPr>
          <w:rFonts w:ascii="ITC Avant Garde" w:eastAsia="Times New Roman" w:hAnsi="ITC Avant Garde"/>
          <w:bCs/>
          <w:lang w:val="es-ES" w:eastAsia="es-ES"/>
        </w:rPr>
      </w:pPr>
      <w:r w:rsidRPr="003F48D7">
        <w:rPr>
          <w:rFonts w:ascii="ITC Avant Garde" w:eastAsia="Times New Roman" w:hAnsi="ITC Avant Garde"/>
          <w:bCs/>
          <w:lang w:val="es-ES" w:eastAsia="es-ES"/>
        </w:rPr>
        <w:t xml:space="preserve">Para la asignación 1.-291 de fecha </w:t>
      </w:r>
      <w:r w:rsidR="004406B7">
        <w:rPr>
          <w:rFonts w:ascii="ITC Avant Garde" w:eastAsia="Times New Roman" w:hAnsi="ITC Avant Garde"/>
          <w:bCs/>
          <w:lang w:val="es-ES" w:eastAsia="es-ES"/>
        </w:rPr>
        <w:t>12</w:t>
      </w:r>
      <w:r w:rsidRPr="003F48D7">
        <w:rPr>
          <w:rFonts w:ascii="ITC Avant Garde" w:eastAsia="Times New Roman" w:hAnsi="ITC Avant Garde"/>
          <w:bCs/>
          <w:lang w:val="es-ES" w:eastAsia="es-ES"/>
        </w:rPr>
        <w:t xml:space="preserve"> de </w:t>
      </w:r>
      <w:r w:rsidR="004406B7">
        <w:rPr>
          <w:rFonts w:ascii="ITC Avant Garde" w:eastAsia="Times New Roman" w:hAnsi="ITC Avant Garde"/>
          <w:bCs/>
          <w:lang w:val="es-ES" w:eastAsia="es-ES"/>
        </w:rPr>
        <w:t>octubre</w:t>
      </w:r>
      <w:r w:rsidRPr="003F48D7">
        <w:rPr>
          <w:rFonts w:ascii="ITC Avant Garde" w:eastAsia="Times New Roman" w:hAnsi="ITC Avant Garde"/>
          <w:bCs/>
          <w:lang w:val="es-ES" w:eastAsia="es-ES"/>
        </w:rPr>
        <w:t xml:space="preserve"> de 2005, se realizó el siguiente cálculo:</w:t>
      </w:r>
    </w:p>
    <w:p w14:paraId="1C2087F5" w14:textId="00297B69" w:rsidR="003F48D7" w:rsidRPr="00EE440F" w:rsidRDefault="003F48D7" w:rsidP="00B637A6">
      <w:pPr>
        <w:pStyle w:val="Prrafodelista"/>
        <w:numPr>
          <w:ilvl w:val="0"/>
          <w:numId w:val="15"/>
        </w:numPr>
        <w:autoSpaceDE w:val="0"/>
        <w:autoSpaceDN w:val="0"/>
        <w:adjustRightInd w:val="0"/>
        <w:spacing w:before="240" w:after="200"/>
        <w:ind w:left="284"/>
        <w:jc w:val="both"/>
        <w:rPr>
          <w:rFonts w:ascii="ITC Avant Garde" w:hAnsi="ITC Avant Garde"/>
          <w:bCs/>
          <w:sz w:val="22"/>
          <w:szCs w:val="22"/>
        </w:rPr>
      </w:pPr>
      <w:r w:rsidRPr="00EE440F">
        <w:rPr>
          <w:rFonts w:ascii="ITC Avant Garde" w:hAnsi="ITC Avant Garde"/>
          <w:bCs/>
          <w:sz w:val="22"/>
          <w:szCs w:val="22"/>
        </w:rPr>
        <w:t xml:space="preserve">La Asignación se otorgó </w:t>
      </w:r>
      <w:r>
        <w:rPr>
          <w:rFonts w:ascii="ITC Avant Garde" w:hAnsi="ITC Avant Garde"/>
          <w:bCs/>
          <w:sz w:val="22"/>
          <w:szCs w:val="22"/>
        </w:rPr>
        <w:t xml:space="preserve">el </w:t>
      </w:r>
      <w:r w:rsidR="004406B7">
        <w:rPr>
          <w:rFonts w:ascii="ITC Avant Garde" w:hAnsi="ITC Avant Garde"/>
          <w:bCs/>
          <w:sz w:val="22"/>
          <w:szCs w:val="22"/>
        </w:rPr>
        <w:t>1</w:t>
      </w:r>
      <w:r>
        <w:rPr>
          <w:rFonts w:ascii="ITC Avant Garde" w:hAnsi="ITC Avant Garde"/>
          <w:bCs/>
          <w:sz w:val="22"/>
          <w:szCs w:val="22"/>
        </w:rPr>
        <w:t xml:space="preserve">2 de </w:t>
      </w:r>
      <w:r w:rsidR="004406B7">
        <w:rPr>
          <w:rFonts w:ascii="ITC Avant Garde" w:hAnsi="ITC Avant Garde"/>
          <w:bCs/>
          <w:sz w:val="22"/>
          <w:szCs w:val="22"/>
        </w:rPr>
        <w:t>octu</w:t>
      </w:r>
      <w:r>
        <w:rPr>
          <w:rFonts w:ascii="ITC Avant Garde" w:hAnsi="ITC Avant Garde"/>
          <w:bCs/>
          <w:sz w:val="22"/>
          <w:szCs w:val="22"/>
        </w:rPr>
        <w:t xml:space="preserve">bre de 2005 </w:t>
      </w:r>
      <w:r w:rsidRPr="00EE440F">
        <w:rPr>
          <w:rFonts w:ascii="ITC Avant Garde" w:hAnsi="ITC Avant Garde"/>
          <w:bCs/>
          <w:sz w:val="22"/>
          <w:szCs w:val="22"/>
        </w:rPr>
        <w:t>con una vigencia de 4 años, que equivalen a 1460 días (365 días que tiene un año x 4 años =1460 días).</w:t>
      </w:r>
    </w:p>
    <w:p w14:paraId="270C8165" w14:textId="77777777" w:rsidR="003F48D7" w:rsidRPr="00EE440F" w:rsidRDefault="003F48D7" w:rsidP="00B637A6">
      <w:pPr>
        <w:pStyle w:val="Prrafodelista"/>
        <w:numPr>
          <w:ilvl w:val="0"/>
          <w:numId w:val="15"/>
        </w:numPr>
        <w:autoSpaceDE w:val="0"/>
        <w:autoSpaceDN w:val="0"/>
        <w:adjustRightInd w:val="0"/>
        <w:spacing w:before="240" w:after="200"/>
        <w:ind w:left="284" w:hanging="284"/>
        <w:jc w:val="both"/>
        <w:rPr>
          <w:rFonts w:ascii="ITC Avant Garde" w:hAnsi="ITC Avant Garde"/>
          <w:bCs/>
          <w:sz w:val="22"/>
          <w:szCs w:val="22"/>
        </w:rPr>
      </w:pPr>
      <w:r w:rsidRPr="00EE440F">
        <w:rPr>
          <w:rFonts w:ascii="ITC Avant Garde" w:hAnsi="ITC Avant Garde"/>
          <w:bCs/>
          <w:sz w:val="22"/>
          <w:szCs w:val="22"/>
        </w:rPr>
        <w:t xml:space="preserve">Para calcular </w:t>
      </w:r>
      <w:r>
        <w:rPr>
          <w:rFonts w:ascii="ITC Avant Garde" w:hAnsi="ITC Avant Garde"/>
          <w:bCs/>
          <w:sz w:val="22"/>
          <w:szCs w:val="22"/>
        </w:rPr>
        <w:t>los</w:t>
      </w:r>
      <w:r w:rsidRPr="00EE440F">
        <w:rPr>
          <w:rFonts w:ascii="ITC Avant Garde" w:hAnsi="ITC Avant Garde"/>
          <w:bCs/>
          <w:sz w:val="22"/>
          <w:szCs w:val="22"/>
        </w:rPr>
        <w:t xml:space="preserve"> días </w:t>
      </w:r>
      <w:r>
        <w:rPr>
          <w:rFonts w:ascii="ITC Avant Garde" w:hAnsi="ITC Avant Garde"/>
          <w:bCs/>
          <w:sz w:val="22"/>
          <w:szCs w:val="22"/>
        </w:rPr>
        <w:t xml:space="preserve">a que </w:t>
      </w:r>
      <w:r w:rsidRPr="00EE440F">
        <w:rPr>
          <w:rFonts w:ascii="ITC Avant Garde" w:hAnsi="ITC Avant Garde"/>
          <w:bCs/>
          <w:sz w:val="22"/>
          <w:szCs w:val="22"/>
        </w:rPr>
        <w:t>equivale la última quinta parte</w:t>
      </w:r>
      <w:r>
        <w:rPr>
          <w:rFonts w:ascii="ITC Avant Garde" w:hAnsi="ITC Avant Garde"/>
          <w:bCs/>
          <w:sz w:val="22"/>
          <w:szCs w:val="22"/>
        </w:rPr>
        <w:t xml:space="preserve"> de esos 1460 días,</w:t>
      </w:r>
      <w:r w:rsidRPr="00EE440F">
        <w:rPr>
          <w:rFonts w:ascii="ITC Avant Garde" w:hAnsi="ITC Avant Garde"/>
          <w:bCs/>
          <w:sz w:val="22"/>
          <w:szCs w:val="22"/>
        </w:rPr>
        <w:t xml:space="preserve"> se </w:t>
      </w:r>
      <w:r>
        <w:rPr>
          <w:rFonts w:ascii="ITC Avant Garde" w:hAnsi="ITC Avant Garde"/>
          <w:bCs/>
          <w:sz w:val="22"/>
          <w:szCs w:val="22"/>
        </w:rPr>
        <w:t>realizó la siguiente operación: 1</w:t>
      </w:r>
      <w:r w:rsidRPr="00EE440F">
        <w:rPr>
          <w:rFonts w:ascii="ITC Avant Garde" w:hAnsi="ITC Avant Garde"/>
          <w:bCs/>
          <w:sz w:val="22"/>
          <w:szCs w:val="22"/>
        </w:rPr>
        <w:t>460/5=292 días.</w:t>
      </w:r>
      <w:r>
        <w:rPr>
          <w:rFonts w:ascii="ITC Avant Garde" w:hAnsi="ITC Avant Garde"/>
          <w:bCs/>
          <w:sz w:val="22"/>
          <w:szCs w:val="22"/>
        </w:rPr>
        <w:t xml:space="preserve"> Es decir, la quinta parte de 1460 días son 292 días.</w:t>
      </w:r>
    </w:p>
    <w:p w14:paraId="25CCCCCB" w14:textId="02471173" w:rsidR="003F48D7" w:rsidRDefault="003F48D7" w:rsidP="00B637A6">
      <w:pPr>
        <w:pStyle w:val="Prrafodelista"/>
        <w:numPr>
          <w:ilvl w:val="0"/>
          <w:numId w:val="15"/>
        </w:numPr>
        <w:autoSpaceDE w:val="0"/>
        <w:autoSpaceDN w:val="0"/>
        <w:adjustRightInd w:val="0"/>
        <w:spacing w:before="240" w:after="200"/>
        <w:ind w:left="284" w:hanging="284"/>
        <w:jc w:val="both"/>
        <w:rPr>
          <w:rFonts w:ascii="ITC Avant Garde" w:hAnsi="ITC Avant Garde"/>
          <w:bCs/>
          <w:sz w:val="22"/>
          <w:szCs w:val="22"/>
        </w:rPr>
      </w:pPr>
      <w:r>
        <w:rPr>
          <w:rFonts w:ascii="ITC Avant Garde" w:hAnsi="ITC Avant Garde"/>
          <w:bCs/>
          <w:sz w:val="22"/>
          <w:szCs w:val="22"/>
        </w:rPr>
        <w:lastRenderedPageBreak/>
        <w:t>L</w:t>
      </w:r>
      <w:r w:rsidRPr="00EE440F">
        <w:rPr>
          <w:rFonts w:ascii="ITC Avant Garde" w:hAnsi="ITC Avant Garde"/>
          <w:bCs/>
          <w:sz w:val="22"/>
          <w:szCs w:val="22"/>
        </w:rPr>
        <w:t>a Ley Federal de Procedimiento Administrativo en su artículo 29</w:t>
      </w:r>
      <w:r>
        <w:rPr>
          <w:rFonts w:ascii="ITC Avant Garde" w:hAnsi="ITC Avant Garde"/>
          <w:bCs/>
          <w:sz w:val="22"/>
          <w:szCs w:val="22"/>
        </w:rPr>
        <w:t xml:space="preserve"> señala que</w:t>
      </w:r>
      <w:r w:rsidRPr="00EE440F">
        <w:rPr>
          <w:rFonts w:ascii="ITC Avant Garde" w:hAnsi="ITC Avant Garde"/>
          <w:bCs/>
          <w:sz w:val="22"/>
          <w:szCs w:val="22"/>
        </w:rPr>
        <w:t xml:space="preserve"> </w:t>
      </w:r>
      <w:r>
        <w:rPr>
          <w:rFonts w:ascii="ITC Avant Garde" w:hAnsi="ITC Avant Garde"/>
          <w:bCs/>
          <w:sz w:val="22"/>
          <w:szCs w:val="22"/>
        </w:rPr>
        <w:t xml:space="preserve">para el cómputo de </w:t>
      </w:r>
      <w:r w:rsidRPr="00EE440F">
        <w:rPr>
          <w:rFonts w:ascii="ITC Avant Garde" w:hAnsi="ITC Avant Garde"/>
          <w:bCs/>
          <w:sz w:val="22"/>
          <w:szCs w:val="22"/>
        </w:rPr>
        <w:t>los plazos establecidos por año, se entenderá que el plazo concluye el mismo número de día del mes o año de calendario que corresponda</w:t>
      </w:r>
      <w:r>
        <w:rPr>
          <w:rFonts w:ascii="ITC Avant Garde" w:hAnsi="ITC Avant Garde"/>
          <w:bCs/>
          <w:sz w:val="22"/>
          <w:szCs w:val="22"/>
        </w:rPr>
        <w:t xml:space="preserve">. Al respecto, y considerando que dicha asignación se otorgó por 4 años, contados a partir del </w:t>
      </w:r>
      <w:r w:rsidR="004406B7">
        <w:rPr>
          <w:rFonts w:ascii="ITC Avant Garde" w:hAnsi="ITC Avant Garde"/>
          <w:bCs/>
          <w:sz w:val="22"/>
          <w:szCs w:val="22"/>
        </w:rPr>
        <w:t>1</w:t>
      </w:r>
      <w:r>
        <w:rPr>
          <w:rFonts w:ascii="ITC Avant Garde" w:hAnsi="ITC Avant Garde"/>
          <w:bCs/>
          <w:sz w:val="22"/>
          <w:szCs w:val="22"/>
        </w:rPr>
        <w:t xml:space="preserve">2 de </w:t>
      </w:r>
      <w:r w:rsidR="004406B7">
        <w:rPr>
          <w:rFonts w:ascii="ITC Avant Garde" w:hAnsi="ITC Avant Garde"/>
          <w:bCs/>
          <w:sz w:val="22"/>
          <w:szCs w:val="22"/>
        </w:rPr>
        <w:t>octu</w:t>
      </w:r>
      <w:r>
        <w:rPr>
          <w:rFonts w:ascii="ITC Avant Garde" w:hAnsi="ITC Avant Garde"/>
          <w:bCs/>
          <w:sz w:val="22"/>
          <w:szCs w:val="22"/>
        </w:rPr>
        <w:t xml:space="preserve">bre de 2005, se concluye que su vigencia finalizó </w:t>
      </w:r>
      <w:r w:rsidRPr="00EE440F">
        <w:rPr>
          <w:rFonts w:ascii="ITC Avant Garde" w:hAnsi="ITC Avant Garde"/>
          <w:bCs/>
          <w:sz w:val="22"/>
          <w:szCs w:val="22"/>
        </w:rPr>
        <w:t xml:space="preserve">el </w:t>
      </w:r>
      <w:r w:rsidR="004406B7">
        <w:rPr>
          <w:rFonts w:ascii="ITC Avant Garde" w:hAnsi="ITC Avant Garde"/>
          <w:bCs/>
          <w:sz w:val="22"/>
          <w:szCs w:val="22"/>
        </w:rPr>
        <w:t>12</w:t>
      </w:r>
      <w:r>
        <w:rPr>
          <w:rFonts w:ascii="ITC Avant Garde" w:hAnsi="ITC Avant Garde"/>
          <w:bCs/>
          <w:sz w:val="22"/>
          <w:szCs w:val="22"/>
        </w:rPr>
        <w:t xml:space="preserve"> de </w:t>
      </w:r>
      <w:r w:rsidR="004406B7">
        <w:rPr>
          <w:rFonts w:ascii="ITC Avant Garde" w:hAnsi="ITC Avant Garde"/>
          <w:bCs/>
          <w:sz w:val="22"/>
          <w:szCs w:val="22"/>
        </w:rPr>
        <w:t>octu</w:t>
      </w:r>
      <w:r>
        <w:rPr>
          <w:rFonts w:ascii="ITC Avant Garde" w:hAnsi="ITC Avant Garde"/>
          <w:bCs/>
          <w:sz w:val="22"/>
          <w:szCs w:val="22"/>
        </w:rPr>
        <w:t>bre de 2009</w:t>
      </w:r>
      <w:r w:rsidRPr="00EE440F">
        <w:rPr>
          <w:rFonts w:ascii="ITC Avant Garde" w:hAnsi="ITC Avant Garde"/>
          <w:bCs/>
          <w:sz w:val="22"/>
          <w:szCs w:val="22"/>
        </w:rPr>
        <w:t>.</w:t>
      </w:r>
    </w:p>
    <w:p w14:paraId="3CD95E10" w14:textId="1F0B92D5" w:rsidR="003F48D7" w:rsidRDefault="003F48D7" w:rsidP="00B637A6">
      <w:pPr>
        <w:pStyle w:val="Prrafodelista"/>
        <w:numPr>
          <w:ilvl w:val="0"/>
          <w:numId w:val="15"/>
        </w:numPr>
        <w:autoSpaceDE w:val="0"/>
        <w:autoSpaceDN w:val="0"/>
        <w:adjustRightInd w:val="0"/>
        <w:spacing w:before="240" w:after="200"/>
        <w:ind w:left="284" w:hanging="284"/>
        <w:jc w:val="both"/>
        <w:rPr>
          <w:rFonts w:ascii="ITC Avant Garde" w:hAnsi="ITC Avant Garde"/>
          <w:bCs/>
          <w:sz w:val="22"/>
          <w:szCs w:val="22"/>
        </w:rPr>
      </w:pPr>
      <w:r>
        <w:rPr>
          <w:rFonts w:ascii="ITC Avant Garde" w:hAnsi="ITC Avant Garde"/>
          <w:bCs/>
          <w:sz w:val="22"/>
          <w:szCs w:val="22"/>
        </w:rPr>
        <w:t>Para determinar</w:t>
      </w:r>
      <w:r w:rsidRPr="00EE440F">
        <w:rPr>
          <w:rFonts w:ascii="ITC Avant Garde" w:hAnsi="ITC Avant Garde"/>
          <w:bCs/>
          <w:sz w:val="22"/>
          <w:szCs w:val="22"/>
        </w:rPr>
        <w:t xml:space="preserve"> la fecha límite </w:t>
      </w:r>
      <w:r>
        <w:rPr>
          <w:rFonts w:ascii="ITC Avant Garde" w:hAnsi="ITC Avant Garde"/>
          <w:bCs/>
          <w:sz w:val="22"/>
          <w:szCs w:val="22"/>
        </w:rPr>
        <w:t xml:space="preserve">que tenía </w:t>
      </w:r>
      <w:r w:rsidRPr="004E4397">
        <w:rPr>
          <w:rFonts w:ascii="ITC Avant Garde" w:hAnsi="ITC Avant Garde"/>
          <w:bCs/>
          <w:sz w:val="22"/>
          <w:szCs w:val="22"/>
        </w:rPr>
        <w:t xml:space="preserve">la </w:t>
      </w:r>
      <w:r>
        <w:rPr>
          <w:rFonts w:ascii="ITC Avant Garde" w:hAnsi="ITC Avant Garde"/>
          <w:bCs/>
          <w:sz w:val="22"/>
          <w:szCs w:val="22"/>
        </w:rPr>
        <w:t>CESPM</w:t>
      </w:r>
      <w:r w:rsidRPr="00EE440F">
        <w:rPr>
          <w:rFonts w:ascii="ITC Avant Garde" w:hAnsi="ITC Avant Garde"/>
          <w:bCs/>
          <w:sz w:val="22"/>
          <w:szCs w:val="22"/>
        </w:rPr>
        <w:t xml:space="preserve"> </w:t>
      </w:r>
      <w:r>
        <w:rPr>
          <w:rFonts w:ascii="ITC Avant Garde" w:hAnsi="ITC Avant Garde"/>
          <w:bCs/>
          <w:sz w:val="22"/>
          <w:szCs w:val="22"/>
        </w:rPr>
        <w:t>para presentar dicha s</w:t>
      </w:r>
      <w:r w:rsidRPr="00EE440F">
        <w:rPr>
          <w:rFonts w:ascii="ITC Avant Garde" w:hAnsi="ITC Avant Garde"/>
          <w:bCs/>
          <w:sz w:val="22"/>
          <w:szCs w:val="22"/>
        </w:rPr>
        <w:t xml:space="preserve">olicitud de </w:t>
      </w:r>
      <w:r>
        <w:rPr>
          <w:rFonts w:ascii="ITC Avant Garde" w:hAnsi="ITC Avant Garde"/>
          <w:bCs/>
          <w:sz w:val="22"/>
          <w:szCs w:val="22"/>
        </w:rPr>
        <w:t>p</w:t>
      </w:r>
      <w:r w:rsidRPr="00EE440F">
        <w:rPr>
          <w:rFonts w:ascii="ITC Avant Garde" w:hAnsi="ITC Avant Garde"/>
          <w:bCs/>
          <w:sz w:val="22"/>
          <w:szCs w:val="22"/>
        </w:rPr>
        <w:t xml:space="preserve">rórroga, se </w:t>
      </w:r>
      <w:r>
        <w:rPr>
          <w:rFonts w:ascii="ITC Avant Garde" w:hAnsi="ITC Avant Garde"/>
          <w:bCs/>
          <w:sz w:val="22"/>
          <w:szCs w:val="22"/>
        </w:rPr>
        <w:t xml:space="preserve">realizó la siguiente operación: a </w:t>
      </w:r>
      <w:r w:rsidRPr="00EE440F">
        <w:rPr>
          <w:rFonts w:ascii="ITC Avant Garde" w:hAnsi="ITC Avant Garde"/>
          <w:bCs/>
          <w:sz w:val="22"/>
          <w:szCs w:val="22"/>
        </w:rPr>
        <w:t xml:space="preserve">la fecha en que concluyó la vigencia de la </w:t>
      </w:r>
      <w:r>
        <w:rPr>
          <w:rFonts w:ascii="ITC Avant Garde" w:hAnsi="ITC Avant Garde"/>
          <w:bCs/>
          <w:sz w:val="22"/>
          <w:szCs w:val="22"/>
        </w:rPr>
        <w:t>a</w:t>
      </w:r>
      <w:r w:rsidRPr="00EE440F">
        <w:rPr>
          <w:rFonts w:ascii="ITC Avant Garde" w:hAnsi="ITC Avant Garde"/>
          <w:bCs/>
          <w:sz w:val="22"/>
          <w:szCs w:val="22"/>
        </w:rPr>
        <w:t>signación</w:t>
      </w:r>
      <w:r>
        <w:rPr>
          <w:rFonts w:ascii="ITC Avant Garde" w:hAnsi="ITC Avant Garde"/>
          <w:bCs/>
          <w:sz w:val="22"/>
          <w:szCs w:val="22"/>
        </w:rPr>
        <w:t xml:space="preserve">, es decir, el </w:t>
      </w:r>
      <w:r w:rsidR="004406B7">
        <w:rPr>
          <w:rFonts w:ascii="ITC Avant Garde" w:hAnsi="ITC Avant Garde"/>
          <w:bCs/>
          <w:sz w:val="22"/>
          <w:szCs w:val="22"/>
        </w:rPr>
        <w:t>1</w:t>
      </w:r>
      <w:r>
        <w:rPr>
          <w:rFonts w:ascii="ITC Avant Garde" w:hAnsi="ITC Avant Garde"/>
          <w:bCs/>
          <w:sz w:val="22"/>
          <w:szCs w:val="22"/>
        </w:rPr>
        <w:t xml:space="preserve">2 de </w:t>
      </w:r>
      <w:r w:rsidR="004406B7">
        <w:rPr>
          <w:rFonts w:ascii="ITC Avant Garde" w:hAnsi="ITC Avant Garde"/>
          <w:bCs/>
          <w:sz w:val="22"/>
          <w:szCs w:val="22"/>
        </w:rPr>
        <w:t>octu</w:t>
      </w:r>
      <w:r>
        <w:rPr>
          <w:rFonts w:ascii="ITC Avant Garde" w:hAnsi="ITC Avant Garde"/>
          <w:bCs/>
          <w:sz w:val="22"/>
          <w:szCs w:val="22"/>
        </w:rPr>
        <w:t xml:space="preserve">bre de 2009, </w:t>
      </w:r>
      <w:r w:rsidRPr="00EE440F">
        <w:rPr>
          <w:rFonts w:ascii="ITC Avant Garde" w:hAnsi="ITC Avant Garde"/>
          <w:bCs/>
          <w:sz w:val="22"/>
          <w:szCs w:val="22"/>
        </w:rPr>
        <w:t>se le restan los 292 días</w:t>
      </w:r>
      <w:r>
        <w:rPr>
          <w:rFonts w:ascii="ITC Avant Garde" w:hAnsi="ITC Avant Garde"/>
          <w:bCs/>
          <w:sz w:val="22"/>
          <w:szCs w:val="22"/>
        </w:rPr>
        <w:t xml:space="preserve">, que equivalen a la quinta parte. Lo anterior da como resultado la fecha del </w:t>
      </w:r>
      <w:r w:rsidR="004406B7">
        <w:rPr>
          <w:rFonts w:ascii="ITC Avant Garde" w:hAnsi="ITC Avant Garde"/>
          <w:bCs/>
          <w:sz w:val="22"/>
          <w:szCs w:val="22"/>
        </w:rPr>
        <w:t>24</w:t>
      </w:r>
      <w:r>
        <w:rPr>
          <w:rFonts w:ascii="ITC Avant Garde" w:hAnsi="ITC Avant Garde"/>
          <w:bCs/>
          <w:sz w:val="22"/>
          <w:szCs w:val="22"/>
        </w:rPr>
        <w:t xml:space="preserve"> de </w:t>
      </w:r>
      <w:r w:rsidR="004406B7">
        <w:rPr>
          <w:rFonts w:ascii="ITC Avant Garde" w:hAnsi="ITC Avant Garde"/>
          <w:bCs/>
          <w:sz w:val="22"/>
          <w:szCs w:val="22"/>
        </w:rPr>
        <w:t>diciembre de 2008</w:t>
      </w:r>
      <w:r>
        <w:rPr>
          <w:rFonts w:ascii="ITC Avant Garde" w:hAnsi="ITC Avant Garde"/>
          <w:bCs/>
          <w:sz w:val="22"/>
          <w:szCs w:val="22"/>
        </w:rPr>
        <w:t>.</w:t>
      </w:r>
    </w:p>
    <w:p w14:paraId="7772DAC1" w14:textId="77777777" w:rsidR="00B637A6" w:rsidRDefault="003F48D7" w:rsidP="00B637A6">
      <w:pPr>
        <w:pStyle w:val="Prrafodelista"/>
        <w:numPr>
          <w:ilvl w:val="0"/>
          <w:numId w:val="15"/>
        </w:numPr>
        <w:autoSpaceDE w:val="0"/>
        <w:autoSpaceDN w:val="0"/>
        <w:adjustRightInd w:val="0"/>
        <w:spacing w:before="240" w:after="200"/>
        <w:ind w:left="284" w:hanging="284"/>
        <w:jc w:val="both"/>
        <w:rPr>
          <w:rFonts w:ascii="ITC Avant Garde" w:hAnsi="ITC Avant Garde"/>
          <w:bCs/>
          <w:sz w:val="22"/>
          <w:szCs w:val="22"/>
        </w:rPr>
      </w:pPr>
      <w:r w:rsidRPr="00306F0A">
        <w:rPr>
          <w:rFonts w:ascii="ITC Avant Garde" w:hAnsi="ITC Avant Garde"/>
          <w:bCs/>
          <w:sz w:val="22"/>
          <w:szCs w:val="22"/>
        </w:rPr>
        <w:t xml:space="preserve">Por lo que se concluye que la CESPM debió presentar la solicitud de prórroga antes del </w:t>
      </w:r>
      <w:r w:rsidR="004406B7">
        <w:rPr>
          <w:rFonts w:ascii="ITC Avant Garde" w:hAnsi="ITC Avant Garde"/>
          <w:bCs/>
          <w:sz w:val="22"/>
          <w:szCs w:val="22"/>
        </w:rPr>
        <w:t>24 de diciembre de 2008</w:t>
      </w:r>
      <w:r w:rsidRPr="00306F0A">
        <w:rPr>
          <w:rFonts w:ascii="ITC Avant Garde" w:hAnsi="ITC Avant Garde"/>
          <w:bCs/>
          <w:sz w:val="22"/>
          <w:szCs w:val="22"/>
        </w:rPr>
        <w:t>.</w:t>
      </w:r>
    </w:p>
    <w:p w14:paraId="6C866631" w14:textId="77777777" w:rsidR="00B637A6" w:rsidRDefault="004A2849" w:rsidP="00B637A6">
      <w:pPr>
        <w:autoSpaceDE w:val="0"/>
        <w:autoSpaceDN w:val="0"/>
        <w:adjustRightInd w:val="0"/>
        <w:spacing w:before="240" w:line="240" w:lineRule="auto"/>
        <w:jc w:val="both"/>
        <w:rPr>
          <w:rFonts w:ascii="ITC Avant Garde" w:eastAsia="Times New Roman" w:hAnsi="ITC Avant Garde"/>
          <w:bCs/>
          <w:lang w:val="es-ES" w:eastAsia="es-ES"/>
        </w:rPr>
      </w:pPr>
      <w:r>
        <w:rPr>
          <w:rFonts w:ascii="ITC Avant Garde" w:eastAsia="Times New Roman" w:hAnsi="ITC Avant Garde"/>
          <w:bCs/>
          <w:lang w:val="es-ES" w:eastAsia="es-ES"/>
        </w:rPr>
        <w:t>Derivado de lo anterior, queda claro que</w:t>
      </w:r>
      <w:r w:rsidRPr="00462980">
        <w:rPr>
          <w:rFonts w:ascii="ITC Avant Garde" w:eastAsia="Times New Roman" w:hAnsi="ITC Avant Garde"/>
          <w:bCs/>
          <w:lang w:val="es-ES" w:eastAsia="es-ES"/>
        </w:rPr>
        <w:t xml:space="preserve"> dicho requisito no fue satisfecho, en virtud de que </w:t>
      </w:r>
      <w:r w:rsidRPr="008652CC">
        <w:rPr>
          <w:rFonts w:ascii="ITC Avant Garde" w:eastAsia="Times New Roman" w:hAnsi="ITC Avant Garde"/>
          <w:bCs/>
          <w:lang w:val="es-ES" w:eastAsia="es-ES"/>
        </w:rPr>
        <w:t>la</w:t>
      </w:r>
      <w:r>
        <w:rPr>
          <w:rFonts w:ascii="ITC Avant Garde" w:eastAsia="Times New Roman" w:hAnsi="ITC Avant Garde"/>
          <w:bCs/>
          <w:lang w:val="es-ES" w:eastAsia="es-ES"/>
        </w:rPr>
        <w:t>s</w:t>
      </w:r>
      <w:r w:rsidRPr="008652CC">
        <w:rPr>
          <w:rFonts w:ascii="ITC Avant Garde" w:eastAsia="Times New Roman" w:hAnsi="ITC Avant Garde"/>
          <w:bCs/>
          <w:lang w:val="es-ES" w:eastAsia="es-ES"/>
        </w:rPr>
        <w:t xml:space="preserve"> Solicitud</w:t>
      </w:r>
      <w:r>
        <w:rPr>
          <w:rFonts w:ascii="ITC Avant Garde" w:eastAsia="Times New Roman" w:hAnsi="ITC Avant Garde"/>
          <w:bCs/>
          <w:lang w:val="es-ES" w:eastAsia="es-ES"/>
        </w:rPr>
        <w:t>es</w:t>
      </w:r>
      <w:r w:rsidRPr="008652CC">
        <w:rPr>
          <w:rFonts w:ascii="ITC Avant Garde" w:eastAsia="Times New Roman" w:hAnsi="ITC Avant Garde"/>
          <w:bCs/>
          <w:lang w:val="es-ES" w:eastAsia="es-ES"/>
        </w:rPr>
        <w:t xml:space="preserve"> de Prórroga fue</w:t>
      </w:r>
      <w:r>
        <w:rPr>
          <w:rFonts w:ascii="ITC Avant Garde" w:eastAsia="Times New Roman" w:hAnsi="ITC Avant Garde"/>
          <w:bCs/>
          <w:lang w:val="es-ES" w:eastAsia="es-ES"/>
        </w:rPr>
        <w:t>ron</w:t>
      </w:r>
      <w:r w:rsidRPr="008652CC">
        <w:rPr>
          <w:rFonts w:ascii="ITC Avant Garde" w:eastAsia="Times New Roman" w:hAnsi="ITC Avant Garde"/>
          <w:bCs/>
          <w:lang w:val="es-ES" w:eastAsia="es-ES"/>
        </w:rPr>
        <w:t xml:space="preserve"> presentada</w:t>
      </w:r>
      <w:r>
        <w:rPr>
          <w:rFonts w:ascii="ITC Avant Garde" w:eastAsia="Times New Roman" w:hAnsi="ITC Avant Garde"/>
          <w:bCs/>
          <w:lang w:val="es-ES" w:eastAsia="es-ES"/>
        </w:rPr>
        <w:t>s</w:t>
      </w:r>
      <w:r w:rsidRPr="008652CC">
        <w:rPr>
          <w:rFonts w:ascii="ITC Avant Garde" w:eastAsia="Times New Roman" w:hAnsi="ITC Avant Garde"/>
          <w:bCs/>
          <w:lang w:val="es-ES" w:eastAsia="es-ES"/>
        </w:rPr>
        <w:t xml:space="preserve"> con posterioridad a</w:t>
      </w:r>
      <w:r>
        <w:rPr>
          <w:rFonts w:ascii="ITC Avant Garde" w:eastAsia="Times New Roman" w:hAnsi="ITC Avant Garde"/>
          <w:bCs/>
          <w:lang w:val="es-ES" w:eastAsia="es-ES"/>
        </w:rPr>
        <w:t xml:space="preserve"> </w:t>
      </w:r>
      <w:r w:rsidRPr="008652CC">
        <w:rPr>
          <w:rFonts w:ascii="ITC Avant Garde" w:eastAsia="Times New Roman" w:hAnsi="ITC Avant Garde"/>
          <w:bCs/>
          <w:lang w:val="es-ES" w:eastAsia="es-ES"/>
        </w:rPr>
        <w:t>l</w:t>
      </w:r>
      <w:r>
        <w:rPr>
          <w:rFonts w:ascii="ITC Avant Garde" w:eastAsia="Times New Roman" w:hAnsi="ITC Avant Garde"/>
          <w:bCs/>
          <w:lang w:val="es-ES" w:eastAsia="es-ES"/>
        </w:rPr>
        <w:t>a fecha previa del inicio de la última quinta parte de su plazo de vigencia</w:t>
      </w:r>
      <w:r w:rsidRPr="008652CC">
        <w:rPr>
          <w:rFonts w:ascii="ITC Avant Garde" w:eastAsia="Times New Roman" w:hAnsi="ITC Avant Garde"/>
          <w:bCs/>
          <w:lang w:val="es-ES" w:eastAsia="es-ES"/>
        </w:rPr>
        <w:t>.</w:t>
      </w:r>
      <w:r>
        <w:rPr>
          <w:rFonts w:ascii="ITC Avant Garde" w:eastAsia="Times New Roman" w:hAnsi="ITC Avant Garde"/>
          <w:bCs/>
          <w:lang w:val="es-ES" w:eastAsia="es-ES"/>
        </w:rPr>
        <w:t xml:space="preserve"> </w:t>
      </w:r>
    </w:p>
    <w:p w14:paraId="7DAE790B" w14:textId="77777777" w:rsidR="00B637A6" w:rsidRDefault="004A2849" w:rsidP="00B637A6">
      <w:pPr>
        <w:autoSpaceDE w:val="0"/>
        <w:autoSpaceDN w:val="0"/>
        <w:adjustRightInd w:val="0"/>
        <w:spacing w:before="240" w:line="240" w:lineRule="auto"/>
        <w:jc w:val="both"/>
        <w:rPr>
          <w:rFonts w:ascii="ITC Avant Garde" w:eastAsia="Times New Roman" w:hAnsi="ITC Avant Garde"/>
          <w:bCs/>
          <w:lang w:val="es-ES" w:eastAsia="es-ES"/>
        </w:rPr>
      </w:pPr>
      <w:r w:rsidRPr="008652CC">
        <w:rPr>
          <w:rFonts w:ascii="ITC Avant Garde" w:eastAsia="Times New Roman" w:hAnsi="ITC Avant Garde"/>
          <w:bCs/>
          <w:lang w:val="es-ES" w:eastAsia="es-ES"/>
        </w:rPr>
        <w:t>En ese sentido, queda en evidencia que no se satisface uno de los requisitos de procedencia señalados en el artículo 1</w:t>
      </w:r>
      <w:r>
        <w:rPr>
          <w:rFonts w:ascii="ITC Avant Garde" w:eastAsia="Times New Roman" w:hAnsi="ITC Avant Garde"/>
          <w:bCs/>
          <w:lang w:val="es-ES" w:eastAsia="es-ES"/>
        </w:rPr>
        <w:t>9</w:t>
      </w:r>
      <w:r w:rsidRPr="008652CC">
        <w:rPr>
          <w:rFonts w:ascii="ITC Avant Garde" w:eastAsia="Times New Roman" w:hAnsi="ITC Avant Garde"/>
          <w:bCs/>
          <w:lang w:val="es-ES" w:eastAsia="es-ES"/>
        </w:rPr>
        <w:t xml:space="preserve"> de la L</w:t>
      </w:r>
      <w:r>
        <w:rPr>
          <w:rFonts w:ascii="ITC Avant Garde" w:eastAsia="Times New Roman" w:hAnsi="ITC Avant Garde"/>
          <w:bCs/>
          <w:lang w:val="es-ES" w:eastAsia="es-ES"/>
        </w:rPr>
        <w:t>FT</w:t>
      </w:r>
      <w:r w:rsidRPr="008652CC">
        <w:rPr>
          <w:rFonts w:ascii="ITC Avant Garde" w:eastAsia="Times New Roman" w:hAnsi="ITC Avant Garde"/>
          <w:bCs/>
          <w:lang w:val="es-ES" w:eastAsia="es-ES"/>
        </w:rPr>
        <w:t xml:space="preserve">, </w:t>
      </w:r>
      <w:r>
        <w:rPr>
          <w:rFonts w:ascii="ITC Avant Garde" w:eastAsia="Times New Roman" w:hAnsi="ITC Avant Garde"/>
          <w:bCs/>
          <w:lang w:val="es-ES" w:eastAsia="es-ES"/>
        </w:rPr>
        <w:t>mismo que alude</w:t>
      </w:r>
      <w:r w:rsidRPr="008652CC">
        <w:rPr>
          <w:rFonts w:ascii="ITC Avant Garde" w:eastAsia="Times New Roman" w:hAnsi="ITC Avant Garde"/>
          <w:bCs/>
          <w:lang w:val="es-ES" w:eastAsia="es-ES"/>
        </w:rPr>
        <w:t xml:space="preserve"> al plazo</w:t>
      </w:r>
      <w:r>
        <w:rPr>
          <w:rFonts w:ascii="ITC Avant Garde" w:eastAsia="Times New Roman" w:hAnsi="ITC Avant Garde"/>
          <w:bCs/>
          <w:lang w:val="es-ES" w:eastAsia="es-ES"/>
        </w:rPr>
        <w:t xml:space="preserve"> que tenía </w:t>
      </w:r>
      <w:r>
        <w:rPr>
          <w:rFonts w:ascii="ITC Avant Garde" w:hAnsi="ITC Avant Garde"/>
          <w:bCs/>
        </w:rPr>
        <w:t xml:space="preserve">la CESPM </w:t>
      </w:r>
      <w:r w:rsidRPr="008652CC">
        <w:rPr>
          <w:rFonts w:ascii="ITC Avant Garde" w:eastAsia="Times New Roman" w:hAnsi="ITC Avant Garde"/>
          <w:bCs/>
          <w:lang w:val="es-ES" w:eastAsia="es-ES"/>
        </w:rPr>
        <w:t>para presentar la</w:t>
      </w:r>
      <w:r w:rsidR="000B799A">
        <w:rPr>
          <w:rFonts w:ascii="ITC Avant Garde" w:eastAsia="Times New Roman" w:hAnsi="ITC Avant Garde"/>
          <w:bCs/>
          <w:lang w:val="es-ES" w:eastAsia="es-ES"/>
        </w:rPr>
        <w:t>s</w:t>
      </w:r>
      <w:r w:rsidRPr="008652CC">
        <w:rPr>
          <w:rFonts w:ascii="ITC Avant Garde" w:eastAsia="Times New Roman" w:hAnsi="ITC Avant Garde"/>
          <w:bCs/>
          <w:lang w:val="es-ES" w:eastAsia="es-ES"/>
        </w:rPr>
        <w:t xml:space="preserve"> Solicitud</w:t>
      </w:r>
      <w:r w:rsidR="000B799A">
        <w:rPr>
          <w:rFonts w:ascii="ITC Avant Garde" w:eastAsia="Times New Roman" w:hAnsi="ITC Avant Garde"/>
          <w:bCs/>
          <w:lang w:val="es-ES" w:eastAsia="es-ES"/>
        </w:rPr>
        <w:t>es</w:t>
      </w:r>
      <w:r w:rsidRPr="008652CC">
        <w:rPr>
          <w:rFonts w:ascii="ITC Avant Garde" w:eastAsia="Times New Roman" w:hAnsi="ITC Avant Garde"/>
          <w:bCs/>
          <w:lang w:val="es-ES" w:eastAsia="es-ES"/>
        </w:rPr>
        <w:t xml:space="preserve"> de Prórroga</w:t>
      </w:r>
      <w:r>
        <w:rPr>
          <w:rFonts w:ascii="ITC Avant Garde" w:eastAsia="Times New Roman" w:hAnsi="ITC Avant Garde"/>
          <w:bCs/>
          <w:lang w:val="es-ES" w:eastAsia="es-ES"/>
        </w:rPr>
        <w:t>. Derivado de lo anterior,</w:t>
      </w:r>
      <w:r w:rsidRPr="008652CC">
        <w:rPr>
          <w:rFonts w:ascii="ITC Avant Garde" w:eastAsia="Times New Roman" w:hAnsi="ITC Avant Garde"/>
          <w:bCs/>
          <w:lang w:val="es-ES" w:eastAsia="es-ES"/>
        </w:rPr>
        <w:t xml:space="preserve"> resulta</w:t>
      </w:r>
      <w:r>
        <w:rPr>
          <w:rFonts w:ascii="ITC Avant Garde" w:eastAsia="Times New Roman" w:hAnsi="ITC Avant Garde"/>
          <w:bCs/>
          <w:lang w:val="es-ES" w:eastAsia="es-ES"/>
        </w:rPr>
        <w:t>ría</w:t>
      </w:r>
      <w:r w:rsidRPr="008652CC">
        <w:rPr>
          <w:rFonts w:ascii="ITC Avant Garde" w:eastAsia="Times New Roman" w:hAnsi="ITC Avant Garde"/>
          <w:bCs/>
          <w:lang w:val="es-ES" w:eastAsia="es-ES"/>
        </w:rPr>
        <w:t xml:space="preserve"> innecesario </w:t>
      </w:r>
      <w:r>
        <w:rPr>
          <w:rFonts w:ascii="ITC Avant Garde" w:eastAsia="Times New Roman" w:hAnsi="ITC Avant Garde"/>
          <w:bCs/>
          <w:lang w:val="es-ES" w:eastAsia="es-ES"/>
        </w:rPr>
        <w:t>para el Pleno</w:t>
      </w:r>
      <w:r w:rsidRPr="00A61159">
        <w:rPr>
          <w:rFonts w:ascii="ITC Avant Garde" w:eastAsia="Times New Roman" w:hAnsi="ITC Avant Garde"/>
          <w:bCs/>
          <w:lang w:val="es-ES" w:eastAsia="es-ES"/>
        </w:rPr>
        <w:t xml:space="preserve"> </w:t>
      </w:r>
      <w:r>
        <w:rPr>
          <w:rFonts w:ascii="ITC Avant Garde" w:eastAsia="Times New Roman" w:hAnsi="ITC Avant Garde"/>
          <w:bCs/>
          <w:lang w:val="es-ES" w:eastAsia="es-ES"/>
        </w:rPr>
        <w:t xml:space="preserve">de este Instituto, </w:t>
      </w:r>
      <w:r w:rsidRPr="008652CC">
        <w:rPr>
          <w:rFonts w:ascii="ITC Avant Garde" w:eastAsia="Times New Roman" w:hAnsi="ITC Avant Garde"/>
          <w:bCs/>
          <w:lang w:val="es-ES" w:eastAsia="es-ES"/>
        </w:rPr>
        <w:t xml:space="preserve">entrar al análisis del cumplimiento de los demás requisitos </w:t>
      </w:r>
      <w:r>
        <w:rPr>
          <w:rFonts w:ascii="ITC Avant Garde" w:eastAsia="Times New Roman" w:hAnsi="ITC Avant Garde"/>
          <w:bCs/>
          <w:lang w:val="es-ES" w:eastAsia="es-ES"/>
        </w:rPr>
        <w:t>establecidos por la LFT</w:t>
      </w:r>
      <w:r w:rsidRPr="008652CC">
        <w:rPr>
          <w:rFonts w:ascii="ITC Avant Garde" w:eastAsia="Times New Roman" w:hAnsi="ITC Avant Garde"/>
          <w:bCs/>
          <w:lang w:val="es-ES" w:eastAsia="es-ES"/>
        </w:rPr>
        <w:t xml:space="preserve"> </w:t>
      </w:r>
      <w:r>
        <w:rPr>
          <w:rFonts w:ascii="ITC Avant Garde" w:eastAsia="Times New Roman" w:hAnsi="ITC Avant Garde"/>
          <w:bCs/>
          <w:lang w:val="es-ES" w:eastAsia="es-ES"/>
        </w:rPr>
        <w:t>ya</w:t>
      </w:r>
      <w:r w:rsidRPr="008652CC">
        <w:rPr>
          <w:rFonts w:ascii="ITC Avant Garde" w:eastAsia="Times New Roman" w:hAnsi="ITC Avant Garde"/>
          <w:bCs/>
          <w:lang w:val="es-ES" w:eastAsia="es-ES"/>
        </w:rPr>
        <w:t xml:space="preserve"> que, como quedó previamente señalado, para que el Instituto esté en posibilidad de otorgar una prórroga de </w:t>
      </w:r>
      <w:r w:rsidRPr="006432A4">
        <w:rPr>
          <w:rFonts w:ascii="ITC Avant Garde" w:eastAsia="Times New Roman" w:hAnsi="ITC Avant Garde"/>
          <w:bCs/>
          <w:lang w:val="es-ES" w:eastAsia="es-ES"/>
        </w:rPr>
        <w:t xml:space="preserve">vigencia de una </w:t>
      </w:r>
      <w:r>
        <w:rPr>
          <w:rFonts w:ascii="ITC Avant Garde" w:eastAsia="Times New Roman" w:hAnsi="ITC Avant Garde"/>
          <w:bCs/>
          <w:lang w:val="es-ES" w:eastAsia="es-ES"/>
        </w:rPr>
        <w:t>asignación</w:t>
      </w:r>
      <w:r w:rsidRPr="008652CC">
        <w:rPr>
          <w:rFonts w:ascii="ITC Avant Garde" w:eastAsia="Times New Roman" w:hAnsi="ITC Avant Garde"/>
          <w:bCs/>
          <w:lang w:val="es-ES" w:eastAsia="es-ES"/>
        </w:rPr>
        <w:t xml:space="preserve">, es indispensable que se acredite el cumplimiento de todos y cada uno de los requisitos previstos en las disposiciones legales y administrativas aplicables, </w:t>
      </w:r>
      <w:r>
        <w:rPr>
          <w:rFonts w:ascii="ITC Avant Garde" w:eastAsia="Times New Roman" w:hAnsi="ITC Avant Garde"/>
          <w:bCs/>
          <w:lang w:val="es-ES" w:eastAsia="es-ES"/>
        </w:rPr>
        <w:t>y uno de los requisitos no fue cumplido</w:t>
      </w:r>
      <w:r w:rsidRPr="008652CC">
        <w:rPr>
          <w:rFonts w:ascii="ITC Avant Garde" w:eastAsia="Times New Roman" w:hAnsi="ITC Avant Garde"/>
          <w:bCs/>
          <w:lang w:val="es-ES" w:eastAsia="es-ES"/>
        </w:rPr>
        <w:t>.</w:t>
      </w:r>
    </w:p>
    <w:p w14:paraId="5F1AD3C2" w14:textId="77777777" w:rsidR="00B637A6" w:rsidRDefault="00AA71FF" w:rsidP="00B637A6">
      <w:pPr>
        <w:autoSpaceDE w:val="0"/>
        <w:autoSpaceDN w:val="0"/>
        <w:adjustRightInd w:val="0"/>
        <w:spacing w:before="240" w:line="240" w:lineRule="auto"/>
        <w:jc w:val="both"/>
        <w:rPr>
          <w:rFonts w:ascii="ITC Avant Garde" w:eastAsia="Times New Roman" w:hAnsi="ITC Avant Garde"/>
          <w:bCs/>
          <w:lang w:val="es-ES" w:eastAsia="es-ES"/>
        </w:rPr>
      </w:pPr>
      <w:r w:rsidRPr="00264CA5">
        <w:rPr>
          <w:rFonts w:ascii="ITC Avant Garde" w:eastAsia="Times New Roman" w:hAnsi="ITC Avant Garde"/>
          <w:bCs/>
          <w:lang w:val="es-ES" w:eastAsia="es-ES"/>
        </w:rPr>
        <w:t>Por otro lado, y con respecto a la opinión no vinculante de la Secretaría que se establece en el artículo 28 párrafo décimo séptimo de la Constitución, para asuntos como los abordados en la presente Resolución, debe considerarse que las Solicitudes de Prórroga fueron presentadas previo a la integración del Instituto, por lo que el trámite y desahogo de las mismas, deben ajustarse a los términos establecidos por la legislación aplicable al momento de su inicio, misma que no preveía la solicitud de opinión técnica señalada por parte de dicha Dependencia.</w:t>
      </w:r>
    </w:p>
    <w:p w14:paraId="1A5A6EC8" w14:textId="77777777" w:rsidR="00B637A6" w:rsidRDefault="00F25EC1" w:rsidP="00B637A6">
      <w:pPr>
        <w:autoSpaceDE w:val="0"/>
        <w:autoSpaceDN w:val="0"/>
        <w:adjustRightInd w:val="0"/>
        <w:spacing w:before="240" w:line="240" w:lineRule="auto"/>
        <w:jc w:val="both"/>
        <w:rPr>
          <w:rFonts w:ascii="ITC Avant Garde" w:eastAsia="Times New Roman" w:hAnsi="ITC Avant Garde"/>
          <w:bCs/>
          <w:lang w:val="es-ES" w:eastAsia="es-ES"/>
        </w:rPr>
      </w:pPr>
      <w:r w:rsidRPr="00264CA5">
        <w:rPr>
          <w:rFonts w:ascii="ITC Avant Garde" w:eastAsia="Times New Roman" w:hAnsi="ITC Avant Garde"/>
          <w:bCs/>
          <w:lang w:val="es-ES" w:eastAsia="es-ES"/>
        </w:rPr>
        <w:t xml:space="preserve">Por lo tanto, </w:t>
      </w:r>
      <w:r w:rsidR="00DA7133" w:rsidRPr="00264CA5">
        <w:rPr>
          <w:rFonts w:ascii="ITC Avant Garde" w:eastAsia="Times New Roman" w:hAnsi="ITC Avant Garde"/>
          <w:bCs/>
          <w:lang w:val="es-ES" w:eastAsia="es-ES"/>
        </w:rPr>
        <w:t xml:space="preserve">y considerando que </w:t>
      </w:r>
      <w:r w:rsidR="009A4A54" w:rsidRPr="00264CA5">
        <w:rPr>
          <w:rFonts w:ascii="ITC Avant Garde" w:eastAsia="Times New Roman" w:hAnsi="ITC Avant Garde"/>
          <w:bCs/>
          <w:lang w:val="es-ES" w:eastAsia="es-ES"/>
        </w:rPr>
        <w:t xml:space="preserve">la </w:t>
      </w:r>
      <w:r w:rsidR="0016540C" w:rsidRPr="00264CA5">
        <w:rPr>
          <w:rFonts w:ascii="ITC Avant Garde" w:eastAsia="Times New Roman" w:hAnsi="ITC Avant Garde"/>
          <w:bCs/>
          <w:lang w:val="es-ES" w:eastAsia="es-ES"/>
        </w:rPr>
        <w:t>C</w:t>
      </w:r>
      <w:r w:rsidR="0016540C">
        <w:rPr>
          <w:rFonts w:ascii="ITC Avant Garde" w:eastAsia="Times New Roman" w:hAnsi="ITC Avant Garde"/>
          <w:bCs/>
          <w:lang w:val="es-ES" w:eastAsia="es-ES"/>
        </w:rPr>
        <w:t>ESPM</w:t>
      </w:r>
      <w:r w:rsidR="0016540C" w:rsidRPr="00264CA5">
        <w:rPr>
          <w:rFonts w:ascii="ITC Avant Garde" w:eastAsia="Times New Roman" w:hAnsi="ITC Avant Garde"/>
          <w:bCs/>
          <w:lang w:val="es-ES" w:eastAsia="es-ES"/>
        </w:rPr>
        <w:t xml:space="preserve"> </w:t>
      </w:r>
      <w:r w:rsidR="00DA7133" w:rsidRPr="00264CA5">
        <w:rPr>
          <w:rFonts w:ascii="ITC Avant Garde" w:eastAsia="Times New Roman" w:hAnsi="ITC Avant Garde"/>
          <w:bCs/>
          <w:lang w:val="es-ES" w:eastAsia="es-ES"/>
        </w:rPr>
        <w:t xml:space="preserve">no </w:t>
      </w:r>
      <w:r w:rsidR="0016540C" w:rsidRPr="00264CA5">
        <w:rPr>
          <w:rFonts w:ascii="ITC Avant Garde" w:eastAsia="Times New Roman" w:hAnsi="ITC Avant Garde"/>
          <w:bCs/>
          <w:lang w:val="es-ES" w:eastAsia="es-ES"/>
        </w:rPr>
        <w:t>present</w:t>
      </w:r>
      <w:r w:rsidR="0016540C">
        <w:rPr>
          <w:rFonts w:ascii="ITC Avant Garde" w:eastAsia="Times New Roman" w:hAnsi="ITC Avant Garde"/>
          <w:bCs/>
          <w:lang w:val="es-ES" w:eastAsia="es-ES"/>
        </w:rPr>
        <w:t>ó</w:t>
      </w:r>
      <w:r w:rsidR="0016540C" w:rsidRPr="00264CA5">
        <w:rPr>
          <w:rFonts w:ascii="ITC Avant Garde" w:eastAsia="Times New Roman" w:hAnsi="ITC Avant Garde"/>
          <w:bCs/>
          <w:lang w:val="es-ES" w:eastAsia="es-ES"/>
        </w:rPr>
        <w:t xml:space="preserve"> </w:t>
      </w:r>
      <w:r w:rsidR="00DA7133" w:rsidRPr="00264CA5">
        <w:rPr>
          <w:rFonts w:ascii="ITC Avant Garde" w:eastAsia="Times New Roman" w:hAnsi="ITC Avant Garde"/>
          <w:bCs/>
          <w:lang w:val="es-ES" w:eastAsia="es-ES"/>
        </w:rPr>
        <w:t xml:space="preserve">las Solicitudes de Prórroga dentro del plazo establecido por la LFT, </w:t>
      </w:r>
      <w:r w:rsidR="00A704F6" w:rsidRPr="00264CA5">
        <w:rPr>
          <w:rFonts w:ascii="ITC Avant Garde" w:eastAsia="Times New Roman" w:hAnsi="ITC Avant Garde"/>
          <w:bCs/>
          <w:lang w:val="es-ES" w:eastAsia="es-ES"/>
        </w:rPr>
        <w:t xml:space="preserve">el Instituto </w:t>
      </w:r>
      <w:r w:rsidR="00784583" w:rsidRPr="00264CA5">
        <w:rPr>
          <w:rFonts w:ascii="ITC Avant Garde" w:eastAsia="Times New Roman" w:hAnsi="ITC Avant Garde"/>
          <w:bCs/>
          <w:lang w:val="es-ES" w:eastAsia="es-ES"/>
        </w:rPr>
        <w:t>no está</w:t>
      </w:r>
      <w:r w:rsidR="00A704F6" w:rsidRPr="00264CA5">
        <w:rPr>
          <w:rFonts w:ascii="ITC Avant Garde" w:eastAsia="Times New Roman" w:hAnsi="ITC Avant Garde"/>
          <w:bCs/>
          <w:lang w:val="es-ES" w:eastAsia="es-ES"/>
        </w:rPr>
        <w:t xml:space="preserve"> en posibilidad </w:t>
      </w:r>
      <w:r w:rsidR="00DA7133" w:rsidRPr="00264CA5">
        <w:rPr>
          <w:rFonts w:ascii="ITC Avant Garde" w:eastAsia="Times New Roman" w:hAnsi="ITC Avant Garde"/>
          <w:bCs/>
          <w:lang w:val="es-ES" w:eastAsia="es-ES"/>
        </w:rPr>
        <w:t>de prorrogar la vigencia de las Asignaciones.</w:t>
      </w:r>
    </w:p>
    <w:p w14:paraId="54E0A911" w14:textId="77777777" w:rsidR="00B637A6" w:rsidRDefault="00EF455A"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t xml:space="preserve">No obstante lo anterior, </w:t>
      </w:r>
      <w:r w:rsidR="0016540C">
        <w:rPr>
          <w:rFonts w:ascii="ITC Avant Garde" w:hAnsi="ITC Avant Garde"/>
          <w:bCs/>
        </w:rPr>
        <w:t>la CESPM</w:t>
      </w:r>
      <w:r w:rsidR="009A4A54" w:rsidRPr="00264CA5">
        <w:rPr>
          <w:rFonts w:ascii="ITC Avant Garde" w:hAnsi="ITC Avant Garde"/>
          <w:bCs/>
        </w:rPr>
        <w:t xml:space="preserve"> </w:t>
      </w:r>
      <w:r w:rsidR="00AC05EE">
        <w:rPr>
          <w:rFonts w:ascii="ITC Avant Garde" w:hAnsi="ITC Avant Garde"/>
          <w:bCs/>
        </w:rPr>
        <w:t>tiene</w:t>
      </w:r>
      <w:r w:rsidR="00C576A5" w:rsidRPr="00264CA5">
        <w:rPr>
          <w:rFonts w:ascii="ITC Avant Garde" w:hAnsi="ITC Avant Garde"/>
          <w:bCs/>
        </w:rPr>
        <w:t xml:space="preserve"> a salvo su derecho de presentar </w:t>
      </w:r>
      <w:r w:rsidRPr="00264CA5">
        <w:rPr>
          <w:rFonts w:ascii="ITC Avant Garde" w:hAnsi="ITC Avant Garde"/>
          <w:bCs/>
        </w:rPr>
        <w:t xml:space="preserve">ante el Instituto </w:t>
      </w:r>
      <w:r w:rsidR="00C576A5" w:rsidRPr="00264CA5">
        <w:rPr>
          <w:rFonts w:ascii="ITC Avant Garde" w:hAnsi="ITC Avant Garde"/>
          <w:bCs/>
        </w:rPr>
        <w:t xml:space="preserve">una solicitud de concesión sobre el espectro radioeléctrico para uso público para el cumplimiento de sus fines y atribuciones </w:t>
      </w:r>
      <w:r w:rsidRPr="00264CA5">
        <w:rPr>
          <w:rFonts w:ascii="ITC Avant Garde" w:hAnsi="ITC Avant Garde"/>
          <w:bCs/>
        </w:rPr>
        <w:t xml:space="preserve">en atención a lo señalado por la Ley y los </w:t>
      </w:r>
      <w:r w:rsidR="00E0663E" w:rsidRPr="00264CA5">
        <w:rPr>
          <w:rFonts w:ascii="ITC Avant Garde" w:hAnsi="ITC Avant Garde"/>
          <w:bCs/>
          <w:i/>
        </w:rPr>
        <w:t xml:space="preserve">“Lineamientos generales para el otorgamiento de las concesiones a que se refiere el título IV de la Ley Federal de Telecomunicaciones y Radiodifusión” </w:t>
      </w:r>
      <w:r w:rsidR="00E0663E" w:rsidRPr="00264CA5">
        <w:rPr>
          <w:rFonts w:ascii="ITC Avant Garde" w:hAnsi="ITC Avant Garde"/>
          <w:bCs/>
        </w:rPr>
        <w:t>publicados en el Diario Oficial de la Federación el 24 de julio de 2015.</w:t>
      </w:r>
    </w:p>
    <w:p w14:paraId="0EFD6E11" w14:textId="77777777" w:rsidR="00B637A6" w:rsidRDefault="00F25EC1"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lastRenderedPageBreak/>
        <w:t>Finalmente, resulta importante c</w:t>
      </w:r>
      <w:r w:rsidR="00F40065" w:rsidRPr="00264CA5">
        <w:rPr>
          <w:rFonts w:ascii="ITC Avant Garde" w:hAnsi="ITC Avant Garde"/>
          <w:bCs/>
        </w:rPr>
        <w:t xml:space="preserve">onsiderar que la terminación de </w:t>
      </w:r>
      <w:r w:rsidRPr="00264CA5">
        <w:rPr>
          <w:rFonts w:ascii="ITC Avant Garde" w:hAnsi="ITC Avant Garde"/>
          <w:bCs/>
        </w:rPr>
        <w:t xml:space="preserve">las </w:t>
      </w:r>
      <w:r w:rsidR="00F40065" w:rsidRPr="00264CA5">
        <w:rPr>
          <w:rFonts w:ascii="ITC Avant Garde" w:hAnsi="ITC Avant Garde"/>
          <w:bCs/>
        </w:rPr>
        <w:t>Asignaciones</w:t>
      </w:r>
      <w:r w:rsidRPr="00264CA5">
        <w:rPr>
          <w:rFonts w:ascii="ITC Avant Garde" w:hAnsi="ITC Avant Garde"/>
          <w:bCs/>
        </w:rPr>
        <w:t xml:space="preserve"> no extingue l</w:t>
      </w:r>
      <w:r w:rsidR="00F40065" w:rsidRPr="00264CA5">
        <w:rPr>
          <w:rFonts w:ascii="ITC Avant Garde" w:hAnsi="ITC Avant Garde"/>
          <w:bCs/>
        </w:rPr>
        <w:t xml:space="preserve">as obligaciones contraídas por </w:t>
      </w:r>
      <w:r w:rsidR="0016540C">
        <w:rPr>
          <w:rFonts w:ascii="ITC Avant Garde" w:hAnsi="ITC Avant Garde"/>
          <w:bCs/>
        </w:rPr>
        <w:t>el</w:t>
      </w:r>
      <w:r w:rsidRPr="00264CA5">
        <w:rPr>
          <w:rFonts w:ascii="ITC Avant Garde" w:hAnsi="ITC Avant Garde"/>
          <w:bCs/>
        </w:rPr>
        <w:t xml:space="preserve"> </w:t>
      </w:r>
      <w:r w:rsidR="00F40065" w:rsidRPr="00264CA5">
        <w:rPr>
          <w:rFonts w:ascii="ITC Avant Garde" w:hAnsi="ITC Avant Garde"/>
          <w:bCs/>
        </w:rPr>
        <w:t>asignatario</w:t>
      </w:r>
      <w:r w:rsidRPr="00264CA5">
        <w:rPr>
          <w:rFonts w:ascii="ITC Avant Garde" w:hAnsi="ITC Avant Garde"/>
          <w:bCs/>
        </w:rPr>
        <w:t xml:space="preserve"> durante su vigencia, por lo que se </w:t>
      </w:r>
      <w:r w:rsidR="00EF455A" w:rsidRPr="00264CA5">
        <w:rPr>
          <w:rFonts w:ascii="ITC Avant Garde" w:hAnsi="ITC Avant Garde"/>
          <w:bCs/>
        </w:rPr>
        <w:t>considera pertinente</w:t>
      </w:r>
      <w:r w:rsidRPr="00264CA5">
        <w:rPr>
          <w:rFonts w:ascii="ITC Avant Garde" w:hAnsi="ITC Avant Garde"/>
          <w:bCs/>
        </w:rPr>
        <w:t xml:space="preserve"> instruir a la Unidad de Cumplimiento a llevar a cabo la revisión del cumplimiento de obligaciones de la</w:t>
      </w:r>
      <w:r w:rsidR="00F40065" w:rsidRPr="00264CA5">
        <w:rPr>
          <w:rFonts w:ascii="ITC Avant Garde" w:hAnsi="ITC Avant Garde"/>
          <w:bCs/>
        </w:rPr>
        <w:t>s</w:t>
      </w:r>
      <w:r w:rsidRPr="00264CA5">
        <w:rPr>
          <w:rFonts w:ascii="ITC Avant Garde" w:hAnsi="ITC Avant Garde"/>
          <w:bCs/>
        </w:rPr>
        <w:t xml:space="preserve"> </w:t>
      </w:r>
      <w:r w:rsidR="00F40065" w:rsidRPr="00264CA5">
        <w:rPr>
          <w:rFonts w:ascii="ITC Avant Garde" w:hAnsi="ITC Avant Garde"/>
          <w:bCs/>
        </w:rPr>
        <w:t>Asignaciones</w:t>
      </w:r>
      <w:r w:rsidRPr="00264CA5">
        <w:rPr>
          <w:rFonts w:ascii="ITC Avant Garde" w:hAnsi="ITC Avant Garde"/>
          <w:bCs/>
        </w:rPr>
        <w:t xml:space="preserve"> </w:t>
      </w:r>
      <w:r w:rsidR="00F40065" w:rsidRPr="00264CA5">
        <w:rPr>
          <w:rFonts w:ascii="ITC Avant Garde" w:hAnsi="ITC Avant Garde"/>
          <w:bCs/>
        </w:rPr>
        <w:t>descritas en el Antecedente I de la presente Resolución.</w:t>
      </w:r>
    </w:p>
    <w:p w14:paraId="2602D522" w14:textId="6749A2F5" w:rsidR="00B637A6" w:rsidRDefault="00E57237" w:rsidP="00B637A6">
      <w:pPr>
        <w:autoSpaceDE w:val="0"/>
        <w:autoSpaceDN w:val="0"/>
        <w:adjustRightInd w:val="0"/>
        <w:spacing w:before="240" w:line="240" w:lineRule="auto"/>
        <w:jc w:val="both"/>
        <w:rPr>
          <w:rFonts w:ascii="ITC Avant Garde" w:hAnsi="ITC Avant Garde"/>
          <w:bCs/>
        </w:rPr>
      </w:pPr>
      <w:r w:rsidRPr="00264CA5">
        <w:rPr>
          <w:rFonts w:ascii="ITC Avant Garde" w:hAnsi="ITC Avant Garde"/>
          <w:bCs/>
        </w:rPr>
        <w:t>Por lo anteriormente señalado, y con fundamento en los artículos 28 párrafo</w:t>
      </w:r>
      <w:r w:rsidR="00D02F0B" w:rsidRPr="00264CA5">
        <w:rPr>
          <w:rFonts w:ascii="ITC Avant Garde" w:hAnsi="ITC Avant Garde"/>
          <w:bCs/>
        </w:rPr>
        <w:t>s</w:t>
      </w:r>
      <w:r w:rsidRPr="00264CA5">
        <w:rPr>
          <w:rFonts w:ascii="ITC Avant Garde" w:hAnsi="ITC Avant Garde"/>
          <w:bCs/>
        </w:rPr>
        <w:t xml:space="preserve"> décimo quinto</w:t>
      </w:r>
      <w:r w:rsidR="00626607" w:rsidRPr="00264CA5">
        <w:rPr>
          <w:rFonts w:ascii="ITC Avant Garde" w:hAnsi="ITC Avant Garde"/>
          <w:bCs/>
        </w:rPr>
        <w:t xml:space="preserve">, </w:t>
      </w:r>
      <w:r w:rsidR="00D02F0B" w:rsidRPr="00264CA5">
        <w:rPr>
          <w:rFonts w:ascii="ITC Avant Garde" w:hAnsi="ITC Avant Garde"/>
          <w:bCs/>
        </w:rPr>
        <w:t>décimo sexto</w:t>
      </w:r>
      <w:r w:rsidRPr="00264CA5">
        <w:rPr>
          <w:rFonts w:ascii="ITC Avant Garde" w:hAnsi="ITC Avant Garde"/>
          <w:bCs/>
        </w:rPr>
        <w:t xml:space="preserve"> </w:t>
      </w:r>
      <w:r w:rsidR="00626607" w:rsidRPr="00264CA5">
        <w:rPr>
          <w:rFonts w:ascii="ITC Avant Garde" w:hAnsi="ITC Avant Garde"/>
          <w:bCs/>
        </w:rPr>
        <w:t xml:space="preserve">y décimo séptimo </w:t>
      </w:r>
      <w:r w:rsidRPr="00264CA5">
        <w:rPr>
          <w:rFonts w:ascii="ITC Avant Garde" w:hAnsi="ITC Avant Garde"/>
          <w:bCs/>
        </w:rPr>
        <w:t xml:space="preserve">de la Constitución Política de los Estados Unidos Mexicanos; </w:t>
      </w:r>
      <w:r w:rsidR="00D62A0D" w:rsidRPr="00264CA5">
        <w:rPr>
          <w:rFonts w:ascii="ITC Avant Garde" w:hAnsi="ITC Avant Garde"/>
          <w:bCs/>
        </w:rPr>
        <w:t>Séptimo Transitorio, segundo párrafo del “</w:t>
      </w:r>
      <w:r w:rsidR="00D62A0D" w:rsidRPr="00264CA5">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0035785A" w:rsidRPr="00264CA5">
        <w:rPr>
          <w:rFonts w:ascii="ITC Avant Garde" w:hAnsi="ITC Avant Garde"/>
          <w:bCs/>
        </w:rPr>
        <w:t>, publicado en el Diario Oficial de la Federación el 11 de junio de 2013</w:t>
      </w:r>
      <w:r w:rsidR="00D62A0D" w:rsidRPr="00264CA5">
        <w:rPr>
          <w:rFonts w:ascii="ITC Avant Garde" w:hAnsi="ITC Avant Garde"/>
          <w:bCs/>
          <w:i/>
          <w:color w:val="000000"/>
          <w:lang w:eastAsia="es-MX"/>
        </w:rPr>
        <w:t>;</w:t>
      </w:r>
      <w:r w:rsidR="00D62A0D" w:rsidRPr="00264CA5">
        <w:rPr>
          <w:rFonts w:ascii="ITC Avant Garde" w:hAnsi="ITC Avant Garde"/>
          <w:bCs/>
        </w:rPr>
        <w:t xml:space="preserve"> Sexto Transitorio del </w:t>
      </w:r>
      <w:r w:rsidR="00D62A0D" w:rsidRPr="00264CA5">
        <w:rPr>
          <w:rFonts w:ascii="ITC Avant Garde" w:hAnsi="ITC Avant Garde"/>
          <w:bCs/>
          <w:color w:val="000000" w:themeColor="text1"/>
          <w:lang w:eastAsia="es-MX"/>
        </w:rPr>
        <w:t>“</w:t>
      </w:r>
      <w:r w:rsidR="00D62A0D" w:rsidRPr="00264CA5">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D62A0D" w:rsidRPr="00264CA5">
        <w:rPr>
          <w:rFonts w:ascii="ITC Avant Garde" w:hAnsi="ITC Avant Garde"/>
          <w:bCs/>
          <w:color w:val="000000" w:themeColor="text1"/>
          <w:lang w:eastAsia="es-MX"/>
        </w:rPr>
        <w:t>”</w:t>
      </w:r>
      <w:r w:rsidR="0035785A" w:rsidRPr="00264CA5">
        <w:rPr>
          <w:rFonts w:ascii="ITC Avant Garde" w:hAnsi="ITC Avant Garde"/>
          <w:bCs/>
          <w:color w:val="000000"/>
          <w:lang w:eastAsia="es-MX"/>
        </w:rPr>
        <w:t>, publicado en el Diario Oficial de la Federación el 14 de julio de 2014</w:t>
      </w:r>
      <w:r w:rsidR="00D62A0D" w:rsidRPr="00264CA5">
        <w:rPr>
          <w:rFonts w:ascii="ITC Avant Garde" w:hAnsi="ITC Avant Garde"/>
          <w:bCs/>
          <w:color w:val="000000" w:themeColor="text1"/>
          <w:lang w:eastAsia="es-MX"/>
        </w:rPr>
        <w:t>;</w:t>
      </w:r>
      <w:r w:rsidR="0025138A" w:rsidRPr="00264CA5">
        <w:rPr>
          <w:rFonts w:ascii="ITC Avant Garde" w:hAnsi="ITC Avant Garde"/>
          <w:bCs/>
          <w:color w:val="000000" w:themeColor="text1"/>
          <w:lang w:eastAsia="es-MX"/>
        </w:rPr>
        <w:t xml:space="preserve"> </w:t>
      </w:r>
      <w:r w:rsidR="00D62A0D" w:rsidRPr="00264CA5">
        <w:rPr>
          <w:rFonts w:ascii="ITC Avant Garde" w:hAnsi="ITC Avant Garde"/>
          <w:bCs/>
        </w:rPr>
        <w:t>19</w:t>
      </w:r>
      <w:r w:rsidR="00E51AA9" w:rsidRPr="00264CA5">
        <w:rPr>
          <w:rFonts w:ascii="ITC Avant Garde" w:hAnsi="ITC Avant Garde"/>
          <w:bCs/>
        </w:rPr>
        <w:t>, 22</w:t>
      </w:r>
      <w:r w:rsidR="003763E9" w:rsidRPr="00264CA5">
        <w:rPr>
          <w:rFonts w:ascii="ITC Avant Garde" w:hAnsi="ITC Avant Garde"/>
          <w:bCs/>
        </w:rPr>
        <w:t>,</w:t>
      </w:r>
      <w:r w:rsidR="00E51AA9" w:rsidRPr="00264CA5">
        <w:rPr>
          <w:rFonts w:ascii="ITC Avant Garde" w:hAnsi="ITC Avant Garde"/>
          <w:bCs/>
        </w:rPr>
        <w:t xml:space="preserve"> </w:t>
      </w:r>
      <w:r w:rsidR="0035785A" w:rsidRPr="00264CA5">
        <w:rPr>
          <w:rFonts w:ascii="ITC Avant Garde" w:hAnsi="ITC Avant Garde"/>
          <w:bCs/>
        </w:rPr>
        <w:t>37</w:t>
      </w:r>
      <w:r w:rsidR="00D62A0D" w:rsidRPr="00264CA5">
        <w:rPr>
          <w:rFonts w:ascii="ITC Avant Garde" w:hAnsi="ITC Avant Garde"/>
          <w:bCs/>
        </w:rPr>
        <w:t xml:space="preserve"> </w:t>
      </w:r>
      <w:r w:rsidR="00EB3F01" w:rsidRPr="00264CA5">
        <w:rPr>
          <w:rFonts w:ascii="ITC Avant Garde" w:hAnsi="ITC Avant Garde"/>
          <w:bCs/>
        </w:rPr>
        <w:t>fracción I</w:t>
      </w:r>
      <w:r w:rsidR="003763E9" w:rsidRPr="00264CA5">
        <w:rPr>
          <w:rFonts w:ascii="ITC Avant Garde" w:hAnsi="ITC Avant Garde"/>
          <w:bCs/>
        </w:rPr>
        <w:t xml:space="preserve"> y 40</w:t>
      </w:r>
      <w:r w:rsidR="00EB3F01" w:rsidRPr="00264CA5">
        <w:rPr>
          <w:rFonts w:ascii="ITC Avant Garde" w:hAnsi="ITC Avant Garde"/>
          <w:bCs/>
        </w:rPr>
        <w:t xml:space="preserve"> </w:t>
      </w:r>
      <w:r w:rsidR="00D62A0D" w:rsidRPr="00264CA5">
        <w:rPr>
          <w:rFonts w:ascii="ITC Avant Garde" w:hAnsi="ITC Avant Garde"/>
          <w:bCs/>
        </w:rPr>
        <w:t xml:space="preserve">de la Ley Federal de Telecomunicaciones; </w:t>
      </w:r>
      <w:r w:rsidR="00285EA2" w:rsidRPr="00264CA5">
        <w:rPr>
          <w:rFonts w:ascii="ITC Avant Garde" w:hAnsi="ITC Avant Garde"/>
          <w:bCs/>
          <w:color w:val="000000" w:themeColor="text1"/>
          <w:lang w:eastAsia="es-MX"/>
        </w:rPr>
        <w:t>6 fracción IV</w:t>
      </w:r>
      <w:r w:rsidR="00E0663E" w:rsidRPr="00264CA5">
        <w:rPr>
          <w:rFonts w:ascii="ITC Avant Garde" w:hAnsi="ITC Avant Garde"/>
          <w:bCs/>
          <w:color w:val="000000" w:themeColor="text1"/>
          <w:lang w:eastAsia="es-MX"/>
        </w:rPr>
        <w:t>,</w:t>
      </w:r>
      <w:r w:rsidR="00285EA2" w:rsidRPr="00264CA5">
        <w:rPr>
          <w:rFonts w:ascii="ITC Avant Garde" w:hAnsi="ITC Avant Garde"/>
          <w:bCs/>
        </w:rPr>
        <w:t xml:space="preserve"> </w:t>
      </w:r>
      <w:r w:rsidR="00D62A0D" w:rsidRPr="00264CA5">
        <w:rPr>
          <w:rFonts w:ascii="ITC Avant Garde" w:hAnsi="ITC Avant Garde"/>
          <w:bCs/>
        </w:rPr>
        <w:t>15 fracción IV</w:t>
      </w:r>
      <w:r w:rsidR="00214F90" w:rsidRPr="00264CA5">
        <w:rPr>
          <w:rFonts w:ascii="ITC Avant Garde" w:hAnsi="ITC Avant Garde"/>
          <w:bCs/>
        </w:rPr>
        <w:t>,</w:t>
      </w:r>
      <w:r w:rsidR="00D62A0D" w:rsidRPr="00264CA5">
        <w:rPr>
          <w:rFonts w:ascii="ITC Avant Garde" w:hAnsi="ITC Avant Garde"/>
          <w:bCs/>
        </w:rPr>
        <w:t xml:space="preserve"> 17 fracción I</w:t>
      </w:r>
      <w:r w:rsidR="00214F90" w:rsidRPr="00264CA5">
        <w:rPr>
          <w:rFonts w:ascii="ITC Avant Garde" w:hAnsi="ITC Avant Garde"/>
          <w:bCs/>
        </w:rPr>
        <w:t xml:space="preserve"> y 116</w:t>
      </w:r>
      <w:r w:rsidR="00D62A0D" w:rsidRPr="00264CA5">
        <w:rPr>
          <w:rFonts w:ascii="ITC Avant Garde" w:hAnsi="ITC Avant Garde"/>
          <w:bCs/>
        </w:rPr>
        <w:t xml:space="preserve"> de la Ley Federal de Telecomunicaciones y Radiodifusión; </w:t>
      </w:r>
      <w:r w:rsidR="00D62A0D" w:rsidRPr="00264CA5">
        <w:rPr>
          <w:rFonts w:ascii="ITC Avant Garde" w:hAnsi="ITC Avant Garde"/>
          <w:bCs/>
          <w:color w:val="000000" w:themeColor="text1"/>
          <w:lang w:eastAsia="es-MX"/>
        </w:rPr>
        <w:t xml:space="preserve">35 fracción I, 36, 38 y 39 de la Ley Federal de Procedimiento Administrativo, </w:t>
      </w:r>
      <w:r w:rsidR="00D62A0D" w:rsidRPr="00264CA5">
        <w:rPr>
          <w:rFonts w:ascii="ITC Avant Garde" w:hAnsi="ITC Avant Garde"/>
          <w:bCs/>
        </w:rPr>
        <w:t>y 1,</w:t>
      </w:r>
      <w:r w:rsidR="00E0663E" w:rsidRPr="00264CA5">
        <w:rPr>
          <w:rFonts w:ascii="ITC Avant Garde" w:hAnsi="ITC Avant Garde"/>
          <w:bCs/>
        </w:rPr>
        <w:t xml:space="preserve"> 4 fracci</w:t>
      </w:r>
      <w:r w:rsidR="00C47CA5">
        <w:rPr>
          <w:rFonts w:ascii="ITC Avant Garde" w:hAnsi="ITC Avant Garde"/>
          <w:bCs/>
        </w:rPr>
        <w:t>ones</w:t>
      </w:r>
      <w:r w:rsidR="00E0663E" w:rsidRPr="00264CA5">
        <w:rPr>
          <w:rFonts w:ascii="ITC Avant Garde" w:hAnsi="ITC Avant Garde"/>
          <w:bCs/>
        </w:rPr>
        <w:t xml:space="preserve"> V inciso iii)</w:t>
      </w:r>
      <w:r w:rsidR="00C47CA5">
        <w:rPr>
          <w:rFonts w:ascii="ITC Avant Garde" w:hAnsi="ITC Avant Garde"/>
          <w:bCs/>
        </w:rPr>
        <w:t xml:space="preserve"> y</w:t>
      </w:r>
      <w:r w:rsidR="00D62A0D" w:rsidRPr="00264CA5">
        <w:rPr>
          <w:rFonts w:ascii="ITC Avant Garde" w:hAnsi="ITC Avant Garde"/>
          <w:bCs/>
        </w:rPr>
        <w:t xml:space="preserve"> </w:t>
      </w:r>
      <w:r w:rsidR="00C47CA5">
        <w:rPr>
          <w:rFonts w:ascii="ITC Avant Garde" w:hAnsi="ITC Avant Garde"/>
          <w:bCs/>
        </w:rPr>
        <w:t xml:space="preserve">IX inciso ix), </w:t>
      </w:r>
      <w:r w:rsidR="00D62A0D" w:rsidRPr="00264CA5">
        <w:rPr>
          <w:rFonts w:ascii="ITC Avant Garde" w:hAnsi="ITC Avant Garde"/>
          <w:bCs/>
        </w:rPr>
        <w:t>6</w:t>
      </w:r>
      <w:r w:rsidR="0025138A" w:rsidRPr="00264CA5">
        <w:rPr>
          <w:rFonts w:ascii="ITC Avant Garde" w:hAnsi="ITC Avant Garde"/>
          <w:bCs/>
        </w:rPr>
        <w:t xml:space="preserve"> </w:t>
      </w:r>
      <w:r w:rsidR="00561007" w:rsidRPr="00264CA5">
        <w:rPr>
          <w:rFonts w:ascii="ITC Avant Garde" w:hAnsi="ITC Avant Garde"/>
          <w:bCs/>
        </w:rPr>
        <w:t>fracci</w:t>
      </w:r>
      <w:r w:rsidR="00561007">
        <w:rPr>
          <w:rFonts w:ascii="ITC Avant Garde" w:hAnsi="ITC Avant Garde"/>
          <w:bCs/>
        </w:rPr>
        <w:t>ones</w:t>
      </w:r>
      <w:r w:rsidR="00561007" w:rsidRPr="00264CA5">
        <w:rPr>
          <w:rFonts w:ascii="ITC Avant Garde" w:hAnsi="ITC Avant Garde"/>
          <w:bCs/>
        </w:rPr>
        <w:t xml:space="preserve"> </w:t>
      </w:r>
      <w:r w:rsidR="0025138A" w:rsidRPr="00264CA5">
        <w:rPr>
          <w:rFonts w:ascii="ITC Avant Garde" w:hAnsi="ITC Avant Garde"/>
          <w:bCs/>
        </w:rPr>
        <w:t>I</w:t>
      </w:r>
      <w:r w:rsidR="00561007">
        <w:rPr>
          <w:rFonts w:ascii="ITC Avant Garde" w:hAnsi="ITC Avant Garde"/>
          <w:bCs/>
        </w:rPr>
        <w:t xml:space="preserve"> y XXXVIII,</w:t>
      </w:r>
      <w:r w:rsidR="00D62A0D" w:rsidRPr="00264CA5">
        <w:rPr>
          <w:rFonts w:ascii="ITC Avant Garde" w:hAnsi="ITC Avant Garde"/>
          <w:bCs/>
        </w:rPr>
        <w:t xml:space="preserve"> 32 y 33 fracción II del Estatuto Orgánico del Instituto Federal de Telecomunicaciones</w:t>
      </w:r>
      <w:r w:rsidR="00561007">
        <w:rPr>
          <w:rFonts w:ascii="ITC Avant Garde" w:hAnsi="ITC Avant Garde"/>
          <w:bCs/>
        </w:rPr>
        <w:t xml:space="preserve">, </w:t>
      </w:r>
      <w:r w:rsidR="00561007" w:rsidRPr="002D0F7C">
        <w:rPr>
          <w:rFonts w:ascii="ITC Avant Garde" w:hAnsi="ITC Avant Garde"/>
          <w:bCs/>
        </w:rPr>
        <w:t>publicado en el Diario Oficial de la Federación el 4 de septiembre de 2014</w:t>
      </w:r>
      <w:r w:rsidR="00AF68B9">
        <w:rPr>
          <w:rFonts w:ascii="ITC Avant Garde" w:hAnsi="ITC Avant Garde"/>
          <w:bCs/>
        </w:rPr>
        <w:t xml:space="preserve"> y</w:t>
      </w:r>
      <w:r w:rsidR="00561007">
        <w:rPr>
          <w:rFonts w:ascii="ITC Avant Garde" w:hAnsi="ITC Avant Garde"/>
          <w:bCs/>
        </w:rPr>
        <w:t xml:space="preserve"> modificado </w:t>
      </w:r>
      <w:r w:rsidR="00AF68B9">
        <w:rPr>
          <w:rFonts w:ascii="ITC Avant Garde" w:hAnsi="ITC Avant Garde"/>
          <w:bCs/>
        </w:rPr>
        <w:t xml:space="preserve">por última vez </w:t>
      </w:r>
      <w:r w:rsidR="00561007">
        <w:rPr>
          <w:rFonts w:ascii="ITC Avant Garde" w:hAnsi="ITC Avant Garde"/>
          <w:bCs/>
        </w:rPr>
        <w:t>el 17 de octubre de 2016</w:t>
      </w:r>
      <w:r w:rsidR="00D62A0D" w:rsidRPr="00264CA5">
        <w:rPr>
          <w:rFonts w:ascii="ITC Avant Garde" w:hAnsi="ITC Avant Garde"/>
          <w:bCs/>
        </w:rPr>
        <w:t>, este órgano autónomo emite los siguientes:</w:t>
      </w:r>
    </w:p>
    <w:p w14:paraId="70DAA031" w14:textId="77777777" w:rsidR="00B637A6" w:rsidRPr="00B637A6" w:rsidRDefault="00B048BA" w:rsidP="00B637A6">
      <w:pPr>
        <w:pStyle w:val="Ttulo2"/>
        <w:spacing w:after="240"/>
        <w:jc w:val="center"/>
        <w:rPr>
          <w:rFonts w:ascii="ITC Avant Garde" w:hAnsi="ITC Avant Garde"/>
          <w:b/>
          <w:color w:val="000000" w:themeColor="text1"/>
          <w:sz w:val="22"/>
          <w:szCs w:val="22"/>
        </w:rPr>
      </w:pPr>
      <w:r w:rsidRPr="00B637A6">
        <w:rPr>
          <w:rFonts w:ascii="ITC Avant Garde" w:hAnsi="ITC Avant Garde"/>
          <w:b/>
          <w:color w:val="000000" w:themeColor="text1"/>
          <w:sz w:val="22"/>
          <w:szCs w:val="22"/>
        </w:rPr>
        <w:t>RESOLUTIVOS</w:t>
      </w:r>
    </w:p>
    <w:p w14:paraId="45EE4F91" w14:textId="77777777" w:rsidR="00BB6F2E" w:rsidRDefault="00CB2046" w:rsidP="00B637A6">
      <w:pPr>
        <w:spacing w:before="240" w:line="240" w:lineRule="auto"/>
        <w:jc w:val="both"/>
        <w:rPr>
          <w:rFonts w:ascii="ITC Avant Garde" w:hAnsi="ITC Avant Garde"/>
          <w:bCs/>
          <w:color w:val="000000"/>
          <w:lang w:eastAsia="es-MX"/>
        </w:rPr>
        <w:sectPr w:rsidR="00BB6F2E" w:rsidSect="009C4434">
          <w:pgSz w:w="12240" w:h="15840"/>
          <w:pgMar w:top="2127" w:right="1418" w:bottom="993" w:left="1418" w:header="709" w:footer="362" w:gutter="0"/>
          <w:cols w:space="708"/>
          <w:docGrid w:linePitch="360"/>
        </w:sectPr>
      </w:pPr>
      <w:r>
        <w:rPr>
          <w:rFonts w:ascii="ITC Avant Garde" w:hAnsi="ITC Avant Garde"/>
          <w:b/>
          <w:bCs/>
        </w:rPr>
        <w:t xml:space="preserve">(YA) </w:t>
      </w:r>
      <w:r w:rsidR="00C630FF" w:rsidRPr="00264CA5">
        <w:rPr>
          <w:rFonts w:ascii="ITC Avant Garde" w:hAnsi="ITC Avant Garde"/>
          <w:b/>
          <w:bCs/>
        </w:rPr>
        <w:t>PRIMERO</w:t>
      </w:r>
      <w:r w:rsidR="00B048BA" w:rsidRPr="00264CA5">
        <w:rPr>
          <w:rFonts w:ascii="ITC Avant Garde" w:hAnsi="ITC Avant Garde"/>
          <w:b/>
          <w:bCs/>
        </w:rPr>
        <w:t>.-</w:t>
      </w:r>
      <w:r w:rsidR="00B048BA" w:rsidRPr="00264CA5">
        <w:rPr>
          <w:rFonts w:ascii="ITC Avant Garde" w:hAnsi="ITC Avant Garde"/>
          <w:bCs/>
        </w:rPr>
        <w:t xml:space="preserve"> </w:t>
      </w:r>
      <w:r w:rsidR="005E2324" w:rsidRPr="00264CA5">
        <w:rPr>
          <w:rFonts w:ascii="ITC Avant Garde" w:hAnsi="ITC Avant Garde"/>
          <w:bCs/>
          <w:lang w:val="es-ES_tradnl"/>
        </w:rPr>
        <w:t>Se niega la prórroga</w:t>
      </w:r>
      <w:r w:rsidR="00AE209F" w:rsidRPr="00264CA5">
        <w:rPr>
          <w:rFonts w:ascii="ITC Avant Garde" w:hAnsi="ITC Avant Garde"/>
          <w:bCs/>
          <w:lang w:val="es-ES_tradnl"/>
        </w:rPr>
        <w:t xml:space="preserve"> de vigencia</w:t>
      </w:r>
      <w:r w:rsidR="005E2324" w:rsidRPr="00264CA5">
        <w:rPr>
          <w:rFonts w:ascii="ITC Avant Garde" w:hAnsi="ITC Avant Garde"/>
          <w:bCs/>
          <w:lang w:val="es-ES_tradnl"/>
        </w:rPr>
        <w:t xml:space="preserve"> </w:t>
      </w:r>
      <w:r w:rsidR="00066588" w:rsidRPr="00264CA5">
        <w:rPr>
          <w:rFonts w:ascii="ITC Avant Garde" w:hAnsi="ITC Avant Garde"/>
          <w:bCs/>
          <w:lang w:val="es-ES_tradnl"/>
        </w:rPr>
        <w:t>a</w:t>
      </w:r>
      <w:r w:rsidR="005E2324" w:rsidRPr="00264CA5">
        <w:rPr>
          <w:rFonts w:ascii="ITC Avant Garde" w:hAnsi="ITC Avant Garde"/>
          <w:bCs/>
          <w:lang w:val="es-ES_tradnl"/>
        </w:rPr>
        <w:t xml:space="preserve"> </w:t>
      </w:r>
      <w:r w:rsidR="00240FF3" w:rsidRPr="00264CA5">
        <w:rPr>
          <w:rFonts w:ascii="ITC Avant Garde" w:hAnsi="ITC Avant Garde"/>
          <w:bCs/>
          <w:lang w:val="es-ES_tradnl"/>
        </w:rPr>
        <w:t>la</w:t>
      </w:r>
      <w:r w:rsidR="00262255" w:rsidRPr="00264CA5">
        <w:rPr>
          <w:rFonts w:ascii="ITC Avant Garde" w:hAnsi="ITC Avant Garde"/>
          <w:bCs/>
          <w:lang w:val="es-ES_tradnl"/>
        </w:rPr>
        <w:t>s</w:t>
      </w:r>
      <w:r w:rsidR="00240FF3" w:rsidRPr="00264CA5">
        <w:rPr>
          <w:rFonts w:ascii="ITC Avant Garde" w:hAnsi="ITC Avant Garde"/>
          <w:bCs/>
          <w:lang w:val="es-ES_tradnl"/>
        </w:rPr>
        <w:t xml:space="preserve"> </w:t>
      </w:r>
      <w:r w:rsidR="0043461D" w:rsidRPr="00264CA5">
        <w:rPr>
          <w:rFonts w:ascii="ITC Avant Garde" w:hAnsi="ITC Avant Garde"/>
          <w:bCs/>
          <w:lang w:val="es-ES_tradnl"/>
        </w:rPr>
        <w:t>a</w:t>
      </w:r>
      <w:r w:rsidR="009D5535" w:rsidRPr="00264CA5">
        <w:rPr>
          <w:rFonts w:ascii="ITC Avant Garde" w:hAnsi="ITC Avant Garde"/>
          <w:bCs/>
          <w:lang w:val="es-ES_tradnl"/>
        </w:rPr>
        <w:t>signaci</w:t>
      </w:r>
      <w:r w:rsidR="00262255" w:rsidRPr="00264CA5">
        <w:rPr>
          <w:rFonts w:ascii="ITC Avant Garde" w:hAnsi="ITC Avant Garde"/>
          <w:bCs/>
          <w:lang w:val="es-ES_tradnl"/>
        </w:rPr>
        <w:t>ones</w:t>
      </w:r>
      <w:r w:rsidR="009D5535" w:rsidRPr="00264CA5">
        <w:rPr>
          <w:rFonts w:ascii="ITC Avant Garde" w:hAnsi="ITC Avant Garde"/>
          <w:bCs/>
          <w:lang w:val="es-ES_tradnl"/>
        </w:rPr>
        <w:t xml:space="preserve"> </w:t>
      </w:r>
      <w:r w:rsidR="00240FF3" w:rsidRPr="00264CA5">
        <w:rPr>
          <w:rFonts w:ascii="ITC Avant Garde" w:hAnsi="ITC Avant Garde"/>
          <w:bCs/>
          <w:lang w:val="es-ES_tradnl"/>
        </w:rPr>
        <w:t xml:space="preserve">para usar, aprovechar </w:t>
      </w:r>
      <w:r w:rsidR="009D5535" w:rsidRPr="00264CA5">
        <w:rPr>
          <w:rFonts w:ascii="ITC Avant Garde" w:hAnsi="ITC Avant Garde"/>
          <w:bCs/>
          <w:lang w:val="es-ES_tradnl"/>
        </w:rPr>
        <w:t>o</w:t>
      </w:r>
      <w:r w:rsidR="00240FF3" w:rsidRPr="00264CA5">
        <w:rPr>
          <w:rFonts w:ascii="ITC Avant Garde" w:hAnsi="ITC Avant Garde"/>
          <w:bCs/>
          <w:lang w:val="es-ES_tradnl"/>
        </w:rPr>
        <w:t xml:space="preserve"> explotar bandas de frecuencias de</w:t>
      </w:r>
      <w:r w:rsidR="009D5535" w:rsidRPr="00264CA5">
        <w:rPr>
          <w:rFonts w:ascii="ITC Avant Garde" w:hAnsi="ITC Avant Garde"/>
          <w:bCs/>
          <w:lang w:val="es-ES_tradnl"/>
        </w:rPr>
        <w:t xml:space="preserve"> uso oficial</w:t>
      </w:r>
      <w:r w:rsidR="00066588" w:rsidRPr="00264CA5">
        <w:rPr>
          <w:rFonts w:ascii="ITC Avant Garde" w:hAnsi="ITC Avant Garde"/>
          <w:bCs/>
          <w:lang w:val="es-ES_tradnl"/>
        </w:rPr>
        <w:t xml:space="preserve">, otorgadas </w:t>
      </w:r>
      <w:r w:rsidR="00066588" w:rsidRPr="00264CA5">
        <w:rPr>
          <w:rFonts w:ascii="ITC Avant Garde" w:hAnsi="ITC Avant Garde"/>
          <w:bCs/>
          <w:color w:val="000000"/>
          <w:lang w:eastAsia="es-MX"/>
        </w:rPr>
        <w:t>por la Secretaría de Comunicaciones y Transportes</w:t>
      </w:r>
      <w:r w:rsidR="00066588" w:rsidRPr="00264CA5">
        <w:rPr>
          <w:rFonts w:ascii="ITC Avant Garde" w:hAnsi="ITC Avant Garde"/>
          <w:bCs/>
          <w:lang w:val="es-ES_tradnl"/>
        </w:rPr>
        <w:t xml:space="preserve"> a </w:t>
      </w:r>
      <w:r w:rsidR="00341CE9" w:rsidRPr="00264CA5">
        <w:rPr>
          <w:rFonts w:ascii="ITC Avant Garde" w:hAnsi="ITC Avant Garde"/>
          <w:bCs/>
          <w:lang w:val="es-ES_tradnl"/>
        </w:rPr>
        <w:t xml:space="preserve">la Comisión Estatal de Servicios Públicos de Mexicali, </w:t>
      </w:r>
      <w:r w:rsidR="00317D4E">
        <w:rPr>
          <w:rFonts w:ascii="ITC Avant Garde" w:hAnsi="ITC Avant Garde"/>
          <w:bCs/>
          <w:lang w:val="es-ES_tradnl"/>
        </w:rPr>
        <w:t xml:space="preserve">Organismo Público Descentralizado </w:t>
      </w:r>
      <w:r w:rsidR="00B07190">
        <w:rPr>
          <w:rFonts w:ascii="ITC Avant Garde" w:hAnsi="ITC Avant Garde"/>
          <w:bCs/>
          <w:lang w:val="es-ES_tradnl"/>
        </w:rPr>
        <w:t>del Gobierno d</w:t>
      </w:r>
      <w:r w:rsidR="00341CE9" w:rsidRPr="00264CA5">
        <w:rPr>
          <w:rFonts w:ascii="ITC Avant Garde" w:hAnsi="ITC Avant Garde"/>
          <w:bCs/>
          <w:lang w:val="es-ES_tradnl"/>
        </w:rPr>
        <w:t>el Estado de Baja California</w:t>
      </w:r>
      <w:r w:rsidR="00377723">
        <w:rPr>
          <w:rFonts w:ascii="ITC Avant Garde" w:hAnsi="ITC Avant Garde"/>
          <w:bCs/>
          <w:lang w:val="es-ES_tradnl"/>
        </w:rPr>
        <w:t>, mismas</w:t>
      </w:r>
      <w:r w:rsidR="00066588" w:rsidRPr="00264CA5">
        <w:rPr>
          <w:rFonts w:ascii="ITC Avant Garde" w:hAnsi="ITC Avant Garde"/>
          <w:bCs/>
          <w:lang w:val="es-ES_tradnl"/>
        </w:rPr>
        <w:t xml:space="preserve"> que se señalan a continuación</w:t>
      </w:r>
      <w:r w:rsidR="00066588" w:rsidRPr="00264CA5">
        <w:rPr>
          <w:rFonts w:ascii="ITC Avant Garde" w:hAnsi="ITC Avant Garde"/>
          <w:bCs/>
          <w:color w:val="000000"/>
          <w:lang w:eastAsia="es-MX"/>
        </w:rPr>
        <w:t>:</w:t>
      </w:r>
    </w:p>
    <w:p w14:paraId="2F2DBBFC" w14:textId="039CAC82" w:rsidR="009C4434" w:rsidRPr="000328D4" w:rsidRDefault="00D41D0C" w:rsidP="000328D4">
      <w:pPr>
        <w:spacing w:before="240" w:line="240" w:lineRule="auto"/>
        <w:ind w:left="567"/>
        <w:jc w:val="center"/>
        <w:rPr>
          <w:rFonts w:ascii="ITC Avant Garde" w:eastAsia="Times New Roman" w:hAnsi="ITC Avant Garde"/>
          <w:b/>
          <w:bCs/>
          <w:color w:val="000000"/>
          <w:sz w:val="20"/>
          <w:szCs w:val="20"/>
          <w:lang w:eastAsia="es-MX"/>
        </w:rPr>
      </w:pPr>
      <w:r w:rsidRPr="000328D4">
        <w:rPr>
          <w:rFonts w:ascii="ITC Avant Garde" w:eastAsia="Times New Roman" w:hAnsi="ITC Avant Garde"/>
          <w:b/>
          <w:bCs/>
          <w:color w:val="000000"/>
          <w:sz w:val="20"/>
          <w:szCs w:val="20"/>
          <w:lang w:eastAsia="es-MX"/>
        </w:rPr>
        <w:lastRenderedPageBreak/>
        <w:t>Datos de la Asignación</w:t>
      </w:r>
    </w:p>
    <w:tbl>
      <w:tblPr>
        <w:tblStyle w:val="Cuadrculadetablaclara"/>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signaciones negadas por el Pleno del IFT"/>
        <w:tblDescription w:val="La tabla proporciona en 10 columnas, información de las asignaciones de frecuencia para uso oficial que se niegan a la Comisión Estatal de Servicios Públicos de Mexicali."/>
      </w:tblPr>
      <w:tblGrid>
        <w:gridCol w:w="562"/>
        <w:gridCol w:w="846"/>
        <w:gridCol w:w="997"/>
        <w:gridCol w:w="987"/>
        <w:gridCol w:w="993"/>
        <w:gridCol w:w="1275"/>
        <w:gridCol w:w="851"/>
        <w:gridCol w:w="1134"/>
        <w:gridCol w:w="992"/>
        <w:gridCol w:w="992"/>
      </w:tblGrid>
      <w:tr w:rsidR="00D41D0C" w:rsidRPr="00D41D0C" w14:paraId="5DBF23C8" w14:textId="77777777" w:rsidTr="00D41D0C">
        <w:trPr>
          <w:trHeight w:val="20"/>
          <w:tblHeader/>
        </w:trPr>
        <w:tc>
          <w:tcPr>
            <w:tcW w:w="562" w:type="dxa"/>
            <w:shd w:val="clear" w:color="auto" w:fill="A6A6A6" w:themeFill="background1" w:themeFillShade="A6"/>
            <w:vAlign w:val="center"/>
          </w:tcPr>
          <w:p w14:paraId="2E4D881A" w14:textId="66CF9098" w:rsidR="00D41D0C" w:rsidRPr="00D41D0C" w:rsidRDefault="00D41D0C" w:rsidP="00D41D0C">
            <w:pPr>
              <w:spacing w:after="0" w:line="240" w:lineRule="auto"/>
              <w:jc w:val="center"/>
              <w:rPr>
                <w:rFonts w:ascii="ITC Avant Garde" w:eastAsia="Times New Roman" w:hAnsi="ITC Avant Garde"/>
                <w:b/>
                <w:color w:val="000000"/>
                <w:sz w:val="6"/>
                <w:szCs w:val="6"/>
                <w:lang w:eastAsia="es-MX"/>
              </w:rPr>
            </w:pPr>
            <w:bookmarkStart w:id="0" w:name="_GoBack"/>
            <w:r w:rsidRPr="00D41D0C">
              <w:rPr>
                <w:rFonts w:ascii="ITC Avant Garde" w:eastAsia="Times New Roman" w:hAnsi="ITC Avant Garde"/>
                <w:b/>
                <w:color w:val="000000"/>
                <w:sz w:val="6"/>
                <w:szCs w:val="6"/>
                <w:lang w:eastAsia="es-MX"/>
              </w:rPr>
              <w:t>Numero</w:t>
            </w:r>
          </w:p>
        </w:tc>
        <w:tc>
          <w:tcPr>
            <w:tcW w:w="846" w:type="dxa"/>
            <w:shd w:val="clear" w:color="auto" w:fill="A6A6A6" w:themeFill="background1" w:themeFillShade="A6"/>
            <w:vAlign w:val="center"/>
          </w:tcPr>
          <w:p w14:paraId="6F6B20B0" w14:textId="0AE9C283"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No. de Asignación</w:t>
            </w:r>
          </w:p>
        </w:tc>
        <w:tc>
          <w:tcPr>
            <w:tcW w:w="997" w:type="dxa"/>
            <w:shd w:val="clear" w:color="auto" w:fill="A6A6A6" w:themeFill="background1" w:themeFillShade="A6"/>
            <w:vAlign w:val="center"/>
          </w:tcPr>
          <w:p w14:paraId="7BD1F892" w14:textId="44D7CEEA"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Fecha de otorgamiento</w:t>
            </w:r>
          </w:p>
        </w:tc>
        <w:tc>
          <w:tcPr>
            <w:tcW w:w="987" w:type="dxa"/>
            <w:shd w:val="clear" w:color="auto" w:fill="A6A6A6" w:themeFill="background1" w:themeFillShade="A6"/>
            <w:vAlign w:val="center"/>
          </w:tcPr>
          <w:p w14:paraId="4139E3F6" w14:textId="25047124"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Años de vigencia</w:t>
            </w:r>
          </w:p>
        </w:tc>
        <w:tc>
          <w:tcPr>
            <w:tcW w:w="993" w:type="dxa"/>
            <w:shd w:val="clear" w:color="auto" w:fill="A6A6A6" w:themeFill="background1" w:themeFillShade="A6"/>
            <w:vAlign w:val="center"/>
          </w:tcPr>
          <w:p w14:paraId="64EB35FF" w14:textId="2D47DA71"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Fecha de vencimiento</w:t>
            </w:r>
          </w:p>
        </w:tc>
        <w:tc>
          <w:tcPr>
            <w:tcW w:w="1275" w:type="dxa"/>
            <w:shd w:val="clear" w:color="auto" w:fill="A6A6A6" w:themeFill="background1" w:themeFillShade="A6"/>
            <w:vAlign w:val="center"/>
          </w:tcPr>
          <w:p w14:paraId="2E836B7A" w14:textId="5CADE366" w:rsidR="00D41D0C" w:rsidRPr="00D41D0C" w:rsidRDefault="00D41D0C" w:rsidP="00BB6F2E">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 xml:space="preserve">Frecuencias asignadas </w:t>
            </w:r>
            <w:proofErr w:type="spellStart"/>
            <w:r w:rsidRPr="00D41D0C">
              <w:rPr>
                <w:rFonts w:ascii="ITC Avant Garde" w:eastAsia="Times New Roman" w:hAnsi="ITC Avant Garde"/>
                <w:b/>
                <w:bCs/>
                <w:sz w:val="10"/>
                <w:szCs w:val="10"/>
                <w:lang w:eastAsia="es-MX"/>
              </w:rPr>
              <w:t>Tx</w:t>
            </w:r>
            <w:proofErr w:type="spellEnd"/>
            <w:r w:rsidRPr="00D41D0C">
              <w:rPr>
                <w:rFonts w:ascii="ITC Avant Garde" w:eastAsia="Times New Roman" w:hAnsi="ITC Avant Garde"/>
                <w:b/>
                <w:bCs/>
                <w:sz w:val="10"/>
                <w:szCs w:val="10"/>
                <w:lang w:eastAsia="es-MX"/>
              </w:rPr>
              <w:t>/</w:t>
            </w:r>
            <w:proofErr w:type="spellStart"/>
            <w:r w:rsidRPr="00D41D0C">
              <w:rPr>
                <w:rFonts w:ascii="ITC Avant Garde" w:eastAsia="Times New Roman" w:hAnsi="ITC Avant Garde"/>
                <w:b/>
                <w:bCs/>
                <w:sz w:val="10"/>
                <w:szCs w:val="10"/>
                <w:lang w:eastAsia="es-MX"/>
              </w:rPr>
              <w:t>Rx</w:t>
            </w:r>
            <w:proofErr w:type="spellEnd"/>
            <w:r w:rsidR="00BB6F2E">
              <w:rPr>
                <w:rFonts w:ascii="ITC Avant Garde" w:eastAsia="Times New Roman" w:hAnsi="ITC Avant Garde"/>
                <w:b/>
                <w:bCs/>
                <w:sz w:val="10"/>
                <w:szCs w:val="10"/>
                <w:lang w:eastAsia="es-MX"/>
              </w:rPr>
              <w:t xml:space="preserve"> </w:t>
            </w:r>
            <w:r w:rsidRPr="00D41D0C">
              <w:rPr>
                <w:rFonts w:ascii="ITC Avant Garde" w:eastAsia="Times New Roman" w:hAnsi="ITC Avant Garde"/>
                <w:b/>
                <w:bCs/>
                <w:sz w:val="10"/>
                <w:szCs w:val="10"/>
                <w:lang w:eastAsia="es-MX"/>
              </w:rPr>
              <w:t>(MHz)</w:t>
            </w:r>
          </w:p>
        </w:tc>
        <w:tc>
          <w:tcPr>
            <w:tcW w:w="851" w:type="dxa"/>
            <w:shd w:val="clear" w:color="auto" w:fill="A6A6A6" w:themeFill="background1" w:themeFillShade="A6"/>
            <w:vAlign w:val="center"/>
          </w:tcPr>
          <w:p w14:paraId="02BEFA1F" w14:textId="1E3283D7"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Radio de Cobertura (km)</w:t>
            </w:r>
          </w:p>
        </w:tc>
        <w:tc>
          <w:tcPr>
            <w:tcW w:w="1134" w:type="dxa"/>
            <w:shd w:val="clear" w:color="auto" w:fill="A6A6A6" w:themeFill="background1" w:themeFillShade="A6"/>
            <w:vAlign w:val="center"/>
          </w:tcPr>
          <w:p w14:paraId="738E1FB8" w14:textId="12F89DEF"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Ubicación de la estación base</w:t>
            </w:r>
          </w:p>
        </w:tc>
        <w:tc>
          <w:tcPr>
            <w:tcW w:w="992" w:type="dxa"/>
            <w:shd w:val="clear" w:color="auto" w:fill="A6A6A6" w:themeFill="background1" w:themeFillShade="A6"/>
            <w:noWrap/>
            <w:vAlign w:val="center"/>
          </w:tcPr>
          <w:p w14:paraId="2E63D959" w14:textId="674E9597"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Fecha de Solicitud de Prórroga</w:t>
            </w:r>
          </w:p>
        </w:tc>
        <w:tc>
          <w:tcPr>
            <w:tcW w:w="992" w:type="dxa"/>
            <w:shd w:val="clear" w:color="auto" w:fill="A6A6A6" w:themeFill="background1" w:themeFillShade="A6"/>
            <w:vAlign w:val="center"/>
          </w:tcPr>
          <w:p w14:paraId="4795ED58" w14:textId="4CCDB074" w:rsidR="00D41D0C" w:rsidRPr="00D41D0C" w:rsidRDefault="00D41D0C" w:rsidP="00D41D0C">
            <w:pPr>
              <w:spacing w:after="0" w:line="240" w:lineRule="auto"/>
              <w:jc w:val="center"/>
              <w:rPr>
                <w:rFonts w:ascii="ITC Avant Garde" w:eastAsia="Times New Roman" w:hAnsi="ITC Avant Garde"/>
                <w:b/>
                <w:color w:val="000000"/>
                <w:sz w:val="10"/>
                <w:szCs w:val="10"/>
                <w:lang w:eastAsia="es-MX"/>
              </w:rPr>
            </w:pPr>
            <w:r w:rsidRPr="00D41D0C">
              <w:rPr>
                <w:rFonts w:ascii="ITC Avant Garde" w:eastAsia="Times New Roman" w:hAnsi="ITC Avant Garde"/>
                <w:b/>
                <w:bCs/>
                <w:sz w:val="10"/>
                <w:szCs w:val="10"/>
                <w:lang w:eastAsia="es-MX"/>
              </w:rPr>
              <w:t>Fecha límite para presentar la Solicitud de Prórroga</w:t>
            </w:r>
          </w:p>
        </w:tc>
      </w:tr>
      <w:tr w:rsidR="00D41D0C" w:rsidRPr="003E4256" w14:paraId="772DAC67" w14:textId="77777777" w:rsidTr="00D41D0C">
        <w:trPr>
          <w:trHeight w:val="20"/>
        </w:trPr>
        <w:tc>
          <w:tcPr>
            <w:tcW w:w="562" w:type="dxa"/>
            <w:hideMark/>
          </w:tcPr>
          <w:p w14:paraId="145C75C0" w14:textId="77777777" w:rsidR="00D41D0C" w:rsidRPr="004F6A81" w:rsidRDefault="00D41D0C" w:rsidP="00D41D0C">
            <w:pPr>
              <w:spacing w:after="0" w:line="240" w:lineRule="auto"/>
              <w:jc w:val="center"/>
              <w:rPr>
                <w:rFonts w:ascii="ITC Avant Garde" w:eastAsia="Times New Roman" w:hAnsi="ITC Avant Garde"/>
                <w:color w:val="000000"/>
                <w:sz w:val="14"/>
                <w:szCs w:val="14"/>
                <w:lang w:eastAsia="es-MX"/>
              </w:rPr>
            </w:pPr>
            <w:r w:rsidRPr="004F6A81">
              <w:rPr>
                <w:rFonts w:ascii="ITC Avant Garde" w:eastAsia="Times New Roman" w:hAnsi="ITC Avant Garde"/>
                <w:color w:val="000000"/>
                <w:sz w:val="14"/>
                <w:szCs w:val="14"/>
                <w:lang w:eastAsia="es-MX"/>
              </w:rPr>
              <w:t>1</w:t>
            </w:r>
          </w:p>
        </w:tc>
        <w:tc>
          <w:tcPr>
            <w:tcW w:w="846" w:type="dxa"/>
            <w:hideMark/>
          </w:tcPr>
          <w:p w14:paraId="3A1DF2E2"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1.-222</w:t>
            </w:r>
          </w:p>
        </w:tc>
        <w:tc>
          <w:tcPr>
            <w:tcW w:w="997" w:type="dxa"/>
            <w:hideMark/>
          </w:tcPr>
          <w:p w14:paraId="29FBA16B" w14:textId="085687CE"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07 de julio del año 2004</w:t>
            </w:r>
          </w:p>
        </w:tc>
        <w:tc>
          <w:tcPr>
            <w:tcW w:w="987" w:type="dxa"/>
            <w:hideMark/>
          </w:tcPr>
          <w:p w14:paraId="356C4D21"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4</w:t>
            </w:r>
          </w:p>
        </w:tc>
        <w:tc>
          <w:tcPr>
            <w:tcW w:w="993" w:type="dxa"/>
            <w:hideMark/>
          </w:tcPr>
          <w:p w14:paraId="16D7BADD" w14:textId="2360E9EB"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07 de julio del año 2008</w:t>
            </w:r>
          </w:p>
        </w:tc>
        <w:tc>
          <w:tcPr>
            <w:tcW w:w="1275" w:type="dxa"/>
          </w:tcPr>
          <w:p w14:paraId="6D287BE3" w14:textId="3F2EE8FE"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150.375/155.175</w:t>
            </w:r>
          </w:p>
        </w:tc>
        <w:tc>
          <w:tcPr>
            <w:tcW w:w="851" w:type="dxa"/>
          </w:tcPr>
          <w:p w14:paraId="452597DE" w14:textId="05AD406D"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80</w:t>
            </w:r>
          </w:p>
        </w:tc>
        <w:tc>
          <w:tcPr>
            <w:tcW w:w="1134" w:type="dxa"/>
          </w:tcPr>
          <w:p w14:paraId="4E4008C6" w14:textId="628D5B81" w:rsidR="00D41D0C" w:rsidRPr="00D41D0C" w:rsidRDefault="00D41D0C" w:rsidP="00D41D0C">
            <w:pPr>
              <w:spacing w:after="0" w:line="240" w:lineRule="auto"/>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Sierra Cucapah, Mexicali, en el Estado de Baja California.</w:t>
            </w:r>
          </w:p>
        </w:tc>
        <w:tc>
          <w:tcPr>
            <w:tcW w:w="992" w:type="dxa"/>
            <w:noWrap/>
            <w:hideMark/>
          </w:tcPr>
          <w:p w14:paraId="099D67B4" w14:textId="3CC0D953"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08 de enero del año 2007</w:t>
            </w:r>
          </w:p>
        </w:tc>
        <w:tc>
          <w:tcPr>
            <w:tcW w:w="992" w:type="dxa"/>
            <w:hideMark/>
          </w:tcPr>
          <w:p w14:paraId="76A01AB6" w14:textId="231AB4E6"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19 de septiembre del año 2007</w:t>
            </w:r>
          </w:p>
        </w:tc>
      </w:tr>
      <w:tr w:rsidR="00D41D0C" w:rsidRPr="003E4256" w14:paraId="309C5C56" w14:textId="77777777" w:rsidTr="00D41D0C">
        <w:trPr>
          <w:trHeight w:val="20"/>
        </w:trPr>
        <w:tc>
          <w:tcPr>
            <w:tcW w:w="562" w:type="dxa"/>
          </w:tcPr>
          <w:p w14:paraId="2C7C7434" w14:textId="6DF529EC" w:rsidR="00D41D0C" w:rsidRPr="004F6A81" w:rsidRDefault="00D41D0C" w:rsidP="00D41D0C">
            <w:pPr>
              <w:spacing w:after="0" w:line="240" w:lineRule="auto"/>
              <w:jc w:val="center"/>
              <w:rPr>
                <w:rFonts w:ascii="ITC Avant Garde" w:eastAsia="Times New Roman" w:hAnsi="ITC Avant Garde"/>
                <w:color w:val="000000"/>
                <w:sz w:val="14"/>
                <w:szCs w:val="14"/>
                <w:lang w:eastAsia="es-MX"/>
              </w:rPr>
            </w:pPr>
            <w:r w:rsidRPr="004F6A81">
              <w:rPr>
                <w:rFonts w:ascii="ITC Avant Garde" w:eastAsia="Times New Roman" w:hAnsi="ITC Avant Garde"/>
                <w:color w:val="000000"/>
                <w:sz w:val="14"/>
                <w:szCs w:val="14"/>
                <w:lang w:eastAsia="es-MX"/>
              </w:rPr>
              <w:t>1</w:t>
            </w:r>
          </w:p>
        </w:tc>
        <w:tc>
          <w:tcPr>
            <w:tcW w:w="846" w:type="dxa"/>
          </w:tcPr>
          <w:p w14:paraId="3D82CA61" w14:textId="715623C4"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1.-222</w:t>
            </w:r>
          </w:p>
        </w:tc>
        <w:tc>
          <w:tcPr>
            <w:tcW w:w="997" w:type="dxa"/>
          </w:tcPr>
          <w:p w14:paraId="5D9ABCC2" w14:textId="683FF8D0"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07 de julio del año 2004</w:t>
            </w:r>
          </w:p>
        </w:tc>
        <w:tc>
          <w:tcPr>
            <w:tcW w:w="987" w:type="dxa"/>
          </w:tcPr>
          <w:p w14:paraId="1448504C" w14:textId="70A118BD"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4</w:t>
            </w:r>
          </w:p>
        </w:tc>
        <w:tc>
          <w:tcPr>
            <w:tcW w:w="993" w:type="dxa"/>
          </w:tcPr>
          <w:p w14:paraId="353D23B7" w14:textId="53D0A61D"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07 de julio del año 2008</w:t>
            </w:r>
          </w:p>
        </w:tc>
        <w:tc>
          <w:tcPr>
            <w:tcW w:w="1275" w:type="dxa"/>
          </w:tcPr>
          <w:p w14:paraId="058FEE7D" w14:textId="4B5F52FC"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155.175/150.375</w:t>
            </w:r>
          </w:p>
        </w:tc>
        <w:tc>
          <w:tcPr>
            <w:tcW w:w="851" w:type="dxa"/>
          </w:tcPr>
          <w:p w14:paraId="7DBCDE10" w14:textId="22FF6032"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80</w:t>
            </w:r>
          </w:p>
        </w:tc>
        <w:tc>
          <w:tcPr>
            <w:tcW w:w="1134" w:type="dxa"/>
          </w:tcPr>
          <w:p w14:paraId="51A015E8" w14:textId="3A1A1F0D" w:rsidR="00D41D0C" w:rsidRPr="00D41D0C" w:rsidRDefault="00D41D0C" w:rsidP="00D41D0C">
            <w:pPr>
              <w:spacing w:after="0" w:line="240" w:lineRule="auto"/>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Calzada Independencia y Sinaloa s/n, Mexicali, en el Estado de Baja California.</w:t>
            </w:r>
          </w:p>
        </w:tc>
        <w:tc>
          <w:tcPr>
            <w:tcW w:w="992" w:type="dxa"/>
            <w:noWrap/>
          </w:tcPr>
          <w:p w14:paraId="05753622" w14:textId="45823421"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08 de enero del año 2007</w:t>
            </w:r>
          </w:p>
        </w:tc>
        <w:tc>
          <w:tcPr>
            <w:tcW w:w="992" w:type="dxa"/>
          </w:tcPr>
          <w:p w14:paraId="7CAA6973" w14:textId="2F16AEEE"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19 de septiembre del año 2007</w:t>
            </w:r>
          </w:p>
        </w:tc>
      </w:tr>
      <w:tr w:rsidR="00D41D0C" w:rsidRPr="003E4256" w14:paraId="13A6FBAF" w14:textId="77777777" w:rsidTr="00D41D0C">
        <w:trPr>
          <w:trHeight w:val="20"/>
        </w:trPr>
        <w:tc>
          <w:tcPr>
            <w:tcW w:w="562" w:type="dxa"/>
            <w:hideMark/>
          </w:tcPr>
          <w:p w14:paraId="16831B18" w14:textId="77777777" w:rsidR="00D41D0C" w:rsidRPr="004F6A81" w:rsidRDefault="00D41D0C" w:rsidP="00D41D0C">
            <w:pPr>
              <w:spacing w:after="0" w:line="240" w:lineRule="auto"/>
              <w:jc w:val="center"/>
              <w:rPr>
                <w:rFonts w:ascii="ITC Avant Garde" w:eastAsia="Times New Roman" w:hAnsi="ITC Avant Garde"/>
                <w:color w:val="000000"/>
                <w:sz w:val="14"/>
                <w:szCs w:val="14"/>
                <w:lang w:eastAsia="es-MX"/>
              </w:rPr>
            </w:pPr>
            <w:r w:rsidRPr="004F6A81">
              <w:rPr>
                <w:rFonts w:ascii="ITC Avant Garde" w:eastAsia="Times New Roman" w:hAnsi="ITC Avant Garde"/>
                <w:color w:val="000000"/>
                <w:sz w:val="14"/>
                <w:szCs w:val="14"/>
                <w:lang w:eastAsia="es-MX"/>
              </w:rPr>
              <w:t>2</w:t>
            </w:r>
          </w:p>
        </w:tc>
        <w:tc>
          <w:tcPr>
            <w:tcW w:w="846" w:type="dxa"/>
            <w:hideMark/>
          </w:tcPr>
          <w:p w14:paraId="3EB31A85"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1.-291</w:t>
            </w:r>
          </w:p>
        </w:tc>
        <w:tc>
          <w:tcPr>
            <w:tcW w:w="997" w:type="dxa"/>
            <w:hideMark/>
          </w:tcPr>
          <w:p w14:paraId="780D3FFF" w14:textId="113998E2"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12 de octubre del año 2005</w:t>
            </w:r>
          </w:p>
        </w:tc>
        <w:tc>
          <w:tcPr>
            <w:tcW w:w="987" w:type="dxa"/>
            <w:hideMark/>
          </w:tcPr>
          <w:p w14:paraId="2F5D181E"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4</w:t>
            </w:r>
          </w:p>
        </w:tc>
        <w:tc>
          <w:tcPr>
            <w:tcW w:w="993" w:type="dxa"/>
            <w:hideMark/>
          </w:tcPr>
          <w:p w14:paraId="217301C1" w14:textId="55300820"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12 de octubre del año 2009</w:t>
            </w:r>
          </w:p>
        </w:tc>
        <w:tc>
          <w:tcPr>
            <w:tcW w:w="1275" w:type="dxa"/>
            <w:hideMark/>
          </w:tcPr>
          <w:p w14:paraId="54170E32"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 xml:space="preserve">151.450/154.500 </w:t>
            </w:r>
          </w:p>
        </w:tc>
        <w:tc>
          <w:tcPr>
            <w:tcW w:w="851" w:type="dxa"/>
            <w:hideMark/>
          </w:tcPr>
          <w:p w14:paraId="13888024"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40</w:t>
            </w:r>
          </w:p>
        </w:tc>
        <w:tc>
          <w:tcPr>
            <w:tcW w:w="1134" w:type="dxa"/>
            <w:hideMark/>
          </w:tcPr>
          <w:p w14:paraId="76A88EBC" w14:textId="77777777" w:rsidR="00D41D0C" w:rsidRPr="00D41D0C" w:rsidRDefault="00D41D0C" w:rsidP="00D41D0C">
            <w:pPr>
              <w:spacing w:after="0" w:line="240" w:lineRule="auto"/>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Rep. Sierra Cucapah, Mexicali, Ben el Estado de Baja California.</w:t>
            </w:r>
          </w:p>
        </w:tc>
        <w:tc>
          <w:tcPr>
            <w:tcW w:w="992" w:type="dxa"/>
            <w:noWrap/>
            <w:hideMark/>
          </w:tcPr>
          <w:p w14:paraId="3B78C233" w14:textId="77777777"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14/10/2009</w:t>
            </w:r>
          </w:p>
        </w:tc>
        <w:tc>
          <w:tcPr>
            <w:tcW w:w="992" w:type="dxa"/>
            <w:hideMark/>
          </w:tcPr>
          <w:p w14:paraId="22BEFAC4" w14:textId="63FA91D4" w:rsidR="00D41D0C" w:rsidRPr="00D41D0C" w:rsidRDefault="00D41D0C" w:rsidP="00D41D0C">
            <w:pPr>
              <w:spacing w:after="0" w:line="240" w:lineRule="auto"/>
              <w:jc w:val="center"/>
              <w:rPr>
                <w:rFonts w:ascii="ITC Avant Garde" w:eastAsia="Times New Roman" w:hAnsi="ITC Avant Garde"/>
                <w:color w:val="000000"/>
                <w:sz w:val="12"/>
                <w:szCs w:val="12"/>
                <w:lang w:eastAsia="es-MX"/>
              </w:rPr>
            </w:pPr>
            <w:r w:rsidRPr="00D41D0C">
              <w:rPr>
                <w:rFonts w:ascii="ITC Avant Garde" w:eastAsia="Times New Roman" w:hAnsi="ITC Avant Garde"/>
                <w:color w:val="000000"/>
                <w:sz w:val="12"/>
                <w:szCs w:val="12"/>
                <w:lang w:eastAsia="es-MX"/>
              </w:rPr>
              <w:t>24/12/2008</w:t>
            </w:r>
          </w:p>
        </w:tc>
      </w:tr>
    </w:tbl>
    <w:bookmarkEnd w:id="0"/>
    <w:p w14:paraId="5A728A89" w14:textId="77777777" w:rsidR="00B637A6" w:rsidRDefault="005E2324" w:rsidP="00B637A6">
      <w:pPr>
        <w:spacing w:before="240" w:line="240" w:lineRule="auto"/>
        <w:jc w:val="both"/>
        <w:rPr>
          <w:rFonts w:ascii="ITC Avant Garde" w:hAnsi="ITC Avant Garde"/>
          <w:bCs/>
          <w:color w:val="000000"/>
          <w:lang w:eastAsia="es-MX"/>
        </w:rPr>
      </w:pPr>
      <w:r w:rsidRPr="00264CA5">
        <w:rPr>
          <w:rFonts w:ascii="ITC Avant Garde" w:hAnsi="ITC Avant Garde"/>
          <w:bCs/>
          <w:color w:val="000000"/>
          <w:lang w:eastAsia="es-MX"/>
        </w:rPr>
        <w:t>Lo anterior</w:t>
      </w:r>
      <w:r w:rsidR="00240FF3" w:rsidRPr="004819F2">
        <w:rPr>
          <w:rFonts w:ascii="ITC Avant Garde" w:hAnsi="ITC Avant Garde"/>
          <w:bCs/>
          <w:color w:val="000000"/>
          <w:lang w:eastAsia="es-MX"/>
        </w:rPr>
        <w:t xml:space="preserve">, en virtud de </w:t>
      </w:r>
      <w:r w:rsidR="007211C1" w:rsidRPr="004819F2">
        <w:rPr>
          <w:rFonts w:ascii="ITC Avant Garde" w:hAnsi="ITC Avant Garde"/>
          <w:bCs/>
          <w:color w:val="000000"/>
          <w:lang w:eastAsia="es-MX"/>
        </w:rPr>
        <w:t xml:space="preserve">que </w:t>
      </w:r>
      <w:r w:rsidR="00066588" w:rsidRPr="004819F2">
        <w:rPr>
          <w:rFonts w:ascii="ITC Avant Garde" w:hAnsi="ITC Avant Garde"/>
          <w:bCs/>
          <w:color w:val="000000"/>
          <w:lang w:eastAsia="es-MX"/>
        </w:rPr>
        <w:t>l</w:t>
      </w:r>
      <w:r w:rsidR="00A0434F" w:rsidRPr="004819F2">
        <w:rPr>
          <w:rFonts w:ascii="ITC Avant Garde" w:hAnsi="ITC Avant Garde"/>
          <w:bCs/>
          <w:color w:val="000000"/>
          <w:lang w:eastAsia="es-MX"/>
        </w:rPr>
        <w:t>a</w:t>
      </w:r>
      <w:r w:rsidR="00066588" w:rsidRPr="004819F2">
        <w:rPr>
          <w:rFonts w:ascii="ITC Avant Garde" w:hAnsi="ITC Avant Garde"/>
          <w:bCs/>
          <w:color w:val="000000"/>
          <w:lang w:eastAsia="es-MX"/>
        </w:rPr>
        <w:t xml:space="preserve"> </w:t>
      </w:r>
      <w:r w:rsidR="003E4256" w:rsidRPr="004819F2">
        <w:rPr>
          <w:rFonts w:ascii="ITC Avant Garde" w:hAnsi="ITC Avant Garde"/>
          <w:bCs/>
          <w:color w:val="000000"/>
          <w:lang w:eastAsia="es-MX"/>
        </w:rPr>
        <w:t>Comisión Estatal de Servicios Públicos de Mexicali, Organismo Público Descentralizado del Gobierno del Estado de Baja California,</w:t>
      </w:r>
      <w:r w:rsidR="00A0434F" w:rsidRPr="004819F2">
        <w:rPr>
          <w:rFonts w:ascii="ITC Avant Garde" w:hAnsi="ITC Avant Garde"/>
          <w:bCs/>
          <w:color w:val="000000"/>
          <w:lang w:eastAsia="es-MX"/>
        </w:rPr>
        <w:t xml:space="preserve"> </w:t>
      </w:r>
      <w:r w:rsidR="004B7025" w:rsidRPr="004819F2">
        <w:rPr>
          <w:rFonts w:ascii="ITC Avant Garde" w:hAnsi="ITC Avant Garde"/>
          <w:bCs/>
          <w:color w:val="000000"/>
          <w:lang w:eastAsia="es-MX"/>
        </w:rPr>
        <w:t xml:space="preserve">no </w:t>
      </w:r>
      <w:r w:rsidR="003E4256" w:rsidRPr="004819F2">
        <w:rPr>
          <w:rFonts w:ascii="ITC Avant Garde" w:hAnsi="ITC Avant Garde"/>
          <w:bCs/>
          <w:color w:val="000000"/>
          <w:lang w:eastAsia="es-MX"/>
        </w:rPr>
        <w:t xml:space="preserve">cumplió </w:t>
      </w:r>
      <w:r w:rsidR="004B7025" w:rsidRPr="004819F2">
        <w:rPr>
          <w:rFonts w:ascii="ITC Avant Garde" w:hAnsi="ITC Avant Garde"/>
          <w:bCs/>
          <w:color w:val="000000"/>
          <w:lang w:eastAsia="es-MX"/>
        </w:rPr>
        <w:t>con uno de los requisitos de procedencia previstos en el artículo 19 de la Ley Federal de Telecomunicaciones, toda vez que las solicitudes de prórrogas correspondientes a cada una de las asignaciones señaladas, fueron presentadas de manera extemporánea.</w:t>
      </w:r>
    </w:p>
    <w:p w14:paraId="786BBBF2" w14:textId="77777777" w:rsidR="00B637A6" w:rsidRDefault="00C24F96" w:rsidP="00B637A6">
      <w:pPr>
        <w:spacing w:before="240" w:line="240" w:lineRule="auto"/>
        <w:jc w:val="both"/>
        <w:rPr>
          <w:rFonts w:ascii="ITC Avant Garde" w:hAnsi="ITC Avant Garde"/>
          <w:lang w:eastAsia="es-MX"/>
        </w:rPr>
      </w:pPr>
      <w:r w:rsidRPr="00264CA5">
        <w:rPr>
          <w:rFonts w:ascii="ITC Avant Garde" w:hAnsi="ITC Avant Garde"/>
          <w:b/>
          <w:lang w:eastAsia="es-MX"/>
        </w:rPr>
        <w:t>SEGUNDO.-</w:t>
      </w:r>
      <w:r w:rsidRPr="00264CA5">
        <w:rPr>
          <w:rFonts w:ascii="ITC Avant Garde" w:hAnsi="ITC Avant Garde"/>
          <w:lang w:eastAsia="es-MX"/>
        </w:rPr>
        <w:t xml:space="preserve"> Derivado de lo indicado en el Resolutivo anterior, las frecuencias contenidas en las asignaciones que se indican en la tabla señalada en el Resolutivo Primero, rev</w:t>
      </w:r>
      <w:r w:rsidR="004520FE">
        <w:rPr>
          <w:rFonts w:ascii="ITC Avant Garde" w:hAnsi="ITC Avant Garde"/>
          <w:lang w:eastAsia="es-MX"/>
        </w:rPr>
        <w:t>ierten</w:t>
      </w:r>
      <w:r w:rsidRPr="00264CA5">
        <w:rPr>
          <w:rFonts w:ascii="ITC Avant Garde" w:hAnsi="ITC Avant Garde"/>
          <w:lang w:eastAsia="es-MX"/>
        </w:rPr>
        <w:t xml:space="preserve"> a favor de la Nación, sin perjuicio de que el Instituto Federal de Telecomunicaciones pueda ejercer las atribuciones de verificación, supervisión y, en su caso, sanción que correspondan.</w:t>
      </w:r>
    </w:p>
    <w:p w14:paraId="685784C3" w14:textId="77777777" w:rsidR="00B637A6" w:rsidRDefault="00C24F96" w:rsidP="00B637A6">
      <w:pPr>
        <w:spacing w:before="240" w:line="240" w:lineRule="auto"/>
        <w:jc w:val="both"/>
        <w:rPr>
          <w:rFonts w:ascii="ITC Avant Garde" w:hAnsi="ITC Avant Garde"/>
          <w:lang w:eastAsia="es-MX"/>
        </w:rPr>
      </w:pPr>
      <w:r w:rsidRPr="00264CA5">
        <w:rPr>
          <w:rFonts w:ascii="ITC Avant Garde" w:hAnsi="ITC Avant Garde"/>
          <w:b/>
          <w:lang w:eastAsia="es-MX"/>
        </w:rPr>
        <w:t>TERCER</w:t>
      </w:r>
      <w:r w:rsidR="00CE6AA9" w:rsidRPr="00264CA5">
        <w:rPr>
          <w:rFonts w:ascii="ITC Avant Garde" w:hAnsi="ITC Avant Garde"/>
          <w:b/>
          <w:lang w:eastAsia="es-MX"/>
        </w:rPr>
        <w:t>O.-</w:t>
      </w:r>
      <w:r w:rsidR="00CE6AA9" w:rsidRPr="00264CA5">
        <w:rPr>
          <w:rFonts w:ascii="ITC Avant Garde" w:hAnsi="ITC Avant Garde"/>
          <w:lang w:eastAsia="es-MX"/>
        </w:rPr>
        <w:t xml:space="preserve"> </w:t>
      </w:r>
      <w:r w:rsidR="0048569D" w:rsidRPr="00264CA5">
        <w:rPr>
          <w:rFonts w:ascii="ITC Avant Garde" w:hAnsi="ITC Avant Garde"/>
          <w:lang w:eastAsia="es-MX"/>
        </w:rPr>
        <w:t>No obstante</w:t>
      </w:r>
      <w:r w:rsidR="004B7025" w:rsidRPr="00264CA5">
        <w:rPr>
          <w:rFonts w:ascii="ITC Avant Garde" w:hAnsi="ITC Avant Garde"/>
          <w:lang w:eastAsia="es-MX"/>
        </w:rPr>
        <w:t xml:space="preserve"> lo anterior</w:t>
      </w:r>
      <w:r w:rsidR="0048569D" w:rsidRPr="00264CA5">
        <w:rPr>
          <w:rFonts w:ascii="ITC Avant Garde" w:hAnsi="ITC Avant Garde"/>
          <w:lang w:eastAsia="es-MX"/>
        </w:rPr>
        <w:t xml:space="preserve">, se deja a salvo el derecho </w:t>
      </w:r>
      <w:r w:rsidR="00AE209F" w:rsidRPr="00264CA5">
        <w:rPr>
          <w:rFonts w:ascii="ITC Avant Garde" w:hAnsi="ITC Avant Garde"/>
          <w:lang w:eastAsia="es-MX"/>
        </w:rPr>
        <w:t xml:space="preserve">de </w:t>
      </w:r>
      <w:r w:rsidR="00CE6AA9" w:rsidRPr="00264CA5">
        <w:rPr>
          <w:rFonts w:ascii="ITC Avant Garde" w:hAnsi="ITC Avant Garde"/>
          <w:bCs/>
          <w:color w:val="000000"/>
          <w:lang w:eastAsia="es-MX"/>
        </w:rPr>
        <w:t>l</w:t>
      </w:r>
      <w:r w:rsidR="00B07190" w:rsidRPr="00264CA5">
        <w:rPr>
          <w:rFonts w:ascii="ITC Avant Garde" w:hAnsi="ITC Avant Garde"/>
          <w:bCs/>
          <w:lang w:val="es-ES_tradnl"/>
        </w:rPr>
        <w:t xml:space="preserve">a </w:t>
      </w:r>
      <w:r w:rsidR="00BA021E" w:rsidRPr="00264CA5">
        <w:rPr>
          <w:rFonts w:ascii="ITC Avant Garde" w:hAnsi="ITC Avant Garde"/>
          <w:bCs/>
          <w:lang w:val="es-ES_tradnl"/>
        </w:rPr>
        <w:t xml:space="preserve">Comisión Estatal de Servicios Públicos de Mexicali, </w:t>
      </w:r>
      <w:r w:rsidR="00BA021E">
        <w:rPr>
          <w:rFonts w:ascii="ITC Avant Garde" w:hAnsi="ITC Avant Garde"/>
          <w:bCs/>
          <w:lang w:val="es-ES_tradnl"/>
        </w:rPr>
        <w:t>Organismo Público Descentralizado del Gobierno d</w:t>
      </w:r>
      <w:r w:rsidR="00BA021E" w:rsidRPr="00264CA5">
        <w:rPr>
          <w:rFonts w:ascii="ITC Avant Garde" w:hAnsi="ITC Avant Garde"/>
          <w:bCs/>
          <w:lang w:val="es-ES_tradnl"/>
        </w:rPr>
        <w:t>el Estado de Baja California</w:t>
      </w:r>
      <w:r w:rsidRPr="00264CA5">
        <w:rPr>
          <w:rFonts w:ascii="ITC Avant Garde" w:hAnsi="ITC Avant Garde"/>
          <w:bCs/>
          <w:color w:val="000000"/>
          <w:lang w:eastAsia="es-MX"/>
        </w:rPr>
        <w:t>,</w:t>
      </w:r>
      <w:r w:rsidR="0043461D" w:rsidRPr="00264CA5">
        <w:rPr>
          <w:rFonts w:ascii="ITC Avant Garde" w:hAnsi="ITC Avant Garde"/>
          <w:bCs/>
          <w:color w:val="000000"/>
          <w:lang w:eastAsia="es-MX"/>
        </w:rPr>
        <w:t xml:space="preserve"> </w:t>
      </w:r>
      <w:r w:rsidR="00AE209F" w:rsidRPr="00264CA5">
        <w:rPr>
          <w:rFonts w:ascii="ITC Avant Garde" w:hAnsi="ITC Avant Garde"/>
          <w:bCs/>
          <w:color w:val="000000"/>
          <w:lang w:eastAsia="es-MX"/>
        </w:rPr>
        <w:t>para</w:t>
      </w:r>
      <w:r w:rsidRPr="00264CA5">
        <w:rPr>
          <w:rFonts w:ascii="ITC Avant Garde" w:hAnsi="ITC Avant Garde"/>
          <w:lang w:eastAsia="es-MX"/>
        </w:rPr>
        <w:t xml:space="preserve"> presentar al Instituto Federal de Telecomunicaciones </w:t>
      </w:r>
      <w:r w:rsidR="00BA021E">
        <w:rPr>
          <w:rFonts w:ascii="ITC Avant Garde" w:hAnsi="ITC Avant Garde"/>
          <w:lang w:eastAsia="es-MX"/>
        </w:rPr>
        <w:t>una</w:t>
      </w:r>
      <w:r w:rsidR="00BA021E" w:rsidRPr="00264CA5">
        <w:rPr>
          <w:rFonts w:ascii="ITC Avant Garde" w:hAnsi="ITC Avant Garde"/>
          <w:lang w:eastAsia="es-MX"/>
        </w:rPr>
        <w:t xml:space="preserve"> </w:t>
      </w:r>
      <w:r w:rsidRPr="00264CA5">
        <w:rPr>
          <w:rFonts w:ascii="ITC Avant Garde" w:hAnsi="ITC Avant Garde"/>
          <w:lang w:eastAsia="es-MX"/>
        </w:rPr>
        <w:t>solicitud de</w:t>
      </w:r>
      <w:r w:rsidR="0048569D" w:rsidRPr="00264CA5">
        <w:rPr>
          <w:rFonts w:ascii="ITC Avant Garde" w:hAnsi="ITC Avant Garde"/>
          <w:lang w:eastAsia="es-MX"/>
        </w:rPr>
        <w:t xml:space="preserve"> concesión de bandas de frecuencias del espectro</w:t>
      </w:r>
      <w:r w:rsidR="00592E89" w:rsidRPr="00264CA5">
        <w:rPr>
          <w:rFonts w:ascii="ITC Avant Garde" w:hAnsi="ITC Avant Garde"/>
          <w:lang w:eastAsia="es-MX"/>
        </w:rPr>
        <w:t xml:space="preserve"> </w:t>
      </w:r>
      <w:r w:rsidR="0048569D" w:rsidRPr="00264CA5">
        <w:rPr>
          <w:rFonts w:ascii="ITC Avant Garde" w:hAnsi="ITC Avant Garde"/>
          <w:lang w:eastAsia="es-MX"/>
        </w:rPr>
        <w:t xml:space="preserve">radioeléctrico </w:t>
      </w:r>
      <w:r w:rsidR="00CE6AA9" w:rsidRPr="00264CA5">
        <w:rPr>
          <w:rFonts w:ascii="ITC Avant Garde" w:hAnsi="ITC Avant Garde"/>
          <w:lang w:eastAsia="es-MX"/>
        </w:rPr>
        <w:t>para</w:t>
      </w:r>
      <w:r w:rsidR="0048569D" w:rsidRPr="00264CA5">
        <w:rPr>
          <w:rFonts w:ascii="ITC Avant Garde" w:hAnsi="ITC Avant Garde"/>
          <w:lang w:eastAsia="es-MX"/>
        </w:rPr>
        <w:t xml:space="preserve"> uso público, en términos de lo dispuesto </w:t>
      </w:r>
      <w:r w:rsidRPr="00264CA5">
        <w:rPr>
          <w:rFonts w:ascii="ITC Avant Garde" w:hAnsi="ITC Avant Garde"/>
          <w:lang w:eastAsia="es-MX"/>
        </w:rPr>
        <w:t xml:space="preserve">por </w:t>
      </w:r>
      <w:r w:rsidR="0048569D" w:rsidRPr="00264CA5">
        <w:rPr>
          <w:rFonts w:ascii="ITC Avant Garde" w:hAnsi="ITC Avant Garde"/>
          <w:lang w:eastAsia="es-MX"/>
        </w:rPr>
        <w:t>la Ley Federal de Telecomunicaciones y Radiodifusión</w:t>
      </w:r>
      <w:r w:rsidR="00CE6AA9" w:rsidRPr="00264CA5">
        <w:rPr>
          <w:rFonts w:ascii="ITC Avant Garde" w:hAnsi="ITC Avant Garde"/>
          <w:lang w:eastAsia="es-MX"/>
        </w:rPr>
        <w:t xml:space="preserve"> y </w:t>
      </w:r>
      <w:r w:rsidR="00BA021E">
        <w:rPr>
          <w:rFonts w:ascii="ITC Avant Garde" w:hAnsi="ITC Avant Garde"/>
          <w:lang w:eastAsia="es-MX"/>
        </w:rPr>
        <w:t>por</w:t>
      </w:r>
      <w:r w:rsidR="00BA021E" w:rsidRPr="00264CA5">
        <w:rPr>
          <w:rFonts w:ascii="ITC Avant Garde" w:hAnsi="ITC Avant Garde"/>
          <w:lang w:eastAsia="es-MX"/>
        </w:rPr>
        <w:t xml:space="preserve"> </w:t>
      </w:r>
      <w:r w:rsidR="00CE6AA9" w:rsidRPr="00264CA5">
        <w:rPr>
          <w:rFonts w:ascii="ITC Avant Garde" w:hAnsi="ITC Avant Garde"/>
          <w:lang w:eastAsia="es-MX"/>
        </w:rPr>
        <w:t xml:space="preserve">los </w:t>
      </w:r>
      <w:r w:rsidRPr="00264CA5">
        <w:rPr>
          <w:rFonts w:ascii="ITC Avant Garde" w:hAnsi="ITC Avant Garde"/>
          <w:lang w:eastAsia="es-MX"/>
        </w:rPr>
        <w:t>“</w:t>
      </w:r>
      <w:r w:rsidR="00CE6AA9" w:rsidRPr="00264CA5">
        <w:rPr>
          <w:rFonts w:ascii="ITC Avant Garde" w:hAnsi="ITC Avant Garde"/>
          <w:i/>
          <w:lang w:eastAsia="es-MX"/>
        </w:rPr>
        <w:t xml:space="preserve">Lineamientos generales para el otorgamiento </w:t>
      </w:r>
      <w:r w:rsidR="00502AD0" w:rsidRPr="00264CA5">
        <w:rPr>
          <w:rFonts w:ascii="ITC Avant Garde" w:hAnsi="ITC Avant Garde"/>
          <w:i/>
          <w:lang w:eastAsia="es-MX"/>
        </w:rPr>
        <w:t>de las concesiones a que se refiere el título cuarto de la Ley Federal de Telecomunicaciones y Radiodifusión</w:t>
      </w:r>
      <w:r w:rsidRPr="00264CA5">
        <w:rPr>
          <w:rFonts w:ascii="ITC Avant Garde" w:hAnsi="ITC Avant Garde"/>
          <w:lang w:eastAsia="es-MX"/>
        </w:rPr>
        <w:t>”, publicados en el Diario Oficial de la Federación el 24 de julio de 2015.</w:t>
      </w:r>
    </w:p>
    <w:p w14:paraId="4011D2AE" w14:textId="77777777" w:rsidR="00B637A6" w:rsidRDefault="00502AD0" w:rsidP="00B637A6">
      <w:pPr>
        <w:spacing w:before="240" w:line="240" w:lineRule="auto"/>
        <w:jc w:val="both"/>
        <w:rPr>
          <w:rFonts w:ascii="ITC Avant Garde" w:hAnsi="ITC Avant Garde"/>
          <w:bCs/>
        </w:rPr>
      </w:pPr>
      <w:r w:rsidRPr="00264CA5">
        <w:rPr>
          <w:rFonts w:ascii="ITC Avant Garde" w:hAnsi="ITC Avant Garde"/>
          <w:b/>
          <w:bCs/>
        </w:rPr>
        <w:t>CUARTO</w:t>
      </w:r>
      <w:r w:rsidR="005E2324" w:rsidRPr="00264CA5">
        <w:rPr>
          <w:rFonts w:ascii="ITC Avant Garde" w:hAnsi="ITC Avant Garde"/>
          <w:b/>
          <w:bCs/>
        </w:rPr>
        <w:t xml:space="preserve">.- </w:t>
      </w:r>
      <w:r w:rsidR="005E2324" w:rsidRPr="00264CA5">
        <w:rPr>
          <w:rFonts w:ascii="ITC Avant Garde" w:hAnsi="ITC Avant Garde"/>
          <w:bCs/>
        </w:rPr>
        <w:t>Se instruye a la</w:t>
      </w:r>
      <w:r w:rsidRPr="00264CA5">
        <w:rPr>
          <w:rFonts w:ascii="ITC Avant Garde" w:hAnsi="ITC Avant Garde"/>
          <w:bCs/>
        </w:rPr>
        <w:t xml:space="preserve"> Unidad de Concesiones y Servicios</w:t>
      </w:r>
      <w:r w:rsidR="005E2324" w:rsidRPr="00264CA5">
        <w:rPr>
          <w:rFonts w:ascii="ITC Avant Garde" w:hAnsi="ITC Avant Garde"/>
          <w:bCs/>
        </w:rPr>
        <w:t xml:space="preserve"> a hacer del conocimiento </w:t>
      </w:r>
      <w:r w:rsidR="00694010" w:rsidRPr="00264CA5">
        <w:rPr>
          <w:rFonts w:ascii="ITC Avant Garde" w:hAnsi="ITC Avant Garde"/>
          <w:bCs/>
        </w:rPr>
        <w:t>de</w:t>
      </w:r>
      <w:r w:rsidR="00F623E6" w:rsidRPr="00264CA5">
        <w:rPr>
          <w:rFonts w:ascii="ITC Avant Garde" w:hAnsi="ITC Avant Garde"/>
          <w:bCs/>
        </w:rPr>
        <w:t xml:space="preserve"> </w:t>
      </w:r>
      <w:r w:rsidR="00341CE9" w:rsidRPr="00264CA5">
        <w:rPr>
          <w:rFonts w:ascii="ITC Avant Garde" w:hAnsi="ITC Avant Garde"/>
          <w:bCs/>
          <w:color w:val="000000"/>
          <w:lang w:eastAsia="es-MX"/>
        </w:rPr>
        <w:t xml:space="preserve">la </w:t>
      </w:r>
      <w:r w:rsidR="00BA021E" w:rsidRPr="00264CA5">
        <w:rPr>
          <w:rFonts w:ascii="ITC Avant Garde" w:hAnsi="ITC Avant Garde"/>
          <w:bCs/>
          <w:lang w:val="es-ES_tradnl"/>
        </w:rPr>
        <w:t xml:space="preserve">Comisión Estatal de Servicios Públicos de Mexicali, </w:t>
      </w:r>
      <w:r w:rsidR="00BA021E">
        <w:rPr>
          <w:rFonts w:ascii="ITC Avant Garde" w:hAnsi="ITC Avant Garde"/>
          <w:bCs/>
          <w:lang w:val="es-ES_tradnl"/>
        </w:rPr>
        <w:t>Organismo Público Descentralizado del Gobierno d</w:t>
      </w:r>
      <w:r w:rsidR="00BA021E" w:rsidRPr="00264CA5">
        <w:rPr>
          <w:rFonts w:ascii="ITC Avant Garde" w:hAnsi="ITC Avant Garde"/>
          <w:bCs/>
          <w:lang w:val="es-ES_tradnl"/>
        </w:rPr>
        <w:t>el Estado de Baja California</w:t>
      </w:r>
      <w:r w:rsidR="00C45424" w:rsidRPr="00264CA5">
        <w:rPr>
          <w:rFonts w:ascii="ITC Avant Garde" w:hAnsi="ITC Avant Garde"/>
          <w:bCs/>
        </w:rPr>
        <w:t xml:space="preserve">, </w:t>
      </w:r>
      <w:r w:rsidR="00BA021E">
        <w:rPr>
          <w:rFonts w:ascii="ITC Avant Garde" w:hAnsi="ITC Avant Garde"/>
          <w:bCs/>
        </w:rPr>
        <w:t>el contenido de la presente Resolución</w:t>
      </w:r>
      <w:r w:rsidR="005E2324" w:rsidRPr="00264CA5">
        <w:rPr>
          <w:rFonts w:ascii="ITC Avant Garde" w:hAnsi="ITC Avant Garde"/>
          <w:bCs/>
        </w:rPr>
        <w:t>.</w:t>
      </w:r>
    </w:p>
    <w:p w14:paraId="64CA5AF3" w14:textId="77777777" w:rsidR="00B637A6" w:rsidRDefault="00D577EF" w:rsidP="00B637A6">
      <w:pPr>
        <w:spacing w:before="240" w:line="240" w:lineRule="auto"/>
        <w:jc w:val="both"/>
        <w:rPr>
          <w:rFonts w:ascii="ITC Avant Garde" w:hAnsi="ITC Avant Garde"/>
          <w:bCs/>
        </w:rPr>
      </w:pPr>
      <w:r w:rsidRPr="00264CA5">
        <w:rPr>
          <w:rFonts w:ascii="ITC Avant Garde" w:hAnsi="ITC Avant Garde"/>
          <w:b/>
          <w:bCs/>
        </w:rPr>
        <w:t>QUINT</w:t>
      </w:r>
      <w:r w:rsidR="0042481D" w:rsidRPr="00264CA5">
        <w:rPr>
          <w:rFonts w:ascii="ITC Avant Garde" w:hAnsi="ITC Avant Garde"/>
          <w:b/>
          <w:bCs/>
        </w:rPr>
        <w:t>O</w:t>
      </w:r>
      <w:r w:rsidR="005E2324" w:rsidRPr="00264CA5">
        <w:rPr>
          <w:rFonts w:ascii="ITC Avant Garde" w:hAnsi="ITC Avant Garde"/>
          <w:b/>
          <w:bCs/>
        </w:rPr>
        <w:t xml:space="preserve">.- </w:t>
      </w:r>
      <w:r w:rsidR="005E2324" w:rsidRPr="00264CA5">
        <w:rPr>
          <w:rFonts w:ascii="ITC Avant Garde" w:hAnsi="ITC Avant Garde"/>
          <w:bCs/>
        </w:rPr>
        <w:t>Se instruye a la Unidad de Concesiones y Servicios a tomar nota en el Registro Público de Concesiones de la negativa de la prórroga de vigencia de la</w:t>
      </w:r>
      <w:r w:rsidR="00F244E2" w:rsidRPr="00264CA5">
        <w:rPr>
          <w:rFonts w:ascii="ITC Avant Garde" w:hAnsi="ITC Avant Garde"/>
          <w:bCs/>
        </w:rPr>
        <w:t>s</w:t>
      </w:r>
      <w:r w:rsidR="00694010" w:rsidRPr="00264CA5">
        <w:rPr>
          <w:rFonts w:ascii="ITC Avant Garde" w:hAnsi="ITC Avant Garde"/>
          <w:bCs/>
        </w:rPr>
        <w:t xml:space="preserve"> </w:t>
      </w:r>
      <w:r w:rsidR="00F46B79" w:rsidRPr="00264CA5">
        <w:rPr>
          <w:rFonts w:ascii="ITC Avant Garde" w:hAnsi="ITC Avant Garde"/>
          <w:bCs/>
        </w:rPr>
        <w:t>a</w:t>
      </w:r>
      <w:r w:rsidR="00694010" w:rsidRPr="00264CA5">
        <w:rPr>
          <w:rFonts w:ascii="ITC Avant Garde" w:hAnsi="ITC Avant Garde"/>
          <w:bCs/>
        </w:rPr>
        <w:t>signaci</w:t>
      </w:r>
      <w:r w:rsidR="00F244E2" w:rsidRPr="00264CA5">
        <w:rPr>
          <w:rFonts w:ascii="ITC Avant Garde" w:hAnsi="ITC Avant Garde"/>
          <w:bCs/>
        </w:rPr>
        <w:t>ones</w:t>
      </w:r>
      <w:r w:rsidR="005E2324" w:rsidRPr="00264CA5">
        <w:rPr>
          <w:rFonts w:ascii="ITC Avant Garde" w:hAnsi="ITC Avant Garde"/>
          <w:bCs/>
        </w:rPr>
        <w:t xml:space="preserve"> señalada</w:t>
      </w:r>
      <w:r w:rsidR="00F244E2" w:rsidRPr="00264CA5">
        <w:rPr>
          <w:rFonts w:ascii="ITC Avant Garde" w:hAnsi="ITC Avant Garde"/>
          <w:bCs/>
        </w:rPr>
        <w:t>s</w:t>
      </w:r>
      <w:r w:rsidR="005E2324" w:rsidRPr="00264CA5">
        <w:rPr>
          <w:rFonts w:ascii="ITC Avant Garde" w:hAnsi="ITC Avant Garde"/>
          <w:bCs/>
        </w:rPr>
        <w:t xml:space="preserve"> en el Resolutivo Primero de la Presente Resolución.</w:t>
      </w:r>
    </w:p>
    <w:p w14:paraId="5BE7B359" w14:textId="77777777" w:rsidR="00B637A6" w:rsidRDefault="008461E2" w:rsidP="00B637A6">
      <w:pPr>
        <w:autoSpaceDE w:val="0"/>
        <w:autoSpaceDN w:val="0"/>
        <w:adjustRightInd w:val="0"/>
        <w:spacing w:before="240" w:line="240" w:lineRule="auto"/>
        <w:jc w:val="both"/>
        <w:rPr>
          <w:rFonts w:ascii="ITC Avant Garde" w:hAnsi="ITC Avant Garde"/>
          <w:bCs/>
        </w:rPr>
      </w:pPr>
      <w:r w:rsidRPr="00B637A6">
        <w:rPr>
          <w:rFonts w:ascii="ITC Avant Garde" w:hAnsi="ITC Avant Garde"/>
          <w:b/>
          <w:bCs/>
        </w:rPr>
        <w:lastRenderedPageBreak/>
        <w:t>SEXTO</w:t>
      </w:r>
      <w:r w:rsidR="00131691" w:rsidRPr="00B637A6">
        <w:rPr>
          <w:rFonts w:ascii="ITC Avant Garde" w:hAnsi="ITC Avant Garde"/>
          <w:b/>
          <w:bCs/>
        </w:rPr>
        <w:t>.</w:t>
      </w:r>
      <w:r w:rsidR="00F01FA9" w:rsidRPr="00B637A6">
        <w:rPr>
          <w:rFonts w:ascii="ITC Avant Garde" w:hAnsi="ITC Avant Garde"/>
          <w:b/>
          <w:bCs/>
        </w:rPr>
        <w:t>-</w:t>
      </w:r>
      <w:r w:rsidR="007A6C80" w:rsidRPr="00B637A6">
        <w:rPr>
          <w:rFonts w:ascii="ITC Avant Garde" w:hAnsi="ITC Avant Garde"/>
          <w:b/>
          <w:bCs/>
        </w:rPr>
        <w:t xml:space="preserve"> </w:t>
      </w:r>
      <w:r w:rsidR="007A6C80" w:rsidRPr="00B637A6">
        <w:rPr>
          <w:rFonts w:ascii="ITC Avant Garde" w:hAnsi="ITC Avant Garde"/>
          <w:bCs/>
        </w:rPr>
        <w:t>Se instruye a la Secretaría Técnica del Pleno notificar el contenido de la presente Resolución a la Unidad de Espectro Radioeléctrico y a la Unidad de Cumplimiento, para los efectos conducentes.</w:t>
      </w:r>
    </w:p>
    <w:p w14:paraId="17F15511" w14:textId="05CE7192" w:rsidR="00B637A6" w:rsidRDefault="008461E2" w:rsidP="00B637A6">
      <w:pPr>
        <w:autoSpaceDE w:val="0"/>
        <w:autoSpaceDN w:val="0"/>
        <w:adjustRightInd w:val="0"/>
        <w:spacing w:before="240" w:line="240" w:lineRule="auto"/>
        <w:jc w:val="both"/>
        <w:rPr>
          <w:rFonts w:ascii="ITC Avant Garde" w:hAnsi="ITC Avant Garde"/>
          <w:bCs/>
        </w:rPr>
      </w:pPr>
      <w:r w:rsidRPr="007A6C80">
        <w:rPr>
          <w:rFonts w:ascii="ITC Avant Garde" w:hAnsi="ITC Avant Garde"/>
          <w:b/>
          <w:bCs/>
        </w:rPr>
        <w:t>SÉPTIMO</w:t>
      </w:r>
      <w:r w:rsidR="007A6C80">
        <w:rPr>
          <w:rFonts w:ascii="ITC Avant Garde" w:hAnsi="ITC Avant Garde"/>
          <w:b/>
          <w:bCs/>
        </w:rPr>
        <w:t>.</w:t>
      </w:r>
      <w:r w:rsidR="00F01FA9">
        <w:rPr>
          <w:rFonts w:ascii="ITC Avant Garde" w:hAnsi="ITC Avant Garde"/>
          <w:b/>
          <w:bCs/>
        </w:rPr>
        <w:t>-</w:t>
      </w:r>
      <w:r w:rsidRPr="00264CA5">
        <w:rPr>
          <w:rFonts w:ascii="ITC Avant Garde" w:hAnsi="ITC Avant Garde"/>
          <w:bCs/>
        </w:rPr>
        <w:t xml:space="preserve"> </w:t>
      </w:r>
      <w:r w:rsidR="007A6C80" w:rsidRPr="007A6C80">
        <w:rPr>
          <w:rFonts w:ascii="ITC Avant Garde" w:hAnsi="ITC Avant Garde"/>
          <w:bCs/>
        </w:rPr>
        <w:t xml:space="preserve">En cumplimiento a lo dispuesto en los artículos 3 fracción XV y 39 de la Ley Federal de Procedimiento Administrativo, se hace del conocimiento de </w:t>
      </w:r>
      <w:r w:rsidR="007A6C80" w:rsidRPr="007A6C80">
        <w:rPr>
          <w:rFonts w:ascii="ITC Avant Garde" w:hAnsi="ITC Avant Garde"/>
          <w:bCs/>
          <w:lang w:val="es-ES_tradnl"/>
        </w:rPr>
        <w:t>la Comisión Estatal de Servicios Públicos de Mexicali, Organismo Descentralizado del Gobierno del Estado de Baja California</w:t>
      </w:r>
      <w:r w:rsidR="00FB5FD8">
        <w:rPr>
          <w:rFonts w:ascii="ITC Avant Garde" w:hAnsi="ITC Avant Garde"/>
          <w:bCs/>
          <w:lang w:val="es-ES_tradnl"/>
        </w:rPr>
        <w:t>,</w:t>
      </w:r>
      <w:r w:rsidR="007A6C80" w:rsidRPr="007A6C80">
        <w:rPr>
          <w:rFonts w:ascii="ITC Avant Garde" w:hAnsi="ITC Avant Garde"/>
          <w:bCs/>
        </w:rPr>
        <w:t xml:space="preserve"> </w:t>
      </w:r>
      <w:r w:rsidR="00BA021E">
        <w:rPr>
          <w:rFonts w:ascii="ITC Avant Garde" w:hAnsi="ITC Avant Garde"/>
          <w:bCs/>
        </w:rPr>
        <w:t>que</w:t>
      </w:r>
      <w:r w:rsidR="007A6C80" w:rsidRPr="007A6C80">
        <w:rPr>
          <w:rFonts w:ascii="ITC Avant Garde" w:hAnsi="ITC Avant Garde"/>
          <w:bCs/>
        </w:rPr>
        <w:t xml:space="preserve"> </w:t>
      </w:r>
      <w:r w:rsidR="00FB5FD8">
        <w:rPr>
          <w:rFonts w:ascii="ITC Avant Garde" w:hAnsi="ITC Avant Garde"/>
          <w:bCs/>
        </w:rPr>
        <w:t xml:space="preserve">la </w:t>
      </w:r>
      <w:r w:rsidR="007A6C80" w:rsidRPr="007A6C80">
        <w:rPr>
          <w:rFonts w:ascii="ITC Avant Garde" w:hAnsi="ITC Avant Garde"/>
          <w:bCs/>
        </w:rPr>
        <w:t xml:space="preserve">presente Resolución constituye un acto administrativo definitivo y por lo tanto, de conformidad con lo dispuesto en los artículos 28 de la Constitución Política de los Estados Unidos Mexicanos y 312 de la Ley Federal de Telecomunicaciones y Radiodifusión,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quince días hábiles contados a partir de que surta efectos la notificación de la presente </w:t>
      </w:r>
      <w:r w:rsidR="00190FA5">
        <w:rPr>
          <w:rFonts w:ascii="ITC Avant Garde" w:hAnsi="ITC Avant Garde"/>
          <w:bCs/>
        </w:rPr>
        <w:t>R</w:t>
      </w:r>
      <w:r w:rsidR="007A6C80" w:rsidRPr="007A6C80">
        <w:rPr>
          <w:rFonts w:ascii="ITC Avant Garde" w:hAnsi="ITC Avant Garde"/>
          <w:bCs/>
        </w:rPr>
        <w:t>esolución, en términos del artículo 17 de la Ley de Amparo, Reglamentaria de los artículos 103 y 107 de la Constitución Política de los Estados Unidos Mexicanos.</w:t>
      </w:r>
    </w:p>
    <w:p w14:paraId="7570A0FC" w14:textId="78A1136F" w:rsidR="004819F2" w:rsidRPr="00B637A6" w:rsidRDefault="00AD1D2B" w:rsidP="00B637A6">
      <w:pPr>
        <w:spacing w:before="240" w:line="240" w:lineRule="auto"/>
        <w:jc w:val="both"/>
        <w:rPr>
          <w:rFonts w:ascii="ITC Avant Garde" w:hAnsi="ITC Avant Garde" w:cs="Tahoma"/>
          <w:bCs/>
          <w:sz w:val="14"/>
          <w:szCs w:val="14"/>
        </w:rPr>
      </w:pPr>
      <w:r w:rsidRPr="00AD1D2B">
        <w:rPr>
          <w:rFonts w:ascii="ITC Avant Garde" w:hAnsi="ITC Avant Garde" w:cs="Tahoma"/>
          <w:bCs/>
          <w:sz w:val="14"/>
          <w:szCs w:val="14"/>
        </w:rPr>
        <w:t>La presente Resolución fue aprobada por el Pleno del Instituto Federal de Telecomunicaciones en su I Sesión Ordinaria celebrada el 16 de enero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P/IFT/160117/4.</w:t>
      </w:r>
    </w:p>
    <w:sectPr w:rsidR="004819F2" w:rsidRPr="00B637A6" w:rsidSect="009C4434">
      <w:pgSz w:w="12240" w:h="15840"/>
      <w:pgMar w:top="2127" w:right="1418" w:bottom="993" w:left="1418" w:header="709" w:footer="3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D8EEA" w14:textId="77777777" w:rsidR="00E55C94" w:rsidRDefault="00E55C94" w:rsidP="00072BC8">
      <w:pPr>
        <w:spacing w:after="0" w:line="240" w:lineRule="auto"/>
      </w:pPr>
      <w:r>
        <w:separator/>
      </w:r>
    </w:p>
  </w:endnote>
  <w:endnote w:type="continuationSeparator" w:id="0">
    <w:p w14:paraId="29423F78" w14:textId="77777777" w:rsidR="00E55C94" w:rsidRDefault="00E55C94"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F3C1D" w14:textId="4584EAFB" w:rsidR="00BE54AF" w:rsidRPr="00BB6F2E" w:rsidRDefault="00E41316" w:rsidP="00BB6F2E">
    <w:pPr>
      <w:ind w:left="5670" w:right="49"/>
      <w:jc w:val="right"/>
      <w:rPr>
        <w:rFonts w:ascii="ITC Avant Garde" w:hAnsi="ITC Avant Garde" w:cs="Calibri"/>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7A4A4F">
      <w:rPr>
        <w:rFonts w:ascii="ITC Avant Garde" w:hAnsi="ITC Avant Garde" w:cs="Calibri"/>
        <w:noProof/>
        <w:sz w:val="18"/>
        <w:szCs w:val="18"/>
      </w:rPr>
      <w:t>9</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A134C" w14:textId="77777777" w:rsidR="00E55C94" w:rsidRDefault="00E55C94" w:rsidP="00072BC8">
      <w:pPr>
        <w:spacing w:after="0" w:line="240" w:lineRule="auto"/>
      </w:pPr>
      <w:r>
        <w:separator/>
      </w:r>
    </w:p>
  </w:footnote>
  <w:footnote w:type="continuationSeparator" w:id="0">
    <w:p w14:paraId="76C85FB1" w14:textId="77777777" w:rsidR="00E55C94" w:rsidRDefault="00E55C94"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E41316" w:rsidRDefault="00E55C94">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E41316" w:rsidRPr="000F5E4B" w:rsidRDefault="00E55C94">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CFF"/>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E51FF"/>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5FF2EEA"/>
    <w:multiLevelType w:val="hybridMultilevel"/>
    <w:tmpl w:val="DBAE1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EE7362"/>
    <w:multiLevelType w:val="hybridMultilevel"/>
    <w:tmpl w:val="CD942F12"/>
    <w:lvl w:ilvl="0" w:tplc="141CDD56">
      <w:start w:val="1"/>
      <w:numFmt w:val="upperRoman"/>
      <w:lvlText w:val="%1."/>
      <w:lvlJc w:val="left"/>
      <w:pPr>
        <w:ind w:left="6958"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49B14584"/>
    <w:multiLevelType w:val="hybridMultilevel"/>
    <w:tmpl w:val="5E3C9DDC"/>
    <w:lvl w:ilvl="0" w:tplc="746CF10A">
      <w:start w:val="1"/>
      <w:numFmt w:val="upperRoman"/>
      <w:lvlText w:val="%1."/>
      <w:lvlJc w:val="right"/>
      <w:pPr>
        <w:ind w:left="1429" w:hanging="360"/>
      </w:pPr>
      <w:rPr>
        <w:b/>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E6032B"/>
    <w:multiLevelType w:val="hybridMultilevel"/>
    <w:tmpl w:val="E98EB4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DD10691"/>
    <w:multiLevelType w:val="hybridMultilevel"/>
    <w:tmpl w:val="D0C4A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E8A4C6F"/>
    <w:multiLevelType w:val="hybridMultilevel"/>
    <w:tmpl w:val="995E2188"/>
    <w:lvl w:ilvl="0" w:tplc="DC66DB16">
      <w:start w:val="1"/>
      <w:numFmt w:val="lowerLetter"/>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6"/>
  </w:num>
  <w:num w:numId="5">
    <w:abstractNumId w:val="11"/>
  </w:num>
  <w:num w:numId="6">
    <w:abstractNumId w:val="7"/>
  </w:num>
  <w:num w:numId="7">
    <w:abstractNumId w:val="10"/>
  </w:num>
  <w:num w:numId="8">
    <w:abstractNumId w:val="2"/>
  </w:num>
  <w:num w:numId="9">
    <w:abstractNumId w:val="12"/>
  </w:num>
  <w:num w:numId="10">
    <w:abstractNumId w:val="14"/>
  </w:num>
  <w:num w:numId="11">
    <w:abstractNumId w:val="5"/>
  </w:num>
  <w:num w:numId="12">
    <w:abstractNumId w:val="13"/>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1508"/>
    <w:rsid w:val="0000341D"/>
    <w:rsid w:val="00004279"/>
    <w:rsid w:val="00007B4B"/>
    <w:rsid w:val="00010825"/>
    <w:rsid w:val="000116D0"/>
    <w:rsid w:val="00011FCA"/>
    <w:rsid w:val="00014EFF"/>
    <w:rsid w:val="000154B0"/>
    <w:rsid w:val="0001644A"/>
    <w:rsid w:val="000173C1"/>
    <w:rsid w:val="00020418"/>
    <w:rsid w:val="00022FDF"/>
    <w:rsid w:val="0002471D"/>
    <w:rsid w:val="00024D9A"/>
    <w:rsid w:val="00024F70"/>
    <w:rsid w:val="000328D4"/>
    <w:rsid w:val="00032C66"/>
    <w:rsid w:val="00034C6E"/>
    <w:rsid w:val="00037344"/>
    <w:rsid w:val="00037D31"/>
    <w:rsid w:val="000417D2"/>
    <w:rsid w:val="00042A05"/>
    <w:rsid w:val="0004366E"/>
    <w:rsid w:val="00043876"/>
    <w:rsid w:val="000448E7"/>
    <w:rsid w:val="000500D9"/>
    <w:rsid w:val="00053018"/>
    <w:rsid w:val="0005470B"/>
    <w:rsid w:val="00062C40"/>
    <w:rsid w:val="00066588"/>
    <w:rsid w:val="00067345"/>
    <w:rsid w:val="00072221"/>
    <w:rsid w:val="00072BC8"/>
    <w:rsid w:val="00072D11"/>
    <w:rsid w:val="00073545"/>
    <w:rsid w:val="000740A0"/>
    <w:rsid w:val="00074C09"/>
    <w:rsid w:val="00075C57"/>
    <w:rsid w:val="00077A21"/>
    <w:rsid w:val="00077AE9"/>
    <w:rsid w:val="00082746"/>
    <w:rsid w:val="000833B0"/>
    <w:rsid w:val="000837C7"/>
    <w:rsid w:val="00084EF7"/>
    <w:rsid w:val="00085181"/>
    <w:rsid w:val="00087676"/>
    <w:rsid w:val="000922C3"/>
    <w:rsid w:val="00093935"/>
    <w:rsid w:val="0009733D"/>
    <w:rsid w:val="000A0DA1"/>
    <w:rsid w:val="000A0F2F"/>
    <w:rsid w:val="000A22CB"/>
    <w:rsid w:val="000A3E65"/>
    <w:rsid w:val="000A6AB3"/>
    <w:rsid w:val="000B0454"/>
    <w:rsid w:val="000B109B"/>
    <w:rsid w:val="000B1B50"/>
    <w:rsid w:val="000B33CB"/>
    <w:rsid w:val="000B799A"/>
    <w:rsid w:val="000B7FD1"/>
    <w:rsid w:val="000C0163"/>
    <w:rsid w:val="000C474A"/>
    <w:rsid w:val="000C4C55"/>
    <w:rsid w:val="000C5627"/>
    <w:rsid w:val="000C7F55"/>
    <w:rsid w:val="000D58BE"/>
    <w:rsid w:val="000E0D87"/>
    <w:rsid w:val="000E1128"/>
    <w:rsid w:val="000E1AED"/>
    <w:rsid w:val="000E293C"/>
    <w:rsid w:val="000E5818"/>
    <w:rsid w:val="000E588F"/>
    <w:rsid w:val="000F093A"/>
    <w:rsid w:val="000F17C7"/>
    <w:rsid w:val="000F17CF"/>
    <w:rsid w:val="000F30C5"/>
    <w:rsid w:val="000F3F9A"/>
    <w:rsid w:val="000F4D94"/>
    <w:rsid w:val="000F5E4B"/>
    <w:rsid w:val="000F7E03"/>
    <w:rsid w:val="001001FB"/>
    <w:rsid w:val="00100DE3"/>
    <w:rsid w:val="00106523"/>
    <w:rsid w:val="00107B63"/>
    <w:rsid w:val="00112517"/>
    <w:rsid w:val="00112C0E"/>
    <w:rsid w:val="00114E58"/>
    <w:rsid w:val="00115FE9"/>
    <w:rsid w:val="00125F5B"/>
    <w:rsid w:val="001267E5"/>
    <w:rsid w:val="001314A5"/>
    <w:rsid w:val="00131691"/>
    <w:rsid w:val="00131997"/>
    <w:rsid w:val="00134D4D"/>
    <w:rsid w:val="00135F1A"/>
    <w:rsid w:val="00136C0E"/>
    <w:rsid w:val="00137712"/>
    <w:rsid w:val="00141479"/>
    <w:rsid w:val="001425EA"/>
    <w:rsid w:val="00144765"/>
    <w:rsid w:val="0014519B"/>
    <w:rsid w:val="001451F6"/>
    <w:rsid w:val="0014674F"/>
    <w:rsid w:val="0014690C"/>
    <w:rsid w:val="0014766B"/>
    <w:rsid w:val="00147884"/>
    <w:rsid w:val="001512A9"/>
    <w:rsid w:val="00151C5F"/>
    <w:rsid w:val="00153356"/>
    <w:rsid w:val="00156BE9"/>
    <w:rsid w:val="0016540C"/>
    <w:rsid w:val="0016577A"/>
    <w:rsid w:val="001678B8"/>
    <w:rsid w:val="00170967"/>
    <w:rsid w:val="001715C8"/>
    <w:rsid w:val="00174EE8"/>
    <w:rsid w:val="00180ADF"/>
    <w:rsid w:val="00180C08"/>
    <w:rsid w:val="00180E1B"/>
    <w:rsid w:val="00181018"/>
    <w:rsid w:val="00181A19"/>
    <w:rsid w:val="0018355B"/>
    <w:rsid w:val="0018572D"/>
    <w:rsid w:val="00190FA5"/>
    <w:rsid w:val="00193FA8"/>
    <w:rsid w:val="00194699"/>
    <w:rsid w:val="001A3049"/>
    <w:rsid w:val="001A40ED"/>
    <w:rsid w:val="001A58D7"/>
    <w:rsid w:val="001A64C7"/>
    <w:rsid w:val="001A6B6F"/>
    <w:rsid w:val="001B0F1F"/>
    <w:rsid w:val="001B12B0"/>
    <w:rsid w:val="001B3EAD"/>
    <w:rsid w:val="001B447A"/>
    <w:rsid w:val="001B58A1"/>
    <w:rsid w:val="001B5B46"/>
    <w:rsid w:val="001C0213"/>
    <w:rsid w:val="001C085E"/>
    <w:rsid w:val="001C15FF"/>
    <w:rsid w:val="001C17A8"/>
    <w:rsid w:val="001C5C6E"/>
    <w:rsid w:val="001C626F"/>
    <w:rsid w:val="001C71A8"/>
    <w:rsid w:val="001D2B0C"/>
    <w:rsid w:val="001D4B81"/>
    <w:rsid w:val="001D55F5"/>
    <w:rsid w:val="001E10A0"/>
    <w:rsid w:val="001E285C"/>
    <w:rsid w:val="001E4C64"/>
    <w:rsid w:val="001F0289"/>
    <w:rsid w:val="001F0355"/>
    <w:rsid w:val="001F19BE"/>
    <w:rsid w:val="001F631A"/>
    <w:rsid w:val="00202C9D"/>
    <w:rsid w:val="00202E7B"/>
    <w:rsid w:val="00203C02"/>
    <w:rsid w:val="0021465D"/>
    <w:rsid w:val="00214F90"/>
    <w:rsid w:val="00220626"/>
    <w:rsid w:val="00220C0B"/>
    <w:rsid w:val="00221568"/>
    <w:rsid w:val="00224AFA"/>
    <w:rsid w:val="00226F42"/>
    <w:rsid w:val="0022735C"/>
    <w:rsid w:val="0022796A"/>
    <w:rsid w:val="002315C3"/>
    <w:rsid w:val="00232B46"/>
    <w:rsid w:val="002336BC"/>
    <w:rsid w:val="002347BC"/>
    <w:rsid w:val="00234839"/>
    <w:rsid w:val="0023752B"/>
    <w:rsid w:val="00240FF3"/>
    <w:rsid w:val="0024450F"/>
    <w:rsid w:val="00247FA5"/>
    <w:rsid w:val="0025138A"/>
    <w:rsid w:val="00254051"/>
    <w:rsid w:val="00255565"/>
    <w:rsid w:val="00256288"/>
    <w:rsid w:val="00257DE1"/>
    <w:rsid w:val="002601D3"/>
    <w:rsid w:val="00261491"/>
    <w:rsid w:val="00262255"/>
    <w:rsid w:val="0026357D"/>
    <w:rsid w:val="0026440A"/>
    <w:rsid w:val="00264CA5"/>
    <w:rsid w:val="002656A1"/>
    <w:rsid w:val="002661BC"/>
    <w:rsid w:val="002731B7"/>
    <w:rsid w:val="00276D2C"/>
    <w:rsid w:val="002779D1"/>
    <w:rsid w:val="00277BFB"/>
    <w:rsid w:val="00281968"/>
    <w:rsid w:val="00282514"/>
    <w:rsid w:val="0028357E"/>
    <w:rsid w:val="00284213"/>
    <w:rsid w:val="002845B3"/>
    <w:rsid w:val="00285EA2"/>
    <w:rsid w:val="00286D88"/>
    <w:rsid w:val="0028742D"/>
    <w:rsid w:val="002915DF"/>
    <w:rsid w:val="0029343C"/>
    <w:rsid w:val="0029348C"/>
    <w:rsid w:val="002970A0"/>
    <w:rsid w:val="002A3740"/>
    <w:rsid w:val="002A489F"/>
    <w:rsid w:val="002A59DB"/>
    <w:rsid w:val="002B0869"/>
    <w:rsid w:val="002B1203"/>
    <w:rsid w:val="002B35AD"/>
    <w:rsid w:val="002B4F50"/>
    <w:rsid w:val="002B51E5"/>
    <w:rsid w:val="002B593C"/>
    <w:rsid w:val="002B5A81"/>
    <w:rsid w:val="002C2ADC"/>
    <w:rsid w:val="002C2F84"/>
    <w:rsid w:val="002C3B54"/>
    <w:rsid w:val="002C786F"/>
    <w:rsid w:val="002D0F52"/>
    <w:rsid w:val="002D287C"/>
    <w:rsid w:val="002D52BD"/>
    <w:rsid w:val="002D7CFD"/>
    <w:rsid w:val="002E1806"/>
    <w:rsid w:val="002E4A09"/>
    <w:rsid w:val="002F0480"/>
    <w:rsid w:val="002F0963"/>
    <w:rsid w:val="002F6712"/>
    <w:rsid w:val="002F7615"/>
    <w:rsid w:val="003043AE"/>
    <w:rsid w:val="003050F2"/>
    <w:rsid w:val="003072A9"/>
    <w:rsid w:val="003117CB"/>
    <w:rsid w:val="003120FF"/>
    <w:rsid w:val="00315BCE"/>
    <w:rsid w:val="00317D4E"/>
    <w:rsid w:val="00321691"/>
    <w:rsid w:val="00322FE1"/>
    <w:rsid w:val="00323EA9"/>
    <w:rsid w:val="00325D1B"/>
    <w:rsid w:val="00327751"/>
    <w:rsid w:val="00330803"/>
    <w:rsid w:val="003335A6"/>
    <w:rsid w:val="003349D8"/>
    <w:rsid w:val="00335AFE"/>
    <w:rsid w:val="00335F51"/>
    <w:rsid w:val="00336D15"/>
    <w:rsid w:val="00340AF0"/>
    <w:rsid w:val="00341067"/>
    <w:rsid w:val="00341CE9"/>
    <w:rsid w:val="003427C8"/>
    <w:rsid w:val="0034506F"/>
    <w:rsid w:val="00345EE1"/>
    <w:rsid w:val="00350911"/>
    <w:rsid w:val="00353CD8"/>
    <w:rsid w:val="003555E9"/>
    <w:rsid w:val="0035572D"/>
    <w:rsid w:val="00356F08"/>
    <w:rsid w:val="0035785A"/>
    <w:rsid w:val="00362069"/>
    <w:rsid w:val="00363BAD"/>
    <w:rsid w:val="00363D3F"/>
    <w:rsid w:val="0036510C"/>
    <w:rsid w:val="00365E06"/>
    <w:rsid w:val="00366BFA"/>
    <w:rsid w:val="00366C91"/>
    <w:rsid w:val="00370A03"/>
    <w:rsid w:val="00371021"/>
    <w:rsid w:val="00371FF8"/>
    <w:rsid w:val="003737C1"/>
    <w:rsid w:val="003753ED"/>
    <w:rsid w:val="003763E9"/>
    <w:rsid w:val="00377723"/>
    <w:rsid w:val="00377CE9"/>
    <w:rsid w:val="003846C2"/>
    <w:rsid w:val="00385C0C"/>
    <w:rsid w:val="003867B1"/>
    <w:rsid w:val="003876DC"/>
    <w:rsid w:val="00387BAB"/>
    <w:rsid w:val="0039032C"/>
    <w:rsid w:val="00390C9D"/>
    <w:rsid w:val="003919D8"/>
    <w:rsid w:val="003955A5"/>
    <w:rsid w:val="00395886"/>
    <w:rsid w:val="00396565"/>
    <w:rsid w:val="003975B5"/>
    <w:rsid w:val="003A19FB"/>
    <w:rsid w:val="003A1B0D"/>
    <w:rsid w:val="003B036D"/>
    <w:rsid w:val="003B081E"/>
    <w:rsid w:val="003B173B"/>
    <w:rsid w:val="003B22D6"/>
    <w:rsid w:val="003C0605"/>
    <w:rsid w:val="003C1A26"/>
    <w:rsid w:val="003C29D1"/>
    <w:rsid w:val="003C37CF"/>
    <w:rsid w:val="003D0457"/>
    <w:rsid w:val="003D5A24"/>
    <w:rsid w:val="003D6094"/>
    <w:rsid w:val="003E02A7"/>
    <w:rsid w:val="003E20E7"/>
    <w:rsid w:val="003E4054"/>
    <w:rsid w:val="003E4256"/>
    <w:rsid w:val="003E4F3A"/>
    <w:rsid w:val="003E5B75"/>
    <w:rsid w:val="003E5D06"/>
    <w:rsid w:val="003E76BF"/>
    <w:rsid w:val="003F0377"/>
    <w:rsid w:val="003F48D7"/>
    <w:rsid w:val="003F6DC0"/>
    <w:rsid w:val="00401A31"/>
    <w:rsid w:val="00402563"/>
    <w:rsid w:val="00406A05"/>
    <w:rsid w:val="00415E0A"/>
    <w:rsid w:val="00420903"/>
    <w:rsid w:val="00420FA3"/>
    <w:rsid w:val="00422482"/>
    <w:rsid w:val="004229C0"/>
    <w:rsid w:val="0042481D"/>
    <w:rsid w:val="004267E4"/>
    <w:rsid w:val="00427C38"/>
    <w:rsid w:val="004328DA"/>
    <w:rsid w:val="0043301F"/>
    <w:rsid w:val="0043461D"/>
    <w:rsid w:val="004406B7"/>
    <w:rsid w:val="004424A1"/>
    <w:rsid w:val="004447E1"/>
    <w:rsid w:val="004465B1"/>
    <w:rsid w:val="00446858"/>
    <w:rsid w:val="00450A26"/>
    <w:rsid w:val="0045192C"/>
    <w:rsid w:val="004520FE"/>
    <w:rsid w:val="00453E39"/>
    <w:rsid w:val="00454A27"/>
    <w:rsid w:val="00456826"/>
    <w:rsid w:val="0046157A"/>
    <w:rsid w:val="00461DE8"/>
    <w:rsid w:val="004630FD"/>
    <w:rsid w:val="00472259"/>
    <w:rsid w:val="004736E3"/>
    <w:rsid w:val="0047400B"/>
    <w:rsid w:val="004819F2"/>
    <w:rsid w:val="004848FF"/>
    <w:rsid w:val="0048569D"/>
    <w:rsid w:val="00485FA0"/>
    <w:rsid w:val="00487C1A"/>
    <w:rsid w:val="004921B5"/>
    <w:rsid w:val="00493612"/>
    <w:rsid w:val="004959F2"/>
    <w:rsid w:val="004965A6"/>
    <w:rsid w:val="004A142A"/>
    <w:rsid w:val="004A2849"/>
    <w:rsid w:val="004A30FF"/>
    <w:rsid w:val="004A7D36"/>
    <w:rsid w:val="004B066B"/>
    <w:rsid w:val="004B08AA"/>
    <w:rsid w:val="004B17AE"/>
    <w:rsid w:val="004B1A41"/>
    <w:rsid w:val="004B2105"/>
    <w:rsid w:val="004B323F"/>
    <w:rsid w:val="004B3AD0"/>
    <w:rsid w:val="004B569E"/>
    <w:rsid w:val="004B56B1"/>
    <w:rsid w:val="004B5E9C"/>
    <w:rsid w:val="004B7025"/>
    <w:rsid w:val="004B7836"/>
    <w:rsid w:val="004C00EE"/>
    <w:rsid w:val="004C0E44"/>
    <w:rsid w:val="004C0EE0"/>
    <w:rsid w:val="004C249C"/>
    <w:rsid w:val="004C3166"/>
    <w:rsid w:val="004C5730"/>
    <w:rsid w:val="004C7706"/>
    <w:rsid w:val="004D2D15"/>
    <w:rsid w:val="004D3F86"/>
    <w:rsid w:val="004D7684"/>
    <w:rsid w:val="004E0578"/>
    <w:rsid w:val="004E15EF"/>
    <w:rsid w:val="004E4397"/>
    <w:rsid w:val="004F1332"/>
    <w:rsid w:val="004F1AFE"/>
    <w:rsid w:val="004F2F9D"/>
    <w:rsid w:val="004F4E8E"/>
    <w:rsid w:val="004F57DA"/>
    <w:rsid w:val="004F5813"/>
    <w:rsid w:val="004F6A81"/>
    <w:rsid w:val="004F6E26"/>
    <w:rsid w:val="0050163C"/>
    <w:rsid w:val="00502AD0"/>
    <w:rsid w:val="00504FF0"/>
    <w:rsid w:val="005062A1"/>
    <w:rsid w:val="00511A1F"/>
    <w:rsid w:val="0051442A"/>
    <w:rsid w:val="0051488F"/>
    <w:rsid w:val="00517366"/>
    <w:rsid w:val="0052115B"/>
    <w:rsid w:val="005214F4"/>
    <w:rsid w:val="00521B07"/>
    <w:rsid w:val="0052219A"/>
    <w:rsid w:val="00525EB2"/>
    <w:rsid w:val="00526706"/>
    <w:rsid w:val="00526A32"/>
    <w:rsid w:val="00530CD7"/>
    <w:rsid w:val="00530F3C"/>
    <w:rsid w:val="00531444"/>
    <w:rsid w:val="00531726"/>
    <w:rsid w:val="00531873"/>
    <w:rsid w:val="005329D7"/>
    <w:rsid w:val="00535D62"/>
    <w:rsid w:val="005368B0"/>
    <w:rsid w:val="005375DB"/>
    <w:rsid w:val="00541877"/>
    <w:rsid w:val="00542B97"/>
    <w:rsid w:val="00543F7C"/>
    <w:rsid w:val="0054402E"/>
    <w:rsid w:val="005467CE"/>
    <w:rsid w:val="005470D6"/>
    <w:rsid w:val="00553A5F"/>
    <w:rsid w:val="0055497B"/>
    <w:rsid w:val="00557883"/>
    <w:rsid w:val="00560095"/>
    <w:rsid w:val="0056048D"/>
    <w:rsid w:val="00560794"/>
    <w:rsid w:val="00561007"/>
    <w:rsid w:val="0056245E"/>
    <w:rsid w:val="00563A16"/>
    <w:rsid w:val="00563E87"/>
    <w:rsid w:val="00565FD0"/>
    <w:rsid w:val="005678C3"/>
    <w:rsid w:val="00573CE3"/>
    <w:rsid w:val="00577A20"/>
    <w:rsid w:val="005840B5"/>
    <w:rsid w:val="00584E1B"/>
    <w:rsid w:val="005903DD"/>
    <w:rsid w:val="00592E89"/>
    <w:rsid w:val="005A1FD9"/>
    <w:rsid w:val="005A37F6"/>
    <w:rsid w:val="005A5075"/>
    <w:rsid w:val="005B04D3"/>
    <w:rsid w:val="005B061B"/>
    <w:rsid w:val="005B0C52"/>
    <w:rsid w:val="005B100F"/>
    <w:rsid w:val="005B140F"/>
    <w:rsid w:val="005B782D"/>
    <w:rsid w:val="005B7E88"/>
    <w:rsid w:val="005C001A"/>
    <w:rsid w:val="005C086D"/>
    <w:rsid w:val="005C4659"/>
    <w:rsid w:val="005C67F5"/>
    <w:rsid w:val="005D16B2"/>
    <w:rsid w:val="005D1CCE"/>
    <w:rsid w:val="005D3720"/>
    <w:rsid w:val="005D3786"/>
    <w:rsid w:val="005D4A72"/>
    <w:rsid w:val="005D7D7C"/>
    <w:rsid w:val="005E164A"/>
    <w:rsid w:val="005E2324"/>
    <w:rsid w:val="005E4149"/>
    <w:rsid w:val="005E462B"/>
    <w:rsid w:val="005E4F6C"/>
    <w:rsid w:val="005E6F09"/>
    <w:rsid w:val="005F2A3E"/>
    <w:rsid w:val="005F36ED"/>
    <w:rsid w:val="005F48E4"/>
    <w:rsid w:val="005F5B4B"/>
    <w:rsid w:val="005F64A1"/>
    <w:rsid w:val="005F6CC1"/>
    <w:rsid w:val="006051DD"/>
    <w:rsid w:val="006074A5"/>
    <w:rsid w:val="00610A7F"/>
    <w:rsid w:val="00612D26"/>
    <w:rsid w:val="00612D3D"/>
    <w:rsid w:val="006177DE"/>
    <w:rsid w:val="00617CE3"/>
    <w:rsid w:val="00620F75"/>
    <w:rsid w:val="0062270B"/>
    <w:rsid w:val="00624DD9"/>
    <w:rsid w:val="00626607"/>
    <w:rsid w:val="00630196"/>
    <w:rsid w:val="00632357"/>
    <w:rsid w:val="00632FDA"/>
    <w:rsid w:val="0063373A"/>
    <w:rsid w:val="0064321C"/>
    <w:rsid w:val="00644702"/>
    <w:rsid w:val="00644755"/>
    <w:rsid w:val="00646579"/>
    <w:rsid w:val="00650748"/>
    <w:rsid w:val="006527CB"/>
    <w:rsid w:val="00653268"/>
    <w:rsid w:val="00654B24"/>
    <w:rsid w:val="006555AC"/>
    <w:rsid w:val="0066055F"/>
    <w:rsid w:val="00662B2A"/>
    <w:rsid w:val="006657EB"/>
    <w:rsid w:val="00665C06"/>
    <w:rsid w:val="0067323D"/>
    <w:rsid w:val="00674E5F"/>
    <w:rsid w:val="0067717E"/>
    <w:rsid w:val="006802BC"/>
    <w:rsid w:val="0068096E"/>
    <w:rsid w:val="00681FAE"/>
    <w:rsid w:val="0068412C"/>
    <w:rsid w:val="006868CC"/>
    <w:rsid w:val="006902A6"/>
    <w:rsid w:val="00694010"/>
    <w:rsid w:val="006970D0"/>
    <w:rsid w:val="006A26FC"/>
    <w:rsid w:val="006A373C"/>
    <w:rsid w:val="006A38B1"/>
    <w:rsid w:val="006A5F9D"/>
    <w:rsid w:val="006B101C"/>
    <w:rsid w:val="006B191F"/>
    <w:rsid w:val="006B4376"/>
    <w:rsid w:val="006B4777"/>
    <w:rsid w:val="006B6A79"/>
    <w:rsid w:val="006B72B8"/>
    <w:rsid w:val="006C2F94"/>
    <w:rsid w:val="006C37D1"/>
    <w:rsid w:val="006D0D4F"/>
    <w:rsid w:val="006D1830"/>
    <w:rsid w:val="006D21C8"/>
    <w:rsid w:val="006E6BD9"/>
    <w:rsid w:val="006F0632"/>
    <w:rsid w:val="006F197D"/>
    <w:rsid w:val="006F3332"/>
    <w:rsid w:val="0070517C"/>
    <w:rsid w:val="007051C9"/>
    <w:rsid w:val="00710148"/>
    <w:rsid w:val="0071048A"/>
    <w:rsid w:val="00711548"/>
    <w:rsid w:val="0071165B"/>
    <w:rsid w:val="00714A17"/>
    <w:rsid w:val="00716126"/>
    <w:rsid w:val="0072029C"/>
    <w:rsid w:val="007211C1"/>
    <w:rsid w:val="007218EB"/>
    <w:rsid w:val="007218F0"/>
    <w:rsid w:val="0072207F"/>
    <w:rsid w:val="00723B1C"/>
    <w:rsid w:val="00724197"/>
    <w:rsid w:val="007265B7"/>
    <w:rsid w:val="00730188"/>
    <w:rsid w:val="00731F98"/>
    <w:rsid w:val="007350D4"/>
    <w:rsid w:val="00737A3F"/>
    <w:rsid w:val="00742C59"/>
    <w:rsid w:val="0074689A"/>
    <w:rsid w:val="00746CF4"/>
    <w:rsid w:val="00746DCC"/>
    <w:rsid w:val="007504EE"/>
    <w:rsid w:val="00750D1B"/>
    <w:rsid w:val="00753BFF"/>
    <w:rsid w:val="007619AB"/>
    <w:rsid w:val="00761C83"/>
    <w:rsid w:val="007631AF"/>
    <w:rsid w:val="00763340"/>
    <w:rsid w:val="0076603F"/>
    <w:rsid w:val="007672AF"/>
    <w:rsid w:val="007723A2"/>
    <w:rsid w:val="00777428"/>
    <w:rsid w:val="00781229"/>
    <w:rsid w:val="0078353E"/>
    <w:rsid w:val="00784583"/>
    <w:rsid w:val="00784851"/>
    <w:rsid w:val="0078578F"/>
    <w:rsid w:val="0078665D"/>
    <w:rsid w:val="0079054D"/>
    <w:rsid w:val="007942D6"/>
    <w:rsid w:val="007A3687"/>
    <w:rsid w:val="007A39E0"/>
    <w:rsid w:val="007A4A4F"/>
    <w:rsid w:val="007A6C80"/>
    <w:rsid w:val="007A6F80"/>
    <w:rsid w:val="007B0288"/>
    <w:rsid w:val="007B4E69"/>
    <w:rsid w:val="007B67A2"/>
    <w:rsid w:val="007B727C"/>
    <w:rsid w:val="007B7D80"/>
    <w:rsid w:val="007C255C"/>
    <w:rsid w:val="007C5464"/>
    <w:rsid w:val="007D2FF4"/>
    <w:rsid w:val="007E0B84"/>
    <w:rsid w:val="007E172A"/>
    <w:rsid w:val="007E3A45"/>
    <w:rsid w:val="007E5CEC"/>
    <w:rsid w:val="007F0140"/>
    <w:rsid w:val="007F237A"/>
    <w:rsid w:val="007F35B4"/>
    <w:rsid w:val="007F42E4"/>
    <w:rsid w:val="007F47D5"/>
    <w:rsid w:val="007F6213"/>
    <w:rsid w:val="007F6602"/>
    <w:rsid w:val="00800D47"/>
    <w:rsid w:val="0080101E"/>
    <w:rsid w:val="00801866"/>
    <w:rsid w:val="00802151"/>
    <w:rsid w:val="00804013"/>
    <w:rsid w:val="00804D89"/>
    <w:rsid w:val="0080639D"/>
    <w:rsid w:val="0080680A"/>
    <w:rsid w:val="00806A6D"/>
    <w:rsid w:val="00807FBE"/>
    <w:rsid w:val="00812BC8"/>
    <w:rsid w:val="00813D1F"/>
    <w:rsid w:val="008147F1"/>
    <w:rsid w:val="00817BEA"/>
    <w:rsid w:val="00823803"/>
    <w:rsid w:val="00824E5F"/>
    <w:rsid w:val="0082518F"/>
    <w:rsid w:val="008270B8"/>
    <w:rsid w:val="00827ADB"/>
    <w:rsid w:val="00830757"/>
    <w:rsid w:val="00840167"/>
    <w:rsid w:val="00840515"/>
    <w:rsid w:val="00840C71"/>
    <w:rsid w:val="008423FC"/>
    <w:rsid w:val="0084259E"/>
    <w:rsid w:val="00844A1B"/>
    <w:rsid w:val="00845762"/>
    <w:rsid w:val="008461E2"/>
    <w:rsid w:val="00847BD2"/>
    <w:rsid w:val="00850E0B"/>
    <w:rsid w:val="00852A0A"/>
    <w:rsid w:val="00852C0D"/>
    <w:rsid w:val="00854371"/>
    <w:rsid w:val="00855E6D"/>
    <w:rsid w:val="00855F4D"/>
    <w:rsid w:val="00856778"/>
    <w:rsid w:val="0085715F"/>
    <w:rsid w:val="008606E6"/>
    <w:rsid w:val="008640FD"/>
    <w:rsid w:val="008652CC"/>
    <w:rsid w:val="008678C2"/>
    <w:rsid w:val="00872EAC"/>
    <w:rsid w:val="00875EDC"/>
    <w:rsid w:val="0087716F"/>
    <w:rsid w:val="0088035D"/>
    <w:rsid w:val="008810B4"/>
    <w:rsid w:val="008904AD"/>
    <w:rsid w:val="00893CB1"/>
    <w:rsid w:val="0089486A"/>
    <w:rsid w:val="008977F4"/>
    <w:rsid w:val="008A3268"/>
    <w:rsid w:val="008A622F"/>
    <w:rsid w:val="008B0B4B"/>
    <w:rsid w:val="008B2A78"/>
    <w:rsid w:val="008B2DEB"/>
    <w:rsid w:val="008B31B6"/>
    <w:rsid w:val="008B3C2A"/>
    <w:rsid w:val="008B5586"/>
    <w:rsid w:val="008B5F5D"/>
    <w:rsid w:val="008B6758"/>
    <w:rsid w:val="008B6A26"/>
    <w:rsid w:val="008B6B2A"/>
    <w:rsid w:val="008D22DC"/>
    <w:rsid w:val="008D3022"/>
    <w:rsid w:val="008D3710"/>
    <w:rsid w:val="008D4681"/>
    <w:rsid w:val="008D59AA"/>
    <w:rsid w:val="008D7485"/>
    <w:rsid w:val="008E18BD"/>
    <w:rsid w:val="008E2F50"/>
    <w:rsid w:val="008E3347"/>
    <w:rsid w:val="008E3489"/>
    <w:rsid w:val="008E405B"/>
    <w:rsid w:val="008E67CB"/>
    <w:rsid w:val="008E7D10"/>
    <w:rsid w:val="008F318F"/>
    <w:rsid w:val="008F5FE1"/>
    <w:rsid w:val="009018AE"/>
    <w:rsid w:val="00903339"/>
    <w:rsid w:val="0090537E"/>
    <w:rsid w:val="009061F9"/>
    <w:rsid w:val="00906442"/>
    <w:rsid w:val="00906643"/>
    <w:rsid w:val="00906D98"/>
    <w:rsid w:val="00910D45"/>
    <w:rsid w:val="00912184"/>
    <w:rsid w:val="00912C6D"/>
    <w:rsid w:val="009133DA"/>
    <w:rsid w:val="00913C6A"/>
    <w:rsid w:val="00913F01"/>
    <w:rsid w:val="00915717"/>
    <w:rsid w:val="00915AA0"/>
    <w:rsid w:val="00916A7E"/>
    <w:rsid w:val="00920550"/>
    <w:rsid w:val="00920E19"/>
    <w:rsid w:val="00921C35"/>
    <w:rsid w:val="00923F63"/>
    <w:rsid w:val="00924700"/>
    <w:rsid w:val="00927112"/>
    <w:rsid w:val="00930132"/>
    <w:rsid w:val="00930A17"/>
    <w:rsid w:val="00931CB0"/>
    <w:rsid w:val="00934A26"/>
    <w:rsid w:val="00934AE3"/>
    <w:rsid w:val="00937A48"/>
    <w:rsid w:val="009402D3"/>
    <w:rsid w:val="009438D6"/>
    <w:rsid w:val="00945BBC"/>
    <w:rsid w:val="00946385"/>
    <w:rsid w:val="00946B3B"/>
    <w:rsid w:val="00950A84"/>
    <w:rsid w:val="00950DE2"/>
    <w:rsid w:val="009511B5"/>
    <w:rsid w:val="00952086"/>
    <w:rsid w:val="00953179"/>
    <w:rsid w:val="00957776"/>
    <w:rsid w:val="009609F4"/>
    <w:rsid w:val="009631EE"/>
    <w:rsid w:val="00965D52"/>
    <w:rsid w:val="00972A80"/>
    <w:rsid w:val="00981B4D"/>
    <w:rsid w:val="00984412"/>
    <w:rsid w:val="00994B1B"/>
    <w:rsid w:val="00995961"/>
    <w:rsid w:val="009A16BE"/>
    <w:rsid w:val="009A29D5"/>
    <w:rsid w:val="009A36DA"/>
    <w:rsid w:val="009A4A54"/>
    <w:rsid w:val="009A6038"/>
    <w:rsid w:val="009A6BA5"/>
    <w:rsid w:val="009B068D"/>
    <w:rsid w:val="009B5408"/>
    <w:rsid w:val="009B6F91"/>
    <w:rsid w:val="009B7050"/>
    <w:rsid w:val="009C1D0D"/>
    <w:rsid w:val="009C260A"/>
    <w:rsid w:val="009C2967"/>
    <w:rsid w:val="009C2D6B"/>
    <w:rsid w:val="009C4434"/>
    <w:rsid w:val="009C4586"/>
    <w:rsid w:val="009D060D"/>
    <w:rsid w:val="009D1D2B"/>
    <w:rsid w:val="009D2655"/>
    <w:rsid w:val="009D289D"/>
    <w:rsid w:val="009D2E01"/>
    <w:rsid w:val="009D2F6F"/>
    <w:rsid w:val="009D5535"/>
    <w:rsid w:val="009E0304"/>
    <w:rsid w:val="009E04FF"/>
    <w:rsid w:val="009E1F80"/>
    <w:rsid w:val="009E4A3B"/>
    <w:rsid w:val="009F06D1"/>
    <w:rsid w:val="009F13F1"/>
    <w:rsid w:val="009F21AA"/>
    <w:rsid w:val="009F4CE8"/>
    <w:rsid w:val="009F520D"/>
    <w:rsid w:val="009F61BA"/>
    <w:rsid w:val="009F74E8"/>
    <w:rsid w:val="009F7F20"/>
    <w:rsid w:val="00A0116B"/>
    <w:rsid w:val="00A0434F"/>
    <w:rsid w:val="00A0769E"/>
    <w:rsid w:val="00A11CC4"/>
    <w:rsid w:val="00A12D7D"/>
    <w:rsid w:val="00A13BBB"/>
    <w:rsid w:val="00A14782"/>
    <w:rsid w:val="00A149B1"/>
    <w:rsid w:val="00A149CC"/>
    <w:rsid w:val="00A15E3B"/>
    <w:rsid w:val="00A2130F"/>
    <w:rsid w:val="00A213F8"/>
    <w:rsid w:val="00A226B5"/>
    <w:rsid w:val="00A24A56"/>
    <w:rsid w:val="00A24C65"/>
    <w:rsid w:val="00A25303"/>
    <w:rsid w:val="00A341D1"/>
    <w:rsid w:val="00A3726E"/>
    <w:rsid w:val="00A37CD4"/>
    <w:rsid w:val="00A418FE"/>
    <w:rsid w:val="00A47784"/>
    <w:rsid w:val="00A5289C"/>
    <w:rsid w:val="00A5390F"/>
    <w:rsid w:val="00A607E8"/>
    <w:rsid w:val="00A63774"/>
    <w:rsid w:val="00A6521D"/>
    <w:rsid w:val="00A65FC0"/>
    <w:rsid w:val="00A66507"/>
    <w:rsid w:val="00A704F6"/>
    <w:rsid w:val="00A706AA"/>
    <w:rsid w:val="00A74D8A"/>
    <w:rsid w:val="00A8469D"/>
    <w:rsid w:val="00A84E6B"/>
    <w:rsid w:val="00A85BBB"/>
    <w:rsid w:val="00A9331A"/>
    <w:rsid w:val="00A94A91"/>
    <w:rsid w:val="00A95773"/>
    <w:rsid w:val="00A968A7"/>
    <w:rsid w:val="00AA140D"/>
    <w:rsid w:val="00AA26DD"/>
    <w:rsid w:val="00AA2990"/>
    <w:rsid w:val="00AA49BD"/>
    <w:rsid w:val="00AA4CE0"/>
    <w:rsid w:val="00AA5AA5"/>
    <w:rsid w:val="00AA71FF"/>
    <w:rsid w:val="00AB11F4"/>
    <w:rsid w:val="00AB59A7"/>
    <w:rsid w:val="00AC05EE"/>
    <w:rsid w:val="00AC21AD"/>
    <w:rsid w:val="00AC27C4"/>
    <w:rsid w:val="00AC6118"/>
    <w:rsid w:val="00AC7BBC"/>
    <w:rsid w:val="00AD1D2B"/>
    <w:rsid w:val="00AD4997"/>
    <w:rsid w:val="00AD4C88"/>
    <w:rsid w:val="00AD5B92"/>
    <w:rsid w:val="00AD634A"/>
    <w:rsid w:val="00AD653D"/>
    <w:rsid w:val="00AD73AF"/>
    <w:rsid w:val="00AE1A21"/>
    <w:rsid w:val="00AE209F"/>
    <w:rsid w:val="00AE2635"/>
    <w:rsid w:val="00AE27F2"/>
    <w:rsid w:val="00AE2828"/>
    <w:rsid w:val="00AE4198"/>
    <w:rsid w:val="00AF2254"/>
    <w:rsid w:val="00AF45F6"/>
    <w:rsid w:val="00AF68B9"/>
    <w:rsid w:val="00B03E6F"/>
    <w:rsid w:val="00B04148"/>
    <w:rsid w:val="00B048BA"/>
    <w:rsid w:val="00B05770"/>
    <w:rsid w:val="00B07190"/>
    <w:rsid w:val="00B12BB1"/>
    <w:rsid w:val="00B26762"/>
    <w:rsid w:val="00B30542"/>
    <w:rsid w:val="00B310B9"/>
    <w:rsid w:val="00B32A54"/>
    <w:rsid w:val="00B34AC0"/>
    <w:rsid w:val="00B41491"/>
    <w:rsid w:val="00B42EF0"/>
    <w:rsid w:val="00B43D31"/>
    <w:rsid w:val="00B4598E"/>
    <w:rsid w:val="00B51993"/>
    <w:rsid w:val="00B5247B"/>
    <w:rsid w:val="00B53857"/>
    <w:rsid w:val="00B573B6"/>
    <w:rsid w:val="00B60429"/>
    <w:rsid w:val="00B61C2A"/>
    <w:rsid w:val="00B637A6"/>
    <w:rsid w:val="00B650EF"/>
    <w:rsid w:val="00B65636"/>
    <w:rsid w:val="00B73C11"/>
    <w:rsid w:val="00B7493C"/>
    <w:rsid w:val="00B80209"/>
    <w:rsid w:val="00B80E18"/>
    <w:rsid w:val="00B81A8F"/>
    <w:rsid w:val="00B824CF"/>
    <w:rsid w:val="00B8388F"/>
    <w:rsid w:val="00B85598"/>
    <w:rsid w:val="00B864E5"/>
    <w:rsid w:val="00B87740"/>
    <w:rsid w:val="00B900D9"/>
    <w:rsid w:val="00B90469"/>
    <w:rsid w:val="00B91592"/>
    <w:rsid w:val="00B9262C"/>
    <w:rsid w:val="00BA021E"/>
    <w:rsid w:val="00BA1359"/>
    <w:rsid w:val="00BA27A8"/>
    <w:rsid w:val="00BA2DD6"/>
    <w:rsid w:val="00BB158D"/>
    <w:rsid w:val="00BB22C6"/>
    <w:rsid w:val="00BB44E2"/>
    <w:rsid w:val="00BB6F2E"/>
    <w:rsid w:val="00BB765C"/>
    <w:rsid w:val="00BB7BD0"/>
    <w:rsid w:val="00BC06BF"/>
    <w:rsid w:val="00BC0ACF"/>
    <w:rsid w:val="00BC0C19"/>
    <w:rsid w:val="00BC0D18"/>
    <w:rsid w:val="00BC0D39"/>
    <w:rsid w:val="00BC2E53"/>
    <w:rsid w:val="00BC426B"/>
    <w:rsid w:val="00BC45F9"/>
    <w:rsid w:val="00BC5E18"/>
    <w:rsid w:val="00BC72DE"/>
    <w:rsid w:val="00BD1400"/>
    <w:rsid w:val="00BD1A95"/>
    <w:rsid w:val="00BD2EB2"/>
    <w:rsid w:val="00BE4DCD"/>
    <w:rsid w:val="00BE54AF"/>
    <w:rsid w:val="00BE54B3"/>
    <w:rsid w:val="00BE6098"/>
    <w:rsid w:val="00BE7410"/>
    <w:rsid w:val="00BE7466"/>
    <w:rsid w:val="00BE7ADE"/>
    <w:rsid w:val="00BF0E90"/>
    <w:rsid w:val="00BF1160"/>
    <w:rsid w:val="00BF1AFF"/>
    <w:rsid w:val="00BF381A"/>
    <w:rsid w:val="00BF5AD0"/>
    <w:rsid w:val="00C00AAD"/>
    <w:rsid w:val="00C0271B"/>
    <w:rsid w:val="00C03160"/>
    <w:rsid w:val="00C032E2"/>
    <w:rsid w:val="00C0540E"/>
    <w:rsid w:val="00C10307"/>
    <w:rsid w:val="00C10B20"/>
    <w:rsid w:val="00C12004"/>
    <w:rsid w:val="00C15F97"/>
    <w:rsid w:val="00C15F9B"/>
    <w:rsid w:val="00C176C7"/>
    <w:rsid w:val="00C21E5E"/>
    <w:rsid w:val="00C22BDF"/>
    <w:rsid w:val="00C242EB"/>
    <w:rsid w:val="00C24F96"/>
    <w:rsid w:val="00C2694C"/>
    <w:rsid w:val="00C27A75"/>
    <w:rsid w:val="00C3629A"/>
    <w:rsid w:val="00C40624"/>
    <w:rsid w:val="00C41CB4"/>
    <w:rsid w:val="00C41FBD"/>
    <w:rsid w:val="00C42BF5"/>
    <w:rsid w:val="00C43AD2"/>
    <w:rsid w:val="00C44AD7"/>
    <w:rsid w:val="00C45346"/>
    <w:rsid w:val="00C45424"/>
    <w:rsid w:val="00C456FC"/>
    <w:rsid w:val="00C47CA5"/>
    <w:rsid w:val="00C50175"/>
    <w:rsid w:val="00C50746"/>
    <w:rsid w:val="00C53D25"/>
    <w:rsid w:val="00C54DBB"/>
    <w:rsid w:val="00C576A5"/>
    <w:rsid w:val="00C57751"/>
    <w:rsid w:val="00C60855"/>
    <w:rsid w:val="00C630FF"/>
    <w:rsid w:val="00C7098A"/>
    <w:rsid w:val="00C7171B"/>
    <w:rsid w:val="00C73945"/>
    <w:rsid w:val="00C7550C"/>
    <w:rsid w:val="00C75BBC"/>
    <w:rsid w:val="00C775CE"/>
    <w:rsid w:val="00C80515"/>
    <w:rsid w:val="00C83491"/>
    <w:rsid w:val="00C844A5"/>
    <w:rsid w:val="00C8772A"/>
    <w:rsid w:val="00C87BB0"/>
    <w:rsid w:val="00C87BF7"/>
    <w:rsid w:val="00C91EE2"/>
    <w:rsid w:val="00CA13A7"/>
    <w:rsid w:val="00CA2589"/>
    <w:rsid w:val="00CA6C2F"/>
    <w:rsid w:val="00CA7CDA"/>
    <w:rsid w:val="00CB2046"/>
    <w:rsid w:val="00CB2327"/>
    <w:rsid w:val="00CB4474"/>
    <w:rsid w:val="00CB7077"/>
    <w:rsid w:val="00CC012D"/>
    <w:rsid w:val="00CC098E"/>
    <w:rsid w:val="00CC1BB2"/>
    <w:rsid w:val="00CC227B"/>
    <w:rsid w:val="00CC499F"/>
    <w:rsid w:val="00CD68B8"/>
    <w:rsid w:val="00CD723F"/>
    <w:rsid w:val="00CE0FCE"/>
    <w:rsid w:val="00CE1457"/>
    <w:rsid w:val="00CE69B7"/>
    <w:rsid w:val="00CE6AA9"/>
    <w:rsid w:val="00CF20DB"/>
    <w:rsid w:val="00CF3E99"/>
    <w:rsid w:val="00CF50B4"/>
    <w:rsid w:val="00CF5CA1"/>
    <w:rsid w:val="00CF6030"/>
    <w:rsid w:val="00CF60BB"/>
    <w:rsid w:val="00D01ADE"/>
    <w:rsid w:val="00D02F0B"/>
    <w:rsid w:val="00D04E5A"/>
    <w:rsid w:val="00D0520B"/>
    <w:rsid w:val="00D06F43"/>
    <w:rsid w:val="00D07B84"/>
    <w:rsid w:val="00D11BA4"/>
    <w:rsid w:val="00D155AF"/>
    <w:rsid w:val="00D1611E"/>
    <w:rsid w:val="00D16ECF"/>
    <w:rsid w:val="00D2148B"/>
    <w:rsid w:val="00D222A5"/>
    <w:rsid w:val="00D239AD"/>
    <w:rsid w:val="00D25767"/>
    <w:rsid w:val="00D261EF"/>
    <w:rsid w:val="00D26649"/>
    <w:rsid w:val="00D271A5"/>
    <w:rsid w:val="00D30391"/>
    <w:rsid w:val="00D314A2"/>
    <w:rsid w:val="00D321DE"/>
    <w:rsid w:val="00D37F38"/>
    <w:rsid w:val="00D4008B"/>
    <w:rsid w:val="00D4016B"/>
    <w:rsid w:val="00D41D0C"/>
    <w:rsid w:val="00D41E4B"/>
    <w:rsid w:val="00D420E0"/>
    <w:rsid w:val="00D43A33"/>
    <w:rsid w:val="00D4606F"/>
    <w:rsid w:val="00D46B1F"/>
    <w:rsid w:val="00D4753F"/>
    <w:rsid w:val="00D50A2F"/>
    <w:rsid w:val="00D50FCD"/>
    <w:rsid w:val="00D523E5"/>
    <w:rsid w:val="00D52E34"/>
    <w:rsid w:val="00D53626"/>
    <w:rsid w:val="00D54918"/>
    <w:rsid w:val="00D577EF"/>
    <w:rsid w:val="00D57D47"/>
    <w:rsid w:val="00D62A0D"/>
    <w:rsid w:val="00D63463"/>
    <w:rsid w:val="00D63FB1"/>
    <w:rsid w:val="00D64817"/>
    <w:rsid w:val="00D64EF1"/>
    <w:rsid w:val="00D75BAC"/>
    <w:rsid w:val="00D84A3D"/>
    <w:rsid w:val="00D85CF7"/>
    <w:rsid w:val="00D86EFA"/>
    <w:rsid w:val="00D87507"/>
    <w:rsid w:val="00D878F4"/>
    <w:rsid w:val="00D90FED"/>
    <w:rsid w:val="00D93CCA"/>
    <w:rsid w:val="00D93CF4"/>
    <w:rsid w:val="00D95C4B"/>
    <w:rsid w:val="00D9688C"/>
    <w:rsid w:val="00DA00E5"/>
    <w:rsid w:val="00DA1536"/>
    <w:rsid w:val="00DA2AAD"/>
    <w:rsid w:val="00DA3093"/>
    <w:rsid w:val="00DA7133"/>
    <w:rsid w:val="00DB0D6F"/>
    <w:rsid w:val="00DB3C24"/>
    <w:rsid w:val="00DB4D97"/>
    <w:rsid w:val="00DC1810"/>
    <w:rsid w:val="00DC4A01"/>
    <w:rsid w:val="00DC6F45"/>
    <w:rsid w:val="00DC7270"/>
    <w:rsid w:val="00DD3C1E"/>
    <w:rsid w:val="00DD5DBD"/>
    <w:rsid w:val="00DD7F8D"/>
    <w:rsid w:val="00DE025C"/>
    <w:rsid w:val="00DE1DF4"/>
    <w:rsid w:val="00DE628B"/>
    <w:rsid w:val="00DE7B27"/>
    <w:rsid w:val="00DF0722"/>
    <w:rsid w:val="00DF1A0D"/>
    <w:rsid w:val="00E00F94"/>
    <w:rsid w:val="00E044CE"/>
    <w:rsid w:val="00E05784"/>
    <w:rsid w:val="00E0663E"/>
    <w:rsid w:val="00E10D2B"/>
    <w:rsid w:val="00E11ACD"/>
    <w:rsid w:val="00E13581"/>
    <w:rsid w:val="00E1384D"/>
    <w:rsid w:val="00E145D1"/>
    <w:rsid w:val="00E163ED"/>
    <w:rsid w:val="00E166F5"/>
    <w:rsid w:val="00E17EBE"/>
    <w:rsid w:val="00E204A3"/>
    <w:rsid w:val="00E24767"/>
    <w:rsid w:val="00E2654E"/>
    <w:rsid w:val="00E2673D"/>
    <w:rsid w:val="00E31960"/>
    <w:rsid w:val="00E3789C"/>
    <w:rsid w:val="00E40F14"/>
    <w:rsid w:val="00E41316"/>
    <w:rsid w:val="00E43829"/>
    <w:rsid w:val="00E43D2D"/>
    <w:rsid w:val="00E44AD0"/>
    <w:rsid w:val="00E46E60"/>
    <w:rsid w:val="00E4756F"/>
    <w:rsid w:val="00E4793E"/>
    <w:rsid w:val="00E51AA9"/>
    <w:rsid w:val="00E51BC3"/>
    <w:rsid w:val="00E53E92"/>
    <w:rsid w:val="00E55C94"/>
    <w:rsid w:val="00E57237"/>
    <w:rsid w:val="00E5733A"/>
    <w:rsid w:val="00E62121"/>
    <w:rsid w:val="00E626EB"/>
    <w:rsid w:val="00E62CF1"/>
    <w:rsid w:val="00E630C9"/>
    <w:rsid w:val="00E63410"/>
    <w:rsid w:val="00E64B6B"/>
    <w:rsid w:val="00E665FC"/>
    <w:rsid w:val="00E74419"/>
    <w:rsid w:val="00E77B26"/>
    <w:rsid w:val="00E80E66"/>
    <w:rsid w:val="00E82D3D"/>
    <w:rsid w:val="00E82DD4"/>
    <w:rsid w:val="00E8486F"/>
    <w:rsid w:val="00E858C4"/>
    <w:rsid w:val="00E87E0C"/>
    <w:rsid w:val="00E90189"/>
    <w:rsid w:val="00E92BB2"/>
    <w:rsid w:val="00E951D2"/>
    <w:rsid w:val="00E95377"/>
    <w:rsid w:val="00EA07EE"/>
    <w:rsid w:val="00EA32ED"/>
    <w:rsid w:val="00EA344E"/>
    <w:rsid w:val="00EA40DF"/>
    <w:rsid w:val="00EA6716"/>
    <w:rsid w:val="00EA7C24"/>
    <w:rsid w:val="00EB0FB7"/>
    <w:rsid w:val="00EB38E4"/>
    <w:rsid w:val="00EB3F01"/>
    <w:rsid w:val="00EB4D56"/>
    <w:rsid w:val="00EB5293"/>
    <w:rsid w:val="00EB5335"/>
    <w:rsid w:val="00EB65DB"/>
    <w:rsid w:val="00EC02ED"/>
    <w:rsid w:val="00ED142D"/>
    <w:rsid w:val="00ED1D21"/>
    <w:rsid w:val="00ED28A5"/>
    <w:rsid w:val="00EE04AE"/>
    <w:rsid w:val="00EE19CD"/>
    <w:rsid w:val="00EE1A32"/>
    <w:rsid w:val="00EE3244"/>
    <w:rsid w:val="00EE35AC"/>
    <w:rsid w:val="00EE39B6"/>
    <w:rsid w:val="00EE7C64"/>
    <w:rsid w:val="00EF3788"/>
    <w:rsid w:val="00EF455A"/>
    <w:rsid w:val="00EF47A4"/>
    <w:rsid w:val="00EF4C27"/>
    <w:rsid w:val="00F00EFD"/>
    <w:rsid w:val="00F01FA9"/>
    <w:rsid w:val="00F05098"/>
    <w:rsid w:val="00F057B5"/>
    <w:rsid w:val="00F15165"/>
    <w:rsid w:val="00F22ABD"/>
    <w:rsid w:val="00F22D92"/>
    <w:rsid w:val="00F24198"/>
    <w:rsid w:val="00F244E2"/>
    <w:rsid w:val="00F25EC1"/>
    <w:rsid w:val="00F26571"/>
    <w:rsid w:val="00F31D76"/>
    <w:rsid w:val="00F32A5D"/>
    <w:rsid w:val="00F348AF"/>
    <w:rsid w:val="00F35FF0"/>
    <w:rsid w:val="00F40065"/>
    <w:rsid w:val="00F4692B"/>
    <w:rsid w:val="00F46B79"/>
    <w:rsid w:val="00F46F29"/>
    <w:rsid w:val="00F473C6"/>
    <w:rsid w:val="00F47C55"/>
    <w:rsid w:val="00F50FB0"/>
    <w:rsid w:val="00F56B35"/>
    <w:rsid w:val="00F623E6"/>
    <w:rsid w:val="00F633C2"/>
    <w:rsid w:val="00F66D46"/>
    <w:rsid w:val="00F676B3"/>
    <w:rsid w:val="00F7266D"/>
    <w:rsid w:val="00F74059"/>
    <w:rsid w:val="00F76D71"/>
    <w:rsid w:val="00F770A4"/>
    <w:rsid w:val="00F77FE9"/>
    <w:rsid w:val="00F84CB3"/>
    <w:rsid w:val="00F85DB3"/>
    <w:rsid w:val="00F862D0"/>
    <w:rsid w:val="00F873EC"/>
    <w:rsid w:val="00F930A4"/>
    <w:rsid w:val="00F932E8"/>
    <w:rsid w:val="00F93EFF"/>
    <w:rsid w:val="00F94130"/>
    <w:rsid w:val="00F9519F"/>
    <w:rsid w:val="00FA0042"/>
    <w:rsid w:val="00FA0380"/>
    <w:rsid w:val="00FA1421"/>
    <w:rsid w:val="00FA43A5"/>
    <w:rsid w:val="00FA47AD"/>
    <w:rsid w:val="00FA4824"/>
    <w:rsid w:val="00FA5764"/>
    <w:rsid w:val="00FA65E8"/>
    <w:rsid w:val="00FA6E51"/>
    <w:rsid w:val="00FB1F99"/>
    <w:rsid w:val="00FB4838"/>
    <w:rsid w:val="00FB5FD8"/>
    <w:rsid w:val="00FB6C4A"/>
    <w:rsid w:val="00FB72ED"/>
    <w:rsid w:val="00FB748A"/>
    <w:rsid w:val="00FC11C5"/>
    <w:rsid w:val="00FC3298"/>
    <w:rsid w:val="00FC4417"/>
    <w:rsid w:val="00FC68F9"/>
    <w:rsid w:val="00FC6FC6"/>
    <w:rsid w:val="00FD091C"/>
    <w:rsid w:val="00FD750B"/>
    <w:rsid w:val="00FE0D20"/>
    <w:rsid w:val="00FE15DC"/>
    <w:rsid w:val="00FE374B"/>
    <w:rsid w:val="00FE3A2C"/>
    <w:rsid w:val="00FE483C"/>
    <w:rsid w:val="00FE76B7"/>
    <w:rsid w:val="00FE7780"/>
    <w:rsid w:val="00FE7975"/>
    <w:rsid w:val="00FF1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B637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7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table" w:styleId="Tablaconcuadrcula">
    <w:name w:val="Table Grid"/>
    <w:basedOn w:val="Tablanormal"/>
    <w:uiPriority w:val="59"/>
    <w:rsid w:val="00A70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637A6"/>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637A6"/>
    <w:rPr>
      <w:rFonts w:asciiTheme="majorHAnsi" w:eastAsiaTheme="majorEastAsia" w:hAnsiTheme="majorHAnsi" w:cstheme="majorBidi"/>
      <w:color w:val="365F91" w:themeColor="accent1" w:themeShade="BF"/>
      <w:sz w:val="26"/>
      <w:szCs w:val="26"/>
      <w:lang w:eastAsia="en-US"/>
    </w:rPr>
  </w:style>
  <w:style w:type="table" w:styleId="Cuadrculadetablaclara">
    <w:name w:val="Grid Table Light"/>
    <w:basedOn w:val="Tablanormal"/>
    <w:uiPriority w:val="40"/>
    <w:rsid w:val="00B637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41D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513">
      <w:bodyDiv w:val="1"/>
      <w:marLeft w:val="0"/>
      <w:marRight w:val="0"/>
      <w:marTop w:val="0"/>
      <w:marBottom w:val="0"/>
      <w:divBdr>
        <w:top w:val="none" w:sz="0" w:space="0" w:color="auto"/>
        <w:left w:val="none" w:sz="0" w:space="0" w:color="auto"/>
        <w:bottom w:val="none" w:sz="0" w:space="0" w:color="auto"/>
        <w:right w:val="none" w:sz="0" w:space="0" w:color="auto"/>
      </w:divBdr>
    </w:div>
    <w:div w:id="155341064">
      <w:bodyDiv w:val="1"/>
      <w:marLeft w:val="0"/>
      <w:marRight w:val="0"/>
      <w:marTop w:val="0"/>
      <w:marBottom w:val="0"/>
      <w:divBdr>
        <w:top w:val="none" w:sz="0" w:space="0" w:color="auto"/>
        <w:left w:val="none" w:sz="0" w:space="0" w:color="auto"/>
        <w:bottom w:val="none" w:sz="0" w:space="0" w:color="auto"/>
        <w:right w:val="none" w:sz="0" w:space="0" w:color="auto"/>
      </w:divBdr>
    </w:div>
    <w:div w:id="159350069">
      <w:bodyDiv w:val="1"/>
      <w:marLeft w:val="0"/>
      <w:marRight w:val="0"/>
      <w:marTop w:val="0"/>
      <w:marBottom w:val="0"/>
      <w:divBdr>
        <w:top w:val="none" w:sz="0" w:space="0" w:color="auto"/>
        <w:left w:val="none" w:sz="0" w:space="0" w:color="auto"/>
        <w:bottom w:val="none" w:sz="0" w:space="0" w:color="auto"/>
        <w:right w:val="none" w:sz="0" w:space="0" w:color="auto"/>
      </w:divBdr>
    </w:div>
    <w:div w:id="179901044">
      <w:bodyDiv w:val="1"/>
      <w:marLeft w:val="0"/>
      <w:marRight w:val="0"/>
      <w:marTop w:val="0"/>
      <w:marBottom w:val="0"/>
      <w:divBdr>
        <w:top w:val="none" w:sz="0" w:space="0" w:color="auto"/>
        <w:left w:val="none" w:sz="0" w:space="0" w:color="auto"/>
        <w:bottom w:val="none" w:sz="0" w:space="0" w:color="auto"/>
        <w:right w:val="none" w:sz="0" w:space="0" w:color="auto"/>
      </w:divBdr>
    </w:div>
    <w:div w:id="711999480">
      <w:bodyDiv w:val="1"/>
      <w:marLeft w:val="0"/>
      <w:marRight w:val="0"/>
      <w:marTop w:val="0"/>
      <w:marBottom w:val="0"/>
      <w:divBdr>
        <w:top w:val="none" w:sz="0" w:space="0" w:color="auto"/>
        <w:left w:val="none" w:sz="0" w:space="0" w:color="auto"/>
        <w:bottom w:val="none" w:sz="0" w:space="0" w:color="auto"/>
        <w:right w:val="none" w:sz="0" w:space="0" w:color="auto"/>
      </w:divBdr>
    </w:div>
    <w:div w:id="897663839">
      <w:bodyDiv w:val="1"/>
      <w:marLeft w:val="0"/>
      <w:marRight w:val="0"/>
      <w:marTop w:val="0"/>
      <w:marBottom w:val="0"/>
      <w:divBdr>
        <w:top w:val="none" w:sz="0" w:space="0" w:color="auto"/>
        <w:left w:val="none" w:sz="0" w:space="0" w:color="auto"/>
        <w:bottom w:val="none" w:sz="0" w:space="0" w:color="auto"/>
        <w:right w:val="none" w:sz="0" w:space="0" w:color="auto"/>
      </w:divBdr>
    </w:div>
    <w:div w:id="1151604528">
      <w:bodyDiv w:val="1"/>
      <w:marLeft w:val="0"/>
      <w:marRight w:val="0"/>
      <w:marTop w:val="0"/>
      <w:marBottom w:val="0"/>
      <w:divBdr>
        <w:top w:val="none" w:sz="0" w:space="0" w:color="auto"/>
        <w:left w:val="none" w:sz="0" w:space="0" w:color="auto"/>
        <w:bottom w:val="none" w:sz="0" w:space="0" w:color="auto"/>
        <w:right w:val="none" w:sz="0" w:space="0" w:color="auto"/>
      </w:divBdr>
    </w:div>
    <w:div w:id="1291011258">
      <w:bodyDiv w:val="1"/>
      <w:marLeft w:val="0"/>
      <w:marRight w:val="0"/>
      <w:marTop w:val="0"/>
      <w:marBottom w:val="0"/>
      <w:divBdr>
        <w:top w:val="none" w:sz="0" w:space="0" w:color="auto"/>
        <w:left w:val="none" w:sz="0" w:space="0" w:color="auto"/>
        <w:bottom w:val="none" w:sz="0" w:space="0" w:color="auto"/>
        <w:right w:val="none" w:sz="0" w:space="0" w:color="auto"/>
      </w:divBdr>
    </w:div>
    <w:div w:id="1396007961">
      <w:bodyDiv w:val="1"/>
      <w:marLeft w:val="0"/>
      <w:marRight w:val="0"/>
      <w:marTop w:val="0"/>
      <w:marBottom w:val="0"/>
      <w:divBdr>
        <w:top w:val="none" w:sz="0" w:space="0" w:color="auto"/>
        <w:left w:val="none" w:sz="0" w:space="0" w:color="auto"/>
        <w:bottom w:val="none" w:sz="0" w:space="0" w:color="auto"/>
        <w:right w:val="none" w:sz="0" w:space="0" w:color="auto"/>
      </w:divBdr>
    </w:div>
    <w:div w:id="1437754092">
      <w:bodyDiv w:val="1"/>
      <w:marLeft w:val="0"/>
      <w:marRight w:val="0"/>
      <w:marTop w:val="0"/>
      <w:marBottom w:val="0"/>
      <w:divBdr>
        <w:top w:val="none" w:sz="0" w:space="0" w:color="auto"/>
        <w:left w:val="none" w:sz="0" w:space="0" w:color="auto"/>
        <w:bottom w:val="none" w:sz="0" w:space="0" w:color="auto"/>
        <w:right w:val="none" w:sz="0" w:space="0" w:color="auto"/>
      </w:divBdr>
    </w:div>
    <w:div w:id="1632324903">
      <w:bodyDiv w:val="1"/>
      <w:marLeft w:val="0"/>
      <w:marRight w:val="0"/>
      <w:marTop w:val="0"/>
      <w:marBottom w:val="0"/>
      <w:divBdr>
        <w:top w:val="none" w:sz="0" w:space="0" w:color="auto"/>
        <w:left w:val="none" w:sz="0" w:space="0" w:color="auto"/>
        <w:bottom w:val="none" w:sz="0" w:space="0" w:color="auto"/>
        <w:right w:val="none" w:sz="0" w:space="0" w:color="auto"/>
      </w:divBdr>
    </w:div>
    <w:div w:id="1655987431">
      <w:bodyDiv w:val="1"/>
      <w:marLeft w:val="0"/>
      <w:marRight w:val="0"/>
      <w:marTop w:val="0"/>
      <w:marBottom w:val="0"/>
      <w:divBdr>
        <w:top w:val="none" w:sz="0" w:space="0" w:color="auto"/>
        <w:left w:val="none" w:sz="0" w:space="0" w:color="auto"/>
        <w:bottom w:val="none" w:sz="0" w:space="0" w:color="auto"/>
        <w:right w:val="none" w:sz="0" w:space="0" w:color="auto"/>
      </w:divBdr>
    </w:div>
    <w:div w:id="1677803659">
      <w:bodyDiv w:val="1"/>
      <w:marLeft w:val="0"/>
      <w:marRight w:val="0"/>
      <w:marTop w:val="0"/>
      <w:marBottom w:val="0"/>
      <w:divBdr>
        <w:top w:val="none" w:sz="0" w:space="0" w:color="auto"/>
        <w:left w:val="none" w:sz="0" w:space="0" w:color="auto"/>
        <w:bottom w:val="none" w:sz="0" w:space="0" w:color="auto"/>
        <w:right w:val="none" w:sz="0" w:space="0" w:color="auto"/>
      </w:divBdr>
    </w:div>
    <w:div w:id="1678535088">
      <w:bodyDiv w:val="1"/>
      <w:marLeft w:val="0"/>
      <w:marRight w:val="0"/>
      <w:marTop w:val="0"/>
      <w:marBottom w:val="0"/>
      <w:divBdr>
        <w:top w:val="none" w:sz="0" w:space="0" w:color="auto"/>
        <w:left w:val="none" w:sz="0" w:space="0" w:color="auto"/>
        <w:bottom w:val="none" w:sz="0" w:space="0" w:color="auto"/>
        <w:right w:val="none" w:sz="0" w:space="0" w:color="auto"/>
      </w:divBdr>
    </w:div>
    <w:div w:id="1783264864">
      <w:bodyDiv w:val="1"/>
      <w:marLeft w:val="0"/>
      <w:marRight w:val="0"/>
      <w:marTop w:val="0"/>
      <w:marBottom w:val="0"/>
      <w:divBdr>
        <w:top w:val="none" w:sz="0" w:space="0" w:color="auto"/>
        <w:left w:val="none" w:sz="0" w:space="0" w:color="auto"/>
        <w:bottom w:val="none" w:sz="0" w:space="0" w:color="auto"/>
        <w:right w:val="none" w:sz="0" w:space="0" w:color="auto"/>
      </w:divBdr>
    </w:div>
    <w:div w:id="1795324927">
      <w:bodyDiv w:val="1"/>
      <w:marLeft w:val="0"/>
      <w:marRight w:val="0"/>
      <w:marTop w:val="0"/>
      <w:marBottom w:val="0"/>
      <w:divBdr>
        <w:top w:val="none" w:sz="0" w:space="0" w:color="auto"/>
        <w:left w:val="none" w:sz="0" w:space="0" w:color="auto"/>
        <w:bottom w:val="none" w:sz="0" w:space="0" w:color="auto"/>
        <w:right w:val="none" w:sz="0" w:space="0" w:color="auto"/>
      </w:divBdr>
    </w:div>
    <w:div w:id="1863326504">
      <w:bodyDiv w:val="1"/>
      <w:marLeft w:val="0"/>
      <w:marRight w:val="0"/>
      <w:marTop w:val="0"/>
      <w:marBottom w:val="0"/>
      <w:divBdr>
        <w:top w:val="none" w:sz="0" w:space="0" w:color="auto"/>
        <w:left w:val="none" w:sz="0" w:space="0" w:color="auto"/>
        <w:bottom w:val="none" w:sz="0" w:space="0" w:color="auto"/>
        <w:right w:val="none" w:sz="0" w:space="0" w:color="auto"/>
      </w:divBdr>
    </w:div>
    <w:div w:id="21151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3F3B-DC1C-4349-B692-DBEB1345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9</Pages>
  <Words>3660</Words>
  <Characters>20135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49</cp:revision>
  <cp:lastPrinted>2017-01-24T00:17:00Z</cp:lastPrinted>
  <dcterms:created xsi:type="dcterms:W3CDTF">2016-11-22T23:24:00Z</dcterms:created>
  <dcterms:modified xsi:type="dcterms:W3CDTF">2017-02-02T00:45:00Z</dcterms:modified>
</cp:coreProperties>
</file>