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keepLines w:val="false"/>
        <w:spacing w:before="300" w:after="40"/>
        <w:jc w:val="both"/>
        <w:rPr>
          <w:rFonts w:ascii="ITC Avant Garde" w:hAnsi="ITC Avant Garde"/>
          <w:b/>
          <w:b/>
          <w:color w:val="000000" w:themeColor="text1"/>
          <w:sz w:val="22"/>
          <w:szCs w:val="22"/>
          <w:lang w:eastAsia="es-MX"/>
        </w:rPr>
      </w:pPr>
      <w:r>
        <w:rPr>
          <w:rFonts w:ascii="ITC Avant Garde" w:hAnsi="ITC Avant Garde"/>
          <w:b/>
          <w:color w:val="000000" w:themeColor="text1"/>
          <w:sz w:val="22"/>
          <w:szCs w:val="22"/>
          <w:lang w:eastAsia="es-MX"/>
        </w:rPr>
        <w:t xml:space="preserve">RESOLUCIÓN POR LA CUAL EL PLENO DEL INSTITUTO FEDERAL DE TELECOMUNICACIONES PRORROGA LA </w:t>
      </w:r>
      <w:r>
        <w:rPr>
          <w:rFonts w:eastAsia="Times New Roman" w:cs="" w:ascii="ITC Avant Garde" w:hAnsi="ITC Avant Garde" w:cstheme="minorBidi"/>
          <w:b/>
          <w:smallCaps/>
          <w:color w:val="00000A"/>
          <w:spacing w:val="5"/>
          <w:sz w:val="22"/>
          <w:szCs w:val="22"/>
          <w:lang w:eastAsia="es-MX"/>
        </w:rPr>
        <w:t>VIGENCIA</w:t>
      </w:r>
      <w:r>
        <w:rPr>
          <w:rFonts w:ascii="ITC Avant Garde" w:hAnsi="ITC Avant Garde"/>
          <w:b/>
          <w:color w:val="000000" w:themeColor="text1"/>
          <w:sz w:val="22"/>
          <w:szCs w:val="22"/>
          <w:lang w:eastAsia="es-MX"/>
        </w:rPr>
        <w:t xml:space="preserve"> DE LA </w:t>
      </w:r>
      <w:r>
        <w:rPr>
          <w:rFonts w:ascii="ITC Avant Garde" w:hAnsi="ITC Avant Garde"/>
          <w:b/>
          <w:color w:val="00000A"/>
          <w:sz w:val="22"/>
          <w:szCs w:val="22"/>
        </w:rPr>
        <w:t>CONCESIÓN</w:t>
      </w:r>
      <w:r>
        <w:rPr>
          <w:rFonts w:ascii="ITC Avant Garde" w:hAnsi="ITC Avant Garde"/>
          <w:b/>
          <w:color w:val="000000" w:themeColor="text1"/>
          <w:sz w:val="22"/>
          <w:szCs w:val="22"/>
          <w:lang w:eastAsia="es-MX"/>
        </w:rPr>
        <w:t xml:space="preserve"> DEL C. JORGE ADALBERTO ESPERÓN HEREDIA Y OTORGA UN TÍTULO DE CONCESIÓN ÚNICA PARA USO COMERCIAL.</w:t>
      </w:r>
    </w:p>
    <w:p>
      <w:pPr>
        <w:pStyle w:val="Normal"/>
        <w:spacing w:lineRule="auto" w:line="240" w:before="0" w:after="0"/>
        <w:jc w:val="center"/>
        <w:rPr>
          <w:rFonts w:ascii="ITC Avant Garde" w:hAnsi="ITC Avant Garde"/>
          <w:b/>
          <w:b/>
          <w:bCs/>
          <w:color w:val="000000"/>
          <w:lang w:eastAsia="es-MX"/>
        </w:rPr>
      </w:pPr>
      <w:r>
        <w:rPr>
          <w:rFonts w:ascii="ITC Avant Garde" w:hAnsi="ITC Avant Garde"/>
          <w:b/>
          <w:bCs/>
          <w:color w:val="000000"/>
          <w:lang w:eastAsia="es-MX"/>
        </w:rPr>
      </w:r>
    </w:p>
    <w:p>
      <w:pPr>
        <w:pStyle w:val="Heading2"/>
        <w:jc w:val="center"/>
        <w:rPr>
          <w:rFonts w:ascii="ITC Avant Garde" w:hAnsi="ITC Avant Garde"/>
          <w:b/>
          <w:b/>
          <w:bCs/>
          <w:color w:val="000000" w:themeColor="text1"/>
          <w:sz w:val="22"/>
          <w:szCs w:val="22"/>
          <w:lang w:eastAsia="es-MX"/>
        </w:rPr>
      </w:pPr>
      <w:r>
        <w:rPr>
          <w:rFonts w:ascii="ITC Avant Garde" w:hAnsi="ITC Avant Garde"/>
          <w:b/>
          <w:color w:val="000000" w:themeColor="text1"/>
          <w:sz w:val="22"/>
          <w:szCs w:val="22"/>
        </w:rPr>
        <w:t>ANTECEDENTES</w:t>
      </w:r>
    </w:p>
    <w:p>
      <w:pPr>
        <w:pStyle w:val="Normal"/>
        <w:spacing w:lineRule="auto" w:line="240" w:before="0" w:after="0"/>
        <w:jc w:val="center"/>
        <w:rPr>
          <w:rFonts w:ascii="ITC Avant Garde" w:hAnsi="ITC Avant Garde"/>
          <w:b/>
          <w:b/>
          <w:bCs/>
          <w:color w:val="000000" w:themeColor="text1"/>
          <w:lang w:eastAsia="es-MX"/>
        </w:rPr>
      </w:pPr>
      <w:r>
        <w:rPr>
          <w:rFonts w:ascii="ITC Avant Garde" w:hAnsi="ITC Avant Garde"/>
          <w:b/>
          <w:bCs/>
          <w:color w:val="000000" w:themeColor="text1"/>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ascii="ITC Avant Garde" w:hAnsi="ITC Avant Garde"/>
          <w:b/>
          <w:bCs/>
          <w:color w:val="000000"/>
          <w:lang w:eastAsia="es-MX"/>
        </w:rPr>
        <w:t>Otorgamiento de la Concesión.</w:t>
      </w:r>
      <w:r>
        <w:rPr>
          <w:rFonts w:ascii="ITC Avant Garde" w:hAnsi="ITC Avant Garde"/>
          <w:bCs/>
          <w:color w:val="000000"/>
          <w:lang w:eastAsia="es-MX"/>
        </w:rPr>
        <w:t xml:space="preserve"> El 13 de abril de 2007, la Secretaría de Comunicaciones y Transportes (la “Secretaría”), otorgó en favor del C. Jorge Adalberto Esperón Heredia, un título de concesión para instalar, operar y explotar una red pública de telecomunicaciones para prestar el servicio de televisión restringida en Cuichapa, Municipio de Moloacán, en el Estado de Veracruz, con una vigencia de 10 (diez) años contados a partir de su otorgamiento (la “Concesión”).</w:t>
      </w:r>
    </w:p>
    <w:p>
      <w:pPr>
        <w:pStyle w:val="Normal"/>
        <w:spacing w:lineRule="auto" w:line="240" w:before="0" w:after="0"/>
        <w:ind w:left="567" w:hanging="0"/>
        <w:jc w:val="both"/>
        <w:rPr>
          <w:rFonts w:ascii="ITC Avant Garde" w:hAnsi="ITC Avant Garde"/>
          <w:b/>
          <w:b/>
          <w:bCs/>
          <w:color w:val="000000"/>
          <w:lang w:eastAsia="es-MX"/>
        </w:rPr>
      </w:pPr>
      <w:r>
        <w:rPr>
          <w:rFonts w:ascii="ITC Avant Garde" w:hAnsi="ITC Avant Garde"/>
          <w:b/>
          <w:bCs/>
          <w:color w:val="000000"/>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ascii="ITC Avant Garde" w:hAnsi="ITC Avant Garde"/>
          <w:b/>
          <w:bCs/>
          <w:color w:val="000000"/>
          <w:lang w:eastAsia="es-MX"/>
        </w:rPr>
        <w:t xml:space="preserve">Decreto de Reforma Constitucional. </w:t>
      </w:r>
      <w:r>
        <w:rPr>
          <w:rFonts w:ascii="ITC Avant Garde" w:hAnsi="ITC Avant Garde"/>
          <w:bCs/>
          <w:color w:val="000000"/>
          <w:lang w:eastAsia="es-MX"/>
        </w:rPr>
        <w:t>Con fecha 11 de junio de 2013, se publicó en el Diario Oficial de la Federación el “</w:t>
      </w:r>
      <w:r>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Pr>
          <w:rFonts w:ascii="ITC Avant Garde" w:hAnsi="ITC Avant Garde"/>
          <w:bCs/>
          <w:color w:val="000000"/>
          <w:lang w:eastAsia="es-MX"/>
        </w:rPr>
        <w:t>” (el “Decreto de Reforma Constitucional”), mediante el cual se creó el Instituto Federal de Telecomunicaciones (el “Instituto”).</w:t>
      </w:r>
    </w:p>
    <w:p>
      <w:pPr>
        <w:pStyle w:val="ListParagraph"/>
        <w:rPr>
          <w:rFonts w:ascii="ITC Avant Garde" w:hAnsi="ITC Avant Garde"/>
          <w:bCs/>
          <w:color w:val="000000"/>
          <w:lang w:eastAsia="es-MX"/>
        </w:rPr>
      </w:pPr>
      <w:r>
        <w:rPr>
          <w:rFonts w:ascii="ITC Avant Garde" w:hAnsi="ITC Avant Garde"/>
          <w:bCs/>
          <w:color w:val="000000"/>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ascii="ITC Avant Garde" w:hAnsi="ITC Avant Garde"/>
          <w:b/>
          <w:bCs/>
          <w:color w:val="000000" w:themeColor="text1"/>
          <w:lang w:eastAsia="es-MX"/>
        </w:rPr>
        <w:t xml:space="preserve">Decreto de Ley. </w:t>
      </w:r>
      <w:r>
        <w:rPr>
          <w:rFonts w:ascii="ITC Avant Garde" w:hAnsi="ITC Avant Garde"/>
          <w:bCs/>
          <w:color w:val="000000" w:themeColor="text1"/>
          <w:lang w:eastAsia="es-MX"/>
        </w:rPr>
        <w:t>El 14 de julio de 2014, se publicó en el Diario Oficial de la Federación el “</w:t>
      </w:r>
      <w:r>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Pr>
          <w:rFonts w:ascii="ITC Avant Garde" w:hAnsi="ITC Avant Garde"/>
          <w:bCs/>
          <w:color w:val="000000" w:themeColor="text1"/>
          <w:lang w:eastAsia="es-MX"/>
        </w:rPr>
        <w:t>” (el “Decreto de Ley”), mismo que entró en vigor el 13 de agosto de 2014.</w:t>
      </w:r>
    </w:p>
    <w:p>
      <w:pPr>
        <w:pStyle w:val="ListParagraph"/>
        <w:rPr>
          <w:rFonts w:ascii="ITC Avant Garde" w:hAnsi="ITC Avant Garde"/>
          <w:bCs/>
          <w:color w:val="000000"/>
          <w:lang w:eastAsia="es-MX"/>
        </w:rPr>
      </w:pPr>
      <w:r>
        <w:rPr>
          <w:rFonts w:ascii="ITC Avant Garde" w:hAnsi="ITC Avant Garde"/>
          <w:bCs/>
          <w:color w:val="000000"/>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cs="Arial" w:ascii="ITC Avant Garde" w:hAnsi="ITC Avant Garde"/>
          <w:b/>
          <w:bCs/>
          <w:color w:val="000000"/>
          <w:shd w:fill="FFFFFF" w:val="clear"/>
        </w:rPr>
        <w:t>Estatuto Orgánico.</w:t>
      </w:r>
      <w:r>
        <w:rPr>
          <w:rStyle w:val="Appleconvertedspace"/>
          <w:rFonts w:cs="Arial" w:ascii="ITC Avant Garde" w:hAnsi="ITC Avant Garde"/>
          <w:b/>
          <w:bCs/>
          <w:color w:val="000000"/>
          <w:shd w:fill="FFFFFF" w:val="clear"/>
        </w:rPr>
        <w:t xml:space="preserve"> </w:t>
      </w:r>
      <w:r>
        <w:rPr>
          <w:rFonts w:ascii="ITC Avant Garde" w:hAnsi="ITC Avant Garde"/>
          <w:color w:val="000000"/>
          <w:shd w:fill="FFFFFF" w:val="clear"/>
        </w:rPr>
        <w:t>El 4 de septiembre de 2014, se publicó en el Diario Oficial de la Federación el “</w:t>
      </w:r>
      <w:r>
        <w:rPr>
          <w:rFonts w:ascii="ITC Avant Garde" w:hAnsi="ITC Avant Garde"/>
          <w:i/>
          <w:color w:val="000000"/>
          <w:shd w:fill="FFFFFF" w:val="clear"/>
        </w:rPr>
        <w:t>Estatuto Orgánico del Instituto Federal de Telecomunicaciones</w:t>
      </w:r>
      <w:r>
        <w:rPr>
          <w:rFonts w:ascii="ITC Avant Garde" w:hAnsi="ITC Avant Garde"/>
          <w:color w:val="000000"/>
          <w:shd w:fill="FFFFFF" w:val="clear"/>
        </w:rPr>
        <w:t>” (el “Estatuto Orgánico”), mismo que entró en vigor el 26 de septiembre de 2014 y fue modificado el 17 de octubre de 2014.</w:t>
      </w:r>
    </w:p>
    <w:p>
      <w:pPr>
        <w:pStyle w:val="ListParagraph"/>
        <w:rPr>
          <w:rFonts w:ascii="ITC Avant Garde" w:hAnsi="ITC Avant Garde"/>
          <w:bCs/>
          <w:color w:val="000000"/>
          <w:lang w:eastAsia="es-MX"/>
        </w:rPr>
      </w:pPr>
      <w:r>
        <w:rPr>
          <w:rFonts w:ascii="ITC Avant Garde" w:hAnsi="ITC Avant Garde"/>
          <w:bCs/>
          <w:color w:val="000000"/>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ascii="ITC Avant Garde" w:hAnsi="ITC Avant Garde"/>
          <w:b/>
          <w:bCs/>
          <w:color w:val="000000"/>
          <w:lang w:eastAsia="es-MX"/>
        </w:rPr>
        <w:t>Solicitud de Prórroga de Vigencia.</w:t>
      </w:r>
      <w:r>
        <w:rPr>
          <w:rFonts w:ascii="ITC Avant Garde" w:hAnsi="ITC Avant Garde"/>
          <w:bCs/>
          <w:color w:val="000000" w:themeColor="text1"/>
          <w:lang w:eastAsia="es-MX"/>
        </w:rPr>
        <w:t xml:space="preserve"> El </w:t>
      </w:r>
      <w:r>
        <w:rPr>
          <w:rFonts w:ascii="ITC Avant Garde" w:hAnsi="ITC Avant Garde"/>
          <w:bCs/>
          <w:color w:val="000000"/>
          <w:lang w:eastAsia="es-MX"/>
        </w:rPr>
        <w:t>9 de abril de 2015, el C. Jorge Adalberto Esperón Heredia a través de su representante legal, presentó ante el Instituto solicitud de prórroga de vigencia de la Concesión (la “Solicitud de Prórroga”).</w:t>
      </w:r>
    </w:p>
    <w:p>
      <w:pPr>
        <w:pStyle w:val="ListParagraph"/>
        <w:rPr>
          <w:rFonts w:ascii="ITC Avant Garde" w:hAnsi="ITC Avant Garde"/>
          <w:bCs/>
          <w:color w:val="000000"/>
          <w:lang w:eastAsia="es-MX"/>
        </w:rPr>
      </w:pPr>
      <w:r>
        <w:rPr>
          <w:rFonts w:ascii="ITC Avant Garde" w:hAnsi="ITC Avant Garde"/>
          <w:bCs/>
          <w:color w:val="000000"/>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ascii="ITC Avant Garde" w:hAnsi="ITC Avant Garde"/>
          <w:b/>
          <w:bCs/>
          <w:color w:val="000000"/>
          <w:lang w:eastAsia="es-MX"/>
        </w:rPr>
        <w:t>Solicitud de Opinión Técnica.</w:t>
      </w:r>
      <w:r>
        <w:rPr>
          <w:rFonts w:ascii="ITC Avant Garde" w:hAnsi="ITC Avant Garde"/>
          <w:bCs/>
          <w:color w:val="000000"/>
          <w:lang w:eastAsia="es-MX"/>
        </w:rPr>
        <w:t xml:space="preserve"> De conformidad con lo dispuesto en el Decreto de Reforma Constitucional y la Ley Federal de Telecomunicaciones y Radiodifusión (la “Ley”), mediante oficio IFT/223/UCS/649/2015, notificado el 22 de abril de 2015, el Instituto a través de la Unidad de Concesiones y Servicios, solicitó a la Secretaría la opinión técnica correspondiente a la Solicitud de Prórroga, en términos de lo establecido por el artículo 28 párrafo décimo séptimo de la Constitución Política de los Estados Unidos Mexicanos (la “Constitución”).</w:t>
      </w:r>
    </w:p>
    <w:p>
      <w:pPr>
        <w:pStyle w:val="ListParagraph"/>
        <w:rPr>
          <w:rFonts w:ascii="ITC Avant Garde" w:hAnsi="ITC Avant Garde"/>
          <w:bCs/>
          <w:color w:val="000000"/>
          <w:lang w:eastAsia="es-MX"/>
        </w:rPr>
      </w:pPr>
      <w:r>
        <w:rPr>
          <w:rFonts w:ascii="ITC Avant Garde" w:hAnsi="ITC Avant Garde"/>
          <w:bCs/>
          <w:color w:val="000000"/>
          <w:lang w:eastAsia="es-MX"/>
        </w:rPr>
      </w:r>
    </w:p>
    <w:p>
      <w:pPr>
        <w:pStyle w:val="Normal"/>
        <w:numPr>
          <w:ilvl w:val="0"/>
          <w:numId w:val="1"/>
        </w:numPr>
        <w:spacing w:lineRule="auto" w:line="240" w:before="0" w:after="0"/>
        <w:ind w:left="567" w:hanging="720"/>
        <w:jc w:val="both"/>
        <w:rPr>
          <w:rFonts w:ascii="ITC Avant Garde" w:hAnsi="ITC Avant Garde"/>
          <w:bCs/>
          <w:color w:val="000000"/>
          <w:lang w:eastAsia="es-MX"/>
        </w:rPr>
      </w:pPr>
      <w:r>
        <w:rPr>
          <w:rFonts w:ascii="ITC Avant Garde" w:hAnsi="ITC Avant Garde"/>
          <w:b/>
          <w:bCs/>
          <w:color w:val="000000"/>
          <w:lang w:eastAsia="es-MX"/>
        </w:rPr>
        <w:t>Opinión Técnica de la Secretaría.</w:t>
      </w:r>
      <w:r>
        <w:rPr>
          <w:rFonts w:ascii="ITC Avant Garde" w:hAnsi="ITC Avant Garde"/>
          <w:bCs/>
          <w:color w:val="000000"/>
          <w:lang w:eastAsia="es-MX"/>
        </w:rPr>
        <w:t xml:space="preserve"> Mediante oficio 2.1.-0823 de fecha 25 de mayo de 2015, la Dirección General de Política de Telecomunicaciones y de Radiodifusión de la Secretaría, remitió el oficio 1.-132 de fecha 20 de mayo de 2015, con la opinión técnica en sentido favorable respecto de la Solicitud de Prórroga.</w:t>
      </w:r>
    </w:p>
    <w:p>
      <w:pPr>
        <w:pStyle w:val="ListParagraph"/>
        <w:rPr>
          <w:rFonts w:ascii="ITC Avant Garde" w:hAnsi="ITC Avant Garde"/>
          <w:bCs/>
          <w:color w:val="000000"/>
          <w:lang w:eastAsia="es-MX"/>
        </w:rPr>
      </w:pPr>
      <w:r>
        <w:rPr>
          <w:rFonts w:ascii="ITC Avant Garde" w:hAnsi="ITC Avant Garde"/>
          <w:bCs/>
          <w:color w:val="000000"/>
          <w:lang w:eastAsia="es-MX"/>
        </w:rPr>
      </w:r>
    </w:p>
    <w:p>
      <w:pPr>
        <w:pStyle w:val="Normal"/>
        <w:numPr>
          <w:ilvl w:val="0"/>
          <w:numId w:val="1"/>
        </w:numPr>
        <w:spacing w:lineRule="auto" w:line="240" w:before="0" w:after="0"/>
        <w:ind w:left="567" w:hanging="720"/>
        <w:jc w:val="both"/>
        <w:rPr>
          <w:rFonts w:ascii="ITC Avant Garde" w:hAnsi="ITC Avant Garde"/>
          <w:color w:val="000000"/>
          <w:highlight w:val="white"/>
        </w:rPr>
      </w:pPr>
      <w:r>
        <w:rPr>
          <w:rFonts w:ascii="ITC Avant Garde" w:hAnsi="ITC Avant Garde"/>
          <w:b/>
          <w:color w:val="000000"/>
          <w:shd w:fill="FFFFFF" w:val="clear"/>
        </w:rPr>
        <w:t>Opinión en materia de Cumplimiento de Obligaciones.</w:t>
      </w:r>
      <w:r>
        <w:rPr>
          <w:rFonts w:ascii="ITC Avant Garde" w:hAnsi="ITC Avant Garde"/>
          <w:color w:val="000000"/>
          <w:shd w:fill="FFFFFF" w:val="clear"/>
        </w:rPr>
        <w:t xml:space="preserve"> El 9 de junio de 2015, mediante oficio IFT/225/UC/DG-SUV/2634/2015 la Unidad de Cumplimiento, a través de la Dirección General de Supervisión, emitió la opinión correspondiente a la Solicitud de Prórroga.</w:t>
      </w:r>
    </w:p>
    <w:p>
      <w:pPr>
        <w:pStyle w:val="ListParagraph"/>
        <w:rPr>
          <w:rFonts w:ascii="ITC Avant Garde" w:hAnsi="ITC Avant Garde"/>
          <w:color w:val="000000"/>
          <w:shd w:fill="FFFFFF" w:val="clear"/>
        </w:rPr>
      </w:pPr>
      <w:r>
        <w:rPr>
          <w:rFonts w:ascii="ITC Avant Garde" w:hAnsi="ITC Avant Garde"/>
          <w:color w:val="000000"/>
          <w:shd w:fill="FFFFFF" w:val="clear"/>
        </w:rPr>
      </w:r>
    </w:p>
    <w:p>
      <w:pPr>
        <w:pStyle w:val="Normal"/>
        <w:numPr>
          <w:ilvl w:val="0"/>
          <w:numId w:val="1"/>
        </w:numPr>
        <w:spacing w:lineRule="auto" w:line="240" w:before="0" w:after="0"/>
        <w:ind w:left="567" w:hanging="720"/>
        <w:jc w:val="both"/>
        <w:rPr>
          <w:rFonts w:ascii="ITC Avant Garde" w:hAnsi="ITC Avant Garde"/>
          <w:color w:val="000000"/>
          <w:highlight w:val="white"/>
        </w:rPr>
      </w:pPr>
      <w:r>
        <w:rPr>
          <w:rFonts w:ascii="ITC Avant Garde" w:hAnsi="ITC Avant Garde"/>
          <w:b/>
          <w:color w:val="000000"/>
          <w:shd w:fill="FFFFFF" w:val="clear"/>
        </w:rPr>
        <w:t>Opinión en materia de Competencia Económica.</w:t>
      </w:r>
      <w:r>
        <w:rPr>
          <w:rFonts w:ascii="ITC Avant Garde" w:hAnsi="ITC Avant Garde"/>
          <w:color w:val="000000"/>
          <w:shd w:fill="FFFFFF" w:val="clear"/>
        </w:rPr>
        <w:t xml:space="preserve"> Con fecha 16 de junio de 2015, la Unidad de Competencia Económica a través de la Dirección General de Concentraciones y Concesiones, emitió el oficio IFT/226/UCE/DG-CCON/124/2015, mediante el cual remite la opinión correspondiente con respecto a la Solicitud de Prórroga.</w:t>
      </w:r>
    </w:p>
    <w:p>
      <w:pPr>
        <w:pStyle w:val="Normal"/>
        <w:spacing w:lineRule="auto" w:line="240" w:before="0" w:after="0"/>
        <w:ind w:left="567" w:hanging="0"/>
        <w:jc w:val="both"/>
        <w:rPr>
          <w:rFonts w:ascii="ITC Avant Garde" w:hAnsi="ITC Avant Garde"/>
          <w:bCs/>
          <w:color w:val="000000"/>
          <w:lang w:eastAsia="es-MX"/>
        </w:rPr>
      </w:pPr>
      <w:r>
        <w:rPr>
          <w:rFonts w:ascii="ITC Avant Garde" w:hAnsi="ITC Avant Garde"/>
          <w:bCs/>
          <w:color w:val="000000"/>
          <w:lang w:eastAsia="es-MX"/>
        </w:rPr>
      </w:r>
    </w:p>
    <w:p>
      <w:pPr>
        <w:pStyle w:val="Normal"/>
        <w:spacing w:lineRule="auto" w:line="240" w:before="0" w:after="0"/>
        <w:jc w:val="both"/>
        <w:rPr>
          <w:rFonts w:ascii="ITC Avant Garde" w:hAnsi="ITC Avant Garde"/>
          <w:bCs/>
          <w:color w:val="000000"/>
          <w:lang w:eastAsia="es-MX"/>
        </w:rPr>
      </w:pPr>
      <w:r>
        <w:rPr>
          <w:rFonts w:ascii="ITC Avant Garde" w:hAnsi="ITC Avant Garde"/>
          <w:bCs/>
          <w:color w:val="000000"/>
          <w:lang w:eastAsia="es-MX"/>
        </w:rPr>
        <w:t>En virtud de los Antecedentes referidos y,</w:t>
      </w:r>
    </w:p>
    <w:p>
      <w:pPr>
        <w:pStyle w:val="Normal"/>
        <w:spacing w:lineRule="auto" w:line="240" w:before="0" w:after="0"/>
        <w:jc w:val="center"/>
        <w:rPr>
          <w:rFonts w:ascii="ITC Avant Garde" w:hAnsi="ITC Avant Garde"/>
          <w:b/>
          <w:b/>
          <w:bCs/>
          <w:color w:val="000000"/>
          <w:lang w:eastAsia="es-MX"/>
        </w:rPr>
      </w:pPr>
      <w:r>
        <w:rPr>
          <w:rFonts w:ascii="ITC Avant Garde" w:hAnsi="ITC Avant Garde"/>
          <w:b/>
          <w:bCs/>
          <w:color w:val="000000"/>
          <w:lang w:eastAsia="es-MX"/>
        </w:rPr>
      </w:r>
    </w:p>
    <w:p>
      <w:pPr>
        <w:pStyle w:val="Heading2"/>
        <w:jc w:val="center"/>
        <w:rPr>
          <w:rFonts w:ascii="ITC Avant Garde" w:hAnsi="ITC Avant Garde"/>
          <w:b/>
          <w:b/>
          <w:bCs/>
          <w:color w:val="000000" w:themeColor="text1"/>
        </w:rPr>
      </w:pPr>
      <w:r>
        <w:rPr>
          <w:rFonts w:ascii="ITC Avant Garde" w:hAnsi="ITC Avant Garde"/>
          <w:b/>
          <w:color w:val="000000" w:themeColor="text1"/>
          <w:sz w:val="22"/>
          <w:szCs w:val="22"/>
        </w:rPr>
        <w:t>CONSIDERANDO</w:t>
      </w:r>
    </w:p>
    <w:p>
      <w:pPr>
        <w:pStyle w:val="Normal"/>
        <w:spacing w:lineRule="auto" w:line="240" w:before="0" w:after="0"/>
        <w:jc w:val="center"/>
        <w:rPr>
          <w:rFonts w:ascii="ITC Avant Garde" w:hAnsi="ITC Avant Garde"/>
          <w:b/>
          <w:b/>
          <w:bCs/>
        </w:rPr>
      </w:pPr>
      <w:r>
        <w:rPr>
          <w:rFonts w:ascii="ITC Avant Garde" w:hAnsi="ITC Avant Garde"/>
          <w:b/>
          <w:bCs/>
        </w:rPr>
      </w:r>
    </w:p>
    <w:p>
      <w:pPr>
        <w:pStyle w:val="Normal"/>
        <w:spacing w:lineRule="auto" w:line="240" w:before="0" w:after="0"/>
        <w:jc w:val="both"/>
        <w:rPr>
          <w:rFonts w:ascii="ITC Avant Garde" w:hAnsi="ITC Avant Garde"/>
          <w:bCs/>
        </w:rPr>
      </w:pPr>
      <w:r>
        <w:rPr>
          <w:rFonts w:ascii="ITC Avant Garde" w:hAnsi="ITC Avant Garde"/>
          <w:b/>
          <w:bCs/>
        </w:rPr>
        <w:t>Primero.- Competencia.</w:t>
      </w:r>
      <w:r>
        <w:rPr>
          <w:rFonts w:ascii="ITC Avant Garde" w:hAnsi="ITC Avant Garde"/>
          <w:bCs/>
        </w:rPr>
        <w:t xml:space="preserve"> 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Constitución.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en los artículos 6o. y 7o. de la Constitución.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De igual forma, corresponde al Instituto, el otorgamiento de concesiones en materia de radiodifusión y telecomunicaciones. En este sentido, el Pleno del Instituto está facultado, conforme a lo establecido por los artículos 15 fracciones IV y LVII y 17 fracción I de la Ley, para resolver sobre el otorgamiento de las concesiones señaladas, resolver respecto de las prórrogas, modificación o terminación de las mismas, así como interpretar la Ley y demás disposiciones administrativas en materia de telecomunicaciones y radiodifusión, en el ámbito de sus atribuciones. </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Por su parte, el artículo 6 fracciones I y XVIII del Estatuto Orgánico, establece que corresponde al Pleno, además de las atribuciones establecidas como indelegables en la Ley y la Ley Federal de Competencia Económica,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Ley, y las disposiciones administrativas en materia de telecomunicaciones y radiodifusión, en el ámbito de sus atribuciones.</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Asimismo, conforme al artículo 33 fracción II del Estatuto Orgánico, corresponde a 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En consecuencia, el Instituto está facultado para otorgar concesiones en materia de telecomunicaciones, así como resolver respecto de sus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Ley,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
          <w:bCs/>
        </w:rPr>
        <w:t>Segundo.- Marco normativo general aplicable a prórrogas de vigencia de concesiones en materia de telecomunicaciones.</w:t>
      </w:r>
      <w:r>
        <w:rPr>
          <w:rFonts w:ascii="ITC Avant Garde" w:hAnsi="ITC Avant Garde"/>
          <w:bCs/>
        </w:rPr>
        <w:t xml:space="preserve"> El artículo Séptimo Transitorio del Decreto de Ley señala que sin perjuicio de lo establecido en la Ley y en la normatividad que al efecto emita el Instituto, las concesiones y permisos otorgados con anterioridad a la entrada en vigor del citado decreto, se mantendrán en los términos y condiciones consignados en los respectivos títulos hasta su terminación. </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En ese sentido resulta conveniente señalar que la Concesión establece en su condición 1.5, que su vigencia será de 10 (diez) años contados a partir de su otorgamiento y podrá ser prorrogada de acuerdo con el artículo 27 de la abrogada Ley Federal de Telecomunicaciones. Por su parte, el último párrafo de la condición 1.6 del citado título establece que el concesionario acepta que si las disposiciones legales, reglamentarias y administrativas aplicables, fueran derogadas, modificadas o adicionadas, el concesionario quedará sujeto a la nueva legislación y disposiciones administrativas aplicables a partir de su entrada en vigor.</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Considerando que para el caso en particular la Ley Federal de Telecomunicaciones resulta inaplicable, a efecto de brindar plena certeza jurídica a los particulares con respecto a los trámites de prórroga que nos ocupan, la solicitud de mérito debe analizarse con base en lo establecido por el artículo 113 de la Ley, mismo que dispone lo siguiente:</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w:t>
      </w:r>
      <w:r>
        <w:rPr>
          <w:rFonts w:ascii="ITC Avant Garde" w:hAnsi="ITC Avant Garde"/>
          <w:b/>
          <w:bCs/>
          <w:i/>
          <w:iCs/>
          <w:color w:val="000000"/>
          <w:sz w:val="18"/>
          <w:szCs w:val="18"/>
          <w:lang w:eastAsia="es-MX"/>
        </w:rPr>
        <w:t>Artículo 113.</w:t>
      </w:r>
      <w:r>
        <w:rPr>
          <w:rFonts w:ascii="ITC Avant Garde" w:hAnsi="ITC Avant Garde"/>
          <w:i/>
          <w:iCs/>
          <w:color w:val="000000"/>
          <w:sz w:val="18"/>
          <w:szCs w:val="18"/>
          <w:lang w:eastAsia="es-MX"/>
        </w:rPr>
        <w:t xml:space="preserve"> La concesión única podrá prorrogarse por el Instituto, siempre y cuando el concesionario lo hubiere solicitado dentro del año previo al inicio de la última quinta parte del plazo de vigencia de la concesión, se encuentre al corriente en el cumplimiento de las obligaciones establecidas en la Ley y demás disposiciones aplicables, así como en su título de concesión y acepte, previamente, las nuevas condiciones que, en su caso, se establezcan. El Instituto resolverá lo conducente dentro de los ciento ochenta días hábiles siguientes a la presentación de la solicitud.</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En caso de que el Instituto no resuelva en el plazo señalado en el párrafo anterior, se entenderá prorrogada la concesión única.”</w:t>
      </w:r>
    </w:p>
    <w:p>
      <w:pPr>
        <w:pStyle w:val="Normal"/>
        <w:spacing w:lineRule="auto" w:line="240" w:before="0" w:after="0"/>
        <w:ind w:left="1428" w:right="616" w:hanging="0"/>
        <w:jc w:val="both"/>
        <w:rPr>
          <w:rFonts w:ascii="ITC Avant Garde" w:hAnsi="ITC Avant Garde"/>
          <w:sz w:val="18"/>
          <w:szCs w:val="18"/>
        </w:rPr>
      </w:pPr>
      <w:r>
        <w:rPr>
          <w:rFonts w:ascii="ITC Avant Garde" w:hAnsi="ITC Avant Garde"/>
          <w:sz w:val="18"/>
          <w:szCs w:val="18"/>
        </w:rPr>
      </w:r>
    </w:p>
    <w:p>
      <w:pPr>
        <w:pStyle w:val="Normal"/>
        <w:spacing w:lineRule="auto" w:line="240" w:before="0" w:after="0"/>
        <w:jc w:val="both"/>
        <w:rPr>
          <w:rFonts w:ascii="ITC Avant Garde" w:hAnsi="ITC Avant Garde"/>
          <w:bCs/>
        </w:rPr>
      </w:pPr>
      <w:r>
        <w:rPr>
          <w:rFonts w:ascii="ITC Avant Garde" w:hAnsi="ITC Avant Garde"/>
          <w:bCs/>
        </w:rPr>
        <w:t>Si bien es cierto que el citado artículo únicamente señala a las concesiones únicas como susceptibles de prórroga de su vigencia, esto no debe entenderse en el sentido de que las concesiones de redes de públicas de telecomunicaciones escapan del alcance del supuesto normativo contenido en dicho precepto legal. Considerar que el marco jurídico actual no contempla a los concesionarios de redes públicas de telecomunicaciones, conllevaría a la interpretación de que los mismos no se encuentran regulados por el actual marco normativo.</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En efecto, la abrogada Ley Federal de Telecomunicaciones en su artículo 3 fracción X, establecía que las redes públicas de telecomunicaciones eran aquellas a través de las cuales se explotaban comercialmente servicios de telecomunicaciones, en tanto que el artículo 3 fracción LVIII de la Ley define a la red pública de telecomunicaciones como aquella a través de la cual se explotan comercialmente servicios de telecomunicaciones, definición que es exactamente idéntica a la establecida por la abrogada Ley Federal de Telecomunicaciones. </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Por otro lado, no debe pasarse por alto que los servicios de telecomunicaciones que se prestan al amparo de la Concesión, son servicios públicos de interés general en virtud de lo señalado en el artículo 6o. Apartado B fracción II de la Constitución, por lo que el Estado debe garantizar que los mismos sean prestados, entre otras, en condiciones de competencia y continuidad. </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En ese sentido, la Ley, al definir a la concesión única, señala que es el acto administrativo mediante el cual el Instituto confiere el derecho para prestar de manera convergente todo tipo de servicios públicos de telecomunicaciones o radiodifusión. </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Es por ello, que de resolverse de manera favorable la Solicitud de Prórroga, debe observarse el actual régimen de concesionamiento previsto en la Ley, el cual en su artículo 66 señala que se requerirá concesión única para prestar todo tipo de servicios públicos de telecomunicaciones y radiodifusión. Asimismo, la fracción I del artículo 67 de la Ley, establece que la concesión única será para uso comercial, cuando la misma confiera el derecho para prestar servicios públicos de telecomunicaciones y de radiodifusión con fines de lucro utilizando una red pública de telecomunicaciones, como es el caso que nos ocupa.</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Derivado de lo anterior, se concluye que las concesiones de redes públicas de telecomunicaciones son susceptibles de ser prorrogadas, siempre que se actualicen las hipótesis normativas previstas en el artículo 113 de la Ley.</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En suma, el citado artículo 113 de la Ley prevé que para el otorgamiento de prórrogas de concesiones en materia de telecomunicaciones es necesario que el concesionario: (i) lo hubiere solicitado dentro del año previo al inicio de la última quinta parte del plazo de vigencia de la concesión; (ii) se encuentre al corriente en el cumplimiento de las obligaciones establecidas en la Ley y demás disposiciones aplicables; así como en su título de concesión, y (iii) acepte previamente las nuevas condiciones que, en su caso, se establezcan.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Finalmente, cabe destacar que para este tipo de solicitudes debe acatarse el requisito de procedencia establecido en el artículo 94 fracción III de la Ley Federal de Derechos, que establece la obligación a cargo del solicitante de la prórroga de vigencia de la concesión en materia de telecomunicaciones, de pagar los derechos por el trámite relativo al estudio de la solicitud de prórroga.</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En seguimiento a lo anterior, y tomando en cuenta que el análisis que debe realizar el Instituto respecto de la Solicitud de Prórroga debe llevarse a cabo en estricto apego a los términos y requisitos previstos en la Ley, así como lo establecido en los propios títulos de concesión, al resolver en definitiva dicho trámite, y de considerar procedente la prórroga, deberá otorgarse una concesión única para uso comercial.</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Derivado de lo anterior, por lo que hace al pago por la expedición del título de concesión que, en su caso otorgue el Instituto, éste deberá realizarse de conformidad con lo establecido en el Acuerdo del Pleno número P/IFT/EXT/131114/228 de fecha 13 de noviembre de 2014, mediante el cual el Instituto fijó el monto de los aprovechamientos que deberán cobrarse por la expedición de un título de concesión única para uso comercial, o el establecido en la Ley Federal de Derechos vigente.</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
          <w:bCs/>
        </w:rPr>
        <w:t>Tercero.- Análisis de las Solicitudes de Prórroga.</w:t>
      </w:r>
      <w:r>
        <w:rPr>
          <w:rFonts w:ascii="ITC Avant Garde" w:hAnsi="ITC Avant Garde"/>
          <w:bCs/>
        </w:rPr>
        <w:t xml:space="preserve"> Por lo que hace al primer requisito señalado en el artículo 113 de la Ley, relativo a que </w:t>
      </w:r>
      <w:r>
        <w:rPr>
          <w:rFonts w:ascii="ITC Avant Garde" w:hAnsi="ITC Avant Garde"/>
          <w:bCs/>
          <w:color w:val="000000"/>
          <w:lang w:eastAsia="es-MX"/>
        </w:rPr>
        <w:t xml:space="preserve">el C. Jorge Adalberto Esperón Heredia </w:t>
      </w:r>
      <w:r>
        <w:rPr>
          <w:rFonts w:ascii="ITC Avant Garde" w:hAnsi="ITC Avant Garde"/>
          <w:bCs/>
        </w:rPr>
        <w:t xml:space="preserve">hubiere solicitado la prórroga dentro del año previo al inicio de la última quinta parte del plazo de vigencia de la Concesión, este Instituto considera que el mismo se encuentra cumplido, en virtud de que la Concesión fue otorgada el </w:t>
      </w:r>
      <w:r>
        <w:rPr>
          <w:rFonts w:ascii="ITC Avant Garde" w:hAnsi="ITC Avant Garde"/>
          <w:bCs/>
          <w:color w:val="000000"/>
          <w:lang w:eastAsia="es-MX"/>
        </w:rPr>
        <w:t>13 de abril de 2007</w:t>
      </w:r>
      <w:r>
        <w:rPr>
          <w:rFonts w:ascii="ITC Avant Garde" w:hAnsi="ITC Avant Garde"/>
          <w:bCs/>
        </w:rPr>
        <w:t xml:space="preserve"> con una vigencia de 10 años contados a partir de ese momento, y la Solicitud de Prórroga fue presentada el </w:t>
      </w:r>
      <w:r>
        <w:rPr>
          <w:rFonts w:ascii="ITC Avant Garde" w:hAnsi="ITC Avant Garde"/>
          <w:bCs/>
          <w:color w:val="000000"/>
          <w:lang w:eastAsia="es-MX"/>
        </w:rPr>
        <w:t>9 de abril de 2015</w:t>
      </w:r>
      <w:r>
        <w:rPr>
          <w:rFonts w:ascii="ITC Avant Garde" w:hAnsi="ITC Avant Garde"/>
          <w:bCs/>
        </w:rPr>
        <w:t>, es decir, dentro del año previo al inicio de la última quinta parte de la Concesión.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Por lo que hace al segundo requisito de procedencia establecido en el artículo 113 de la Ley que señala que el concesionario debe encontrarse al corriente en el cumplimiento de las obligaciones establecidas en la Ley y demás disposiciones aplicables, así como del título de concesión que se pretende prorrogar, </w:t>
      </w:r>
      <w:r>
        <w:rPr>
          <w:rFonts w:ascii="ITC Avant Garde" w:hAnsi="ITC Avant Garde"/>
          <w:bCs/>
          <w:color w:val="000000"/>
          <w:lang w:eastAsia="es-MX"/>
        </w:rPr>
        <w:t xml:space="preserve">la </w:t>
      </w:r>
      <w:r>
        <w:rPr>
          <w:rFonts w:cs="Tahoma" w:ascii="ITC Avant Garde" w:hAnsi="ITC Avant Garde"/>
          <w:bCs/>
          <w:lang w:eastAsia="es-MX"/>
        </w:rPr>
        <w:t>Unidad de Concesiones y Servicios</w:t>
      </w:r>
      <w:r>
        <w:rPr>
          <w:rFonts w:ascii="ITC Avant Garde" w:hAnsi="ITC Avant Garde"/>
          <w:bCs/>
          <w:color w:val="000000"/>
          <w:lang w:eastAsia="es-MX"/>
        </w:rPr>
        <w:t xml:space="preserve"> a través de la D</w:t>
      </w:r>
      <w:r>
        <w:rPr>
          <w:rFonts w:cs="Tahoma" w:ascii="ITC Avant Garde" w:hAnsi="ITC Avant Garde"/>
          <w:bCs/>
          <w:lang w:eastAsia="es-MX"/>
        </w:rPr>
        <w:t>irección General de Concesiones de Telecomunicaciones</w:t>
      </w:r>
      <w:r>
        <w:rPr>
          <w:rFonts w:ascii="ITC Avant Garde" w:hAnsi="ITC Avant Garde"/>
          <w:bCs/>
        </w:rPr>
        <w:t xml:space="preserve">, mediante oficio </w:t>
      </w:r>
      <w:r>
        <w:rPr>
          <w:rFonts w:cs="Tahoma" w:ascii="ITC Avant Garde" w:hAnsi="ITC Avant Garde"/>
          <w:bCs/>
          <w:lang w:eastAsia="es-MX"/>
        </w:rPr>
        <w:t xml:space="preserve">IFT/223/UCS/DG-CTEL/1242/2015 </w:t>
      </w:r>
      <w:r>
        <w:rPr>
          <w:rFonts w:ascii="ITC Avant Garde" w:hAnsi="ITC Avant Garde"/>
          <w:bCs/>
        </w:rPr>
        <w:t xml:space="preserve">de fecha 20 de abril de 2015, solicitó a la Dirección General de Supervisión adscrita Unidad </w:t>
      </w:r>
      <w:r>
        <w:rPr>
          <w:rFonts w:ascii="ITC Avant Garde" w:hAnsi="ITC Avant Garde"/>
          <w:bCs/>
        </w:rPr>
        <w:t>de</w:t>
      </w:r>
      <w:r>
        <w:rPr>
          <w:rFonts w:ascii="ITC Avant Garde" w:hAnsi="ITC Avant Garde"/>
          <w:bCs/>
        </w:rPr>
        <w:t xml:space="preserve"> Cumplimiento, informara si dicho concesionario se encontraba en cumplimiento de las obligaciones y condiciones relacionadas con su título de concesión y demás ordenamientos aplicables. En respuesta a dicha petición, la Dirección General de Supervisión, a través del oficio IFT/225/UC/DG-SUV/2634/2015 de fecha 9 de junio de 2015, informó lo siguiente:</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le informo que de la revisión documental del expediente </w:t>
      </w:r>
      <w:r>
        <w:rPr>
          <w:rFonts w:ascii="ITC Avant Garde" w:hAnsi="ITC Avant Garde"/>
          <w:b/>
          <w:i/>
          <w:iCs/>
          <w:color w:val="000000"/>
          <w:sz w:val="18"/>
          <w:szCs w:val="18"/>
          <w:lang w:eastAsia="es-MX"/>
        </w:rPr>
        <w:t>02/1223</w:t>
      </w:r>
      <w:r>
        <w:rPr>
          <w:rFonts w:ascii="ITC Avant Garde" w:hAnsi="ITC Avant Garde"/>
          <w:i/>
          <w:iCs/>
          <w:color w:val="000000"/>
          <w:sz w:val="18"/>
          <w:szCs w:val="18"/>
          <w:lang w:eastAsia="es-MX"/>
        </w:rPr>
        <w:t xml:space="preserve"> integrado por la Dirección General de Adquisiciones, Recursos Materiales y Servicios Generales de este Instituto a nombre de </w:t>
      </w:r>
      <w:r>
        <w:rPr>
          <w:rFonts w:ascii="ITC Avant Garde" w:hAnsi="ITC Avant Garde"/>
          <w:b/>
          <w:i/>
          <w:iCs/>
          <w:color w:val="000000"/>
          <w:sz w:val="18"/>
          <w:szCs w:val="18"/>
          <w:lang w:eastAsia="es-MX"/>
        </w:rPr>
        <w:t>JORGE ADALBERTO ESPERÓN HEREDIA,</w:t>
      </w:r>
      <w:r>
        <w:rPr>
          <w:rFonts w:ascii="ITC Avant Garde" w:hAnsi="ITC Avant Garde"/>
          <w:i/>
          <w:iCs/>
          <w:color w:val="000000"/>
          <w:sz w:val="18"/>
          <w:szCs w:val="18"/>
          <w:lang w:eastAsia="es-MX"/>
        </w:rPr>
        <w:t xml:space="preserve"> se desprende que al 29 de mayo de 2015, </w:t>
      </w:r>
      <w:r>
        <w:rPr>
          <w:rFonts w:ascii="ITC Avant Garde" w:hAnsi="ITC Avant Garde"/>
          <w:b/>
          <w:i/>
          <w:iCs/>
          <w:color w:val="000000"/>
          <w:sz w:val="18"/>
          <w:szCs w:val="18"/>
          <w:u w:val="single"/>
          <w:lang w:eastAsia="es-MX"/>
        </w:rPr>
        <w:t>el concesionario se encuentra al corriente en la presentación de las documentales derivadas de las obligaciones que tiene a su cargo</w:t>
      </w:r>
      <w:r>
        <w:rPr>
          <w:rFonts w:ascii="ITC Avant Garde" w:hAnsi="ITC Avant Garde"/>
          <w:i/>
          <w:iCs/>
          <w:color w:val="000000"/>
          <w:sz w:val="18"/>
          <w:szCs w:val="18"/>
          <w:lang w:eastAsia="es-MX"/>
        </w:rPr>
        <w:t xml:space="preserve"> y que le son aplicables conforme a su título de concesión y demás disposiciones legales, reglamentarias y administrativas aplicables.</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Asimismo, le informo que mediante oficio IFT/225/UC/DG-VER/1934/2015 de fecha 20 de mayo de 2015, la Dirección General de Verificación informó que no se encontró denuncia presentada en contra del concesionario mencionado de la cual esté pendiente de realizarse visita de inspección y verificación; […].”</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Por lo que hace al tercer requisito de procedencia establecido por el artículo 113 de la Ley, el cual establece que el concesionario deberá aceptar las nuevas condiciones que establezca el propio Instituto, se considera que tendrá que recabarse del </w:t>
      </w:r>
      <w:r>
        <w:rPr>
          <w:rFonts w:ascii="ITC Avant Garde" w:hAnsi="ITC Avant Garde"/>
          <w:bCs/>
          <w:color w:val="000000"/>
          <w:lang w:eastAsia="es-MX"/>
        </w:rPr>
        <w:t xml:space="preserve">C. Jorge Adalberto Esperón Heredia, </w:t>
      </w:r>
      <w:r>
        <w:rPr>
          <w:rFonts w:ascii="ITC Avant Garde" w:hAnsi="ITC Avant Garde"/>
          <w:bCs/>
        </w:rPr>
        <w:t>su conformidad y total aceptación respecto de las nuevas condiciones que se establecerán en el título de concesión única que en su caso se otorgue, previo a la entrega de dicho instrumento.</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En este sentido, se estima conveniente que en el supuesto de que en la presente Resolución se autorice la prórroga de la Concesión, éstas deberán estar sujetas a la condición suspensiva relativa a que </w:t>
      </w:r>
      <w:r>
        <w:rPr>
          <w:rFonts w:ascii="ITC Avant Garde" w:hAnsi="ITC Avant Garde"/>
          <w:bCs/>
          <w:color w:val="000000"/>
          <w:lang w:eastAsia="es-MX"/>
        </w:rPr>
        <w:t>el C. Jorge Adalberto Esperón Heredia,</w:t>
      </w:r>
      <w:r>
        <w:rPr>
          <w:rFonts w:ascii="ITC Avant Garde" w:hAnsi="ITC Avant Garde"/>
          <w:bCs/>
        </w:rPr>
        <w:t xml:space="preserve"> acepte las nuevas condiciones del título de concesión única. Para tal efecto, la Unidad de Concesiones y Servicios deberá someter a consideración del solicitante el proyecto de título de concesión única, con la finalidad de recabar su aceptación.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Lo anterior, en el entendido que de no recibirse la aceptación lisa y llana correspondiente por parte del C. </w:t>
      </w:r>
      <w:r>
        <w:rPr>
          <w:rFonts w:ascii="ITC Avant Garde" w:hAnsi="ITC Avant Garde"/>
          <w:bCs/>
          <w:color w:val="000000"/>
          <w:lang w:eastAsia="es-MX"/>
        </w:rPr>
        <w:t>Jorge Adalberto Esperón Heredia</w:t>
      </w:r>
      <w:r>
        <w:rPr>
          <w:rFonts w:ascii="ITC Avant Garde" w:hAnsi="ITC Avant Garde"/>
          <w:bCs/>
        </w:rPr>
        <w:t>, la prórroga que en su caso se emita en la presente Resolución no surtirá efectos.</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cs="Tahoma"/>
          <w:bCs/>
          <w:color w:val="000000" w:themeColor="text1"/>
          <w:lang w:eastAsia="es-MX"/>
        </w:rPr>
      </w:pPr>
      <w:r>
        <w:rPr>
          <w:rFonts w:ascii="ITC Avant Garde" w:hAnsi="ITC Avant Garde"/>
          <w:bCs/>
        </w:rPr>
        <w:t xml:space="preserve">Por otra parte, </w:t>
      </w:r>
      <w:r>
        <w:rPr>
          <w:rFonts w:cs="Tahoma" w:ascii="ITC Avant Garde" w:hAnsi="ITC Avant Garde"/>
          <w:bCs/>
          <w:lang w:eastAsia="es-MX"/>
        </w:rPr>
        <w:t>la Unidad de Concesiones y Servicios</w:t>
      </w:r>
      <w:r>
        <w:rPr>
          <w:rFonts w:ascii="ITC Avant Garde" w:hAnsi="ITC Avant Garde"/>
          <w:bCs/>
          <w:color w:val="000000"/>
          <w:lang w:eastAsia="es-MX"/>
        </w:rPr>
        <w:t xml:space="preserve"> a través de la </w:t>
      </w:r>
      <w:r>
        <w:rPr>
          <w:rFonts w:cs="Tahoma" w:ascii="ITC Avant Garde" w:hAnsi="ITC Avant Garde"/>
          <w:bCs/>
          <w:lang w:eastAsia="es-MX"/>
        </w:rPr>
        <w:t xml:space="preserve">Dirección General de Concesiones de Telecomunicaciones, mediante oficio IFT/223/UCS/DG-CTEL/1243/2015 de fecha 20 de abril de 2015, solicitó a la Dirección General de Concentraciones y </w:t>
      </w:r>
      <w:r>
        <w:rPr>
          <w:rFonts w:cs="Tahoma" w:ascii="ITC Avant Garde" w:hAnsi="ITC Avant Garde"/>
          <w:bCs/>
          <w:color w:val="000000" w:themeColor="text1"/>
          <w:lang w:eastAsia="es-MX"/>
        </w:rPr>
        <w:t>Concesiones de la Unidad de Competencia Económica, opinión respecto de la Solicitud de Prórroga. En respuesta a lo anterior, mediante oficio IFT/226/UCE/DG-CCON/124/2015 de fecha 16 de junio de 2015, la Dirección General de Concentraciones y Concesiones emitió opinión respecto de la Solicitud de Prórroga, manifestado lo siguiente:</w:t>
      </w:r>
    </w:p>
    <w:p>
      <w:pPr>
        <w:pStyle w:val="Normal"/>
        <w:spacing w:lineRule="auto" w:line="240" w:before="0" w:after="0"/>
        <w:jc w:val="both"/>
        <w:rPr>
          <w:rFonts w:ascii="ITC Avant Garde" w:hAnsi="ITC Avant Garde" w:cs="Tahoma"/>
          <w:bCs/>
          <w:color w:val="000000" w:themeColor="text1"/>
          <w:lang w:eastAsia="es-MX"/>
        </w:rPr>
      </w:pPr>
      <w:r>
        <w:rPr>
          <w:rFonts w:cs="Tahoma" w:ascii="ITC Avant Garde" w:hAnsi="ITC Avant Garde"/>
          <w:bCs/>
          <w:color w:val="000000" w:themeColor="text1"/>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w:t>
      </w:r>
      <w:r>
        <w:rPr>
          <w:rFonts w:ascii="ITC Avant Garde" w:hAnsi="ITC Avant Garde"/>
          <w:i/>
          <w:iCs/>
          <w:color w:val="000000"/>
          <w:sz w:val="18"/>
          <w:szCs w:val="18"/>
          <w:lang w:eastAsia="es-MX"/>
        </w:rPr>
        <w:t>El Solicitante no cuenta con títulos de concesión adicionales al que se analiza para prestar el servicio de TV restringida en la localidad de Cuichapa en el Municipio de Moloacán, Veracruz. Se identificó que los operadores satelitales que prestan el servicio de TV restringida bajo las marcas comerciales Sky y Dish tienen presencia en dicha localidad y no se identifica que el Solicitante o personas relacionadas pertenezcan a los grupos de interés económico a los que pertenecen dichos operadores satelitales. Por lo tanto, los proveedores antes mencionados se consideran competidores del Solicitante.</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Se considera que la existencia de un mayor número de competidores en el servicio de TV restringida en la localidad involucrada en la Solicitud de Prórroga, incluyendo los proveedores del servicio a través de tecnología DTH, tiene efectos favorables sobre el proceso de competencia.</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De otorgarse la prórroga solicitada, se prevén beneficios a la competencia provenientes de la existencia de una opción adicional a los operadores satelitales para quienes deseen contratar el servicio de TV restringida en la localidad de Cuichapa, Municipio de Moloacán, en el Estado de Veracruz.</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t>En conclusión, con base en la información disponible, no se identifican elementos que permitan concluir que la autorización de la prórroga solicitada pudiera tener efectos contrarios en el proceso de competencia y libre concurrencia en los mercados. Tampoco se identifican elementos que permita concluir que exista una alternativa a la autorización de la prórroga correspondiente al Solicitante que pudiera mejorar las condiciones de competencia económica en los mercados.”</w:t>
      </w:r>
    </w:p>
    <w:p>
      <w:pPr>
        <w:pStyle w:val="Normal"/>
        <w:spacing w:lineRule="auto" w:line="240" w:before="0" w:after="0"/>
        <w:ind w:left="1429" w:right="618" w:hanging="0"/>
        <w:jc w:val="both"/>
        <w:rPr>
          <w:rFonts w:ascii="ITC Avant Garde" w:hAnsi="ITC Avant Garde"/>
          <w:i/>
          <w:i/>
          <w:iCs/>
          <w:color w:val="000000"/>
          <w:sz w:val="18"/>
          <w:szCs w:val="18"/>
          <w:lang w:eastAsia="es-MX"/>
        </w:rPr>
      </w:pPr>
      <w:r>
        <w:rPr>
          <w:rFonts w:ascii="ITC Avant Garde" w:hAnsi="ITC Avant Garde"/>
          <w:i/>
          <w:iCs/>
          <w:color w:val="000000"/>
          <w:sz w:val="18"/>
          <w:szCs w:val="18"/>
          <w:lang w:eastAsia="es-MX"/>
        </w:rPr>
      </w:r>
    </w:p>
    <w:p>
      <w:pPr>
        <w:pStyle w:val="Normal"/>
        <w:spacing w:lineRule="auto" w:line="240" w:before="0" w:after="0"/>
        <w:jc w:val="both"/>
        <w:rPr>
          <w:rFonts w:ascii="ITC Avant Garde" w:hAnsi="ITC Avant Garde"/>
          <w:bCs/>
        </w:rPr>
      </w:pPr>
      <w:r>
        <w:rPr>
          <w:rFonts w:ascii="ITC Avant Garde" w:hAnsi="ITC Avant Garde"/>
          <w:bCs/>
        </w:rPr>
        <w:t xml:space="preserve">Por otro lado, en relación con lo señalado en el párrafo cuarto del artículo 114 de la Ley, a través del oficio IFT/223/UCS/649/2015 notificado el 22 de abril de 2015, el Instituto </w:t>
      </w:r>
      <w:r>
        <w:rPr>
          <w:rFonts w:ascii="ITC Avant Garde" w:hAnsi="ITC Avant Garde"/>
          <w:bCs/>
          <w:color w:val="000000"/>
          <w:lang w:eastAsia="es-MX"/>
        </w:rPr>
        <w:t xml:space="preserve">a través de la Unidad de Concesiones y Servicios, </w:t>
      </w:r>
      <w:r>
        <w:rPr>
          <w:rFonts w:ascii="ITC Avant Garde" w:hAnsi="ITC Avant Garde"/>
          <w:bCs/>
        </w:rPr>
        <w:t>solicitó a la Secretaría opinión técnica correspondiente a la Solicitud de Prórroga. Al respecto mediante oficio 2.1.-0823 emitido por la Dirección General de Política de Telecomunicaciones y de Radiodifusión adscrita a la Secretaría y recibido en este Instituto el 25 de mayo de 2015, notificó el oficio 1.-132 mediante el cual la Secretaría emitió la opinión técnica en sentido favorable.</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Finalmente, el </w:t>
      </w:r>
      <w:r>
        <w:rPr>
          <w:rFonts w:ascii="ITC Avant Garde" w:hAnsi="ITC Avant Garde"/>
          <w:bCs/>
          <w:color w:val="000000"/>
          <w:lang w:eastAsia="es-MX"/>
        </w:rPr>
        <w:t>C. Jorge Adalberto Esperón Heredia</w:t>
      </w:r>
      <w:r>
        <w:rPr>
          <w:rFonts w:ascii="ITC Avant Garde" w:hAnsi="ITC Avant Garde"/>
          <w:bCs/>
        </w:rPr>
        <w:t xml:space="preserve"> presentó el comprobante de pago de derechos por el estudio de la solicitud de prórroga del título de concesión, conforme a la fracción III del artículo 94 de la Ley Federal de Derechos.</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Por lo anteriormente señalado, y con fundamento en los artículos 28 párrafos décimo quinto, décimo sexto y décimo séptimo de la Constitución Política de los Estados Unidos Mexicanos; 6 fracción IV, 15 fracciones IV y LVII, 16, 17 fracción I, 66, 67 fracción I, 68, 72, 113 y 114 de la Ley Federal de Telecomunicaciones y Radiodifusión; Séptimo Transitorio de “</w:t>
      </w:r>
      <w:r>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Pr>
          <w:rFonts w:ascii="ITC Avant Garde" w:hAnsi="ITC Avant Garde"/>
          <w:bCs/>
        </w:rPr>
        <w:t>”, publicado en el Diario Oficial de la Federación el 14 de julio de 2014; 35 fracción I, 36, 38, 39 y 57 fracción I de la Ley Federal de Procedimiento Administrativo; 94 fracción III de la Ley Federal de Derechos,  y 1, 6 fracciones I y XVIII, 32 y 33 fracción II, 41, 42 fracciones I, II y XV y 50 fracción XII del Estatuto Orgánico del Instituto Federal de Telecomunicaciones; así como el Acuerdo del Pleno del Instituto Federal de Telecomunicaciones número P/IFT/EXT/131114/228 de fecha 13 de noviembre de 2014, este órgano autónomo emite los siguientes:</w:t>
      </w:r>
    </w:p>
    <w:p>
      <w:pPr>
        <w:pStyle w:val="Normal"/>
        <w:spacing w:lineRule="auto" w:line="240" w:before="0" w:after="0"/>
        <w:jc w:val="center"/>
        <w:rPr>
          <w:rFonts w:ascii="ITC Avant Garde" w:hAnsi="ITC Avant Garde"/>
          <w:b/>
          <w:b/>
          <w:bCs/>
          <w:color w:val="000000"/>
          <w:lang w:eastAsia="es-MX"/>
        </w:rPr>
      </w:pPr>
      <w:bookmarkStart w:id="0" w:name="_GoBack"/>
      <w:bookmarkStart w:id="1" w:name="_GoBack"/>
      <w:bookmarkEnd w:id="1"/>
      <w:r>
        <w:rPr>
          <w:rFonts w:ascii="ITC Avant Garde" w:hAnsi="ITC Avant Garde"/>
          <w:b/>
          <w:bCs/>
          <w:color w:val="000000"/>
          <w:lang w:eastAsia="es-MX"/>
        </w:rPr>
      </w:r>
    </w:p>
    <w:p>
      <w:pPr>
        <w:pStyle w:val="Heading2"/>
        <w:jc w:val="center"/>
        <w:rPr>
          <w:rFonts w:ascii="ITC Avant Garde" w:hAnsi="ITC Avant Garde"/>
          <w:b/>
          <w:b/>
          <w:bCs/>
          <w:color w:val="000000"/>
          <w:lang w:eastAsia="es-MX"/>
        </w:rPr>
      </w:pPr>
      <w:r>
        <w:rPr>
          <w:rFonts w:ascii="ITC Avant Garde" w:hAnsi="ITC Avant Garde"/>
          <w:b/>
          <w:color w:val="000000" w:themeColor="text1"/>
          <w:sz w:val="22"/>
          <w:szCs w:val="22"/>
        </w:rPr>
        <w:t>RESOLUTIVOS</w:t>
      </w:r>
    </w:p>
    <w:p>
      <w:pPr>
        <w:pStyle w:val="Normal"/>
        <w:spacing w:lineRule="auto" w:line="240" w:before="0" w:after="0"/>
        <w:jc w:val="center"/>
        <w:rPr>
          <w:rFonts w:ascii="ITC Avant Garde" w:hAnsi="ITC Avant Garde"/>
          <w:b/>
          <w:b/>
          <w:bCs/>
          <w:color w:val="000000"/>
          <w:lang w:eastAsia="es-MX"/>
        </w:rPr>
      </w:pPr>
      <w:r>
        <w:rPr>
          <w:rFonts w:ascii="ITC Avant Garde" w:hAnsi="ITC Avant Garde"/>
          <w:b/>
          <w:bCs/>
          <w:color w:val="000000"/>
          <w:lang w:eastAsia="es-MX"/>
        </w:rPr>
      </w:r>
    </w:p>
    <w:p>
      <w:pPr>
        <w:pStyle w:val="Normal"/>
        <w:spacing w:lineRule="auto" w:line="240" w:before="0" w:after="0"/>
        <w:jc w:val="both"/>
        <w:rPr>
          <w:rFonts w:ascii="ITC Avant Garde" w:hAnsi="ITC Avant Garde"/>
          <w:bCs/>
        </w:rPr>
      </w:pPr>
      <w:r>
        <w:rPr>
          <w:rFonts w:ascii="ITC Avant Garde" w:hAnsi="ITC Avant Garde"/>
          <w:b/>
          <w:bCs/>
          <w:lang w:val="en-US"/>
        </w:rPr>
        <w:t>PRIMERO.-</w:t>
      </w:r>
      <w:r>
        <w:rPr>
          <w:rFonts w:ascii="ITC Avant Garde" w:hAnsi="ITC Avant Garde"/>
          <w:bCs/>
        </w:rPr>
        <w:t xml:space="preserve"> Se autoriza la prórroga de vigencia de la concesión otorgada al </w:t>
      </w:r>
      <w:r>
        <w:rPr>
          <w:rFonts w:ascii="ITC Avant Garde" w:hAnsi="ITC Avant Garde"/>
          <w:bCs/>
          <w:color w:val="000000"/>
          <w:lang w:eastAsia="es-MX"/>
        </w:rPr>
        <w:t>C. Jorge Adalberto Esperón Heredia</w:t>
      </w:r>
      <w:r>
        <w:rPr>
          <w:rFonts w:ascii="ITC Avant Garde" w:hAnsi="ITC Avant Garde"/>
          <w:bCs/>
        </w:rPr>
        <w:t xml:space="preserve"> el </w:t>
      </w:r>
      <w:r>
        <w:rPr>
          <w:rFonts w:ascii="ITC Avant Garde" w:hAnsi="ITC Avant Garde"/>
          <w:bCs/>
          <w:color w:val="000000"/>
          <w:lang w:eastAsia="es-MX"/>
        </w:rPr>
        <w:t>13 de abril de 2007</w:t>
      </w:r>
      <w:r>
        <w:rPr>
          <w:rFonts w:ascii="ITC Avant Garde" w:hAnsi="ITC Avant Garde"/>
          <w:bCs/>
        </w:rPr>
        <w:t>.</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Para tal efecto, el Instituto Federal de Telecomunicaciones otorgará un título de concesión única para uso comercial, en favor del </w:t>
      </w:r>
      <w:r>
        <w:rPr>
          <w:rFonts w:ascii="ITC Avant Garde" w:hAnsi="ITC Avant Garde"/>
          <w:bCs/>
          <w:color w:val="000000"/>
          <w:lang w:eastAsia="es-MX"/>
        </w:rPr>
        <w:t>C. Jorge Adalberto Esperón Heredia</w:t>
      </w:r>
      <w:r>
        <w:rPr>
          <w:rFonts w:ascii="ITC Avant Garde" w:hAnsi="ITC Avant Garde"/>
          <w:bCs/>
        </w:rPr>
        <w:t>, con una vigencia de 30 (treinta) años contados a partir del 14 de abril de 2017, con cobertura nacional y con el que podrá prestar cualquier servicio de telecomunicaciones y de radiodifusión que sea técnicamente factible.</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Lo anterior, sin perjuicio de las autorizaciones que deba obtener el </w:t>
      </w:r>
      <w:r>
        <w:rPr>
          <w:rFonts w:ascii="ITC Avant Garde" w:hAnsi="ITC Avant Garde"/>
          <w:bCs/>
          <w:color w:val="000000"/>
          <w:lang w:eastAsia="es-MX"/>
        </w:rPr>
        <w:t>C. Jorge Adalberto Esperón Heredia</w:t>
      </w:r>
      <w:r>
        <w:rPr>
          <w:rFonts w:ascii="ITC Avant Garde" w:hAnsi="ITC Avant Garde"/>
          <w:bCs/>
        </w:rPr>
        <w:t>, en caso de requerir el uso de bandas de frecuencias del espectro radioeléctrico o recursos orbitales, en los términos previstos en la Ley Federal de Telecomunicaciones y Radiodifusión.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A fin de que el Instituto Federal de Telecomunicaciones expida el título de concesión señalado en el presente Resolutivo, el </w:t>
      </w:r>
      <w:r>
        <w:rPr>
          <w:rFonts w:ascii="ITC Avant Garde" w:hAnsi="ITC Avant Garde"/>
          <w:bCs/>
          <w:color w:val="000000"/>
          <w:lang w:eastAsia="es-MX"/>
        </w:rPr>
        <w:t>C. Jorge Adalberto Esperón Heredia</w:t>
      </w:r>
      <w:r>
        <w:rPr>
          <w:rFonts w:ascii="ITC Avant Garde" w:hAnsi="ITC Avant Garde"/>
          <w:bCs/>
        </w:rPr>
        <w:t xml:space="preserve"> deberá aceptar expresamente y de manera previa, las nuevas condiciones que al efecto se le establezcan, de conformidad con lo dispuesto por el Resolutivo Segundo de la presente Resolución.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
          <w:bCs/>
          <w:lang w:val="en-US"/>
        </w:rPr>
        <w:t>SEGUNDO.-</w:t>
      </w:r>
      <w:r>
        <w:rPr>
          <w:rFonts w:ascii="ITC Avant Garde" w:hAnsi="ITC Avant Garde"/>
          <w:bCs/>
          <w:lang w:val="en-US"/>
        </w:rPr>
        <w:t xml:space="preserve"> </w:t>
      </w:r>
      <w:r>
        <w:rPr>
          <w:rFonts w:ascii="ITC Avant Garde" w:hAnsi="ITC Avant Garde"/>
          <w:bCs/>
        </w:rPr>
        <w:t>Se instruye a la Unidad de Concesiones y Servicios a hacer del conocimiento del solicitante el contenido de la presente Resolución, así como las nuevas condiciones establecidas, mismas que se encuentran contenidas en el proyecto de título de concesión única señalado en el Resolutivo Primero y que forma parte integral de la presente Resolución, a efecto de recabar de éste, en un plazo no mayor a 15 (quince) días hábiles contados a partir del día siguiente a aquel en que surta efectos la notificación respectiva, su aceptación expresa e indubitable de las nuevas condiciones.</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Cs/>
        </w:rPr>
        <w:t xml:space="preserve">En caso de que no se reciba por parte del </w:t>
      </w:r>
      <w:r>
        <w:rPr>
          <w:rFonts w:ascii="ITC Avant Garde" w:hAnsi="ITC Avant Garde"/>
          <w:bCs/>
          <w:color w:val="000000"/>
          <w:lang w:eastAsia="es-MX"/>
        </w:rPr>
        <w:t>C. Jorge Adalberto Esperón Heredia</w:t>
      </w:r>
      <w:r>
        <w:rPr>
          <w:rFonts w:ascii="ITC Avant Garde" w:hAnsi="ITC Avant Garde"/>
          <w:bCs/>
        </w:rPr>
        <w:t>, la aceptación referida dentro del plazo establecido, la presente Resolución quedará sin efectos y, en consecuencia, se tendrá por negada la prórroga de vigencia solicitada.</w:t>
      </w:r>
    </w:p>
    <w:p>
      <w:pPr>
        <w:pStyle w:val="Normal"/>
        <w:spacing w:lineRule="auto" w:line="240" w:before="0" w:after="0"/>
        <w:jc w:val="both"/>
        <w:rPr>
          <w:rFonts w:ascii="ITC Avant Garde" w:hAnsi="ITC Avant Garde"/>
          <w:b/>
          <w:b/>
          <w:bCs/>
        </w:rPr>
      </w:pPr>
      <w:r>
        <w:rPr>
          <w:rFonts w:ascii="ITC Avant Garde" w:hAnsi="ITC Avant Garde"/>
          <w:b/>
          <w:bCs/>
        </w:rPr>
      </w:r>
    </w:p>
    <w:p>
      <w:pPr>
        <w:pStyle w:val="Normal"/>
        <w:spacing w:lineRule="auto" w:line="240" w:before="0" w:after="0"/>
        <w:jc w:val="both"/>
        <w:rPr>
          <w:rFonts w:ascii="ITC Avant Garde" w:hAnsi="ITC Avant Garde"/>
          <w:bCs/>
        </w:rPr>
      </w:pPr>
      <w:r>
        <w:rPr>
          <w:rFonts w:ascii="ITC Avant Garde" w:hAnsi="ITC Avant Garde"/>
          <w:b/>
          <w:bCs/>
        </w:rPr>
        <w:t>TERCERO.-</w:t>
      </w:r>
      <w:r>
        <w:rPr>
          <w:rFonts w:ascii="ITC Avant Garde" w:hAnsi="ITC Avant Garde"/>
          <w:bCs/>
        </w:rPr>
        <w:t xml:space="preserve"> Una vez satisfecho lo establecido por los Resolutivos Primero cuarto párrafo y Segundo, el Comisionado Presidente del Instituto Federal de Telecomunicaciones, con base en las facultades que le confiere el artículo 14 fracción X del Estatuto Orgánico, suscribirá el título de concesión única que se otorgue con motivo de la presente Resolución.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
          <w:bCs/>
          <w:lang w:val="en-US"/>
        </w:rPr>
        <w:t>CUARTO.-</w:t>
      </w:r>
      <w:r>
        <w:rPr>
          <w:rFonts w:ascii="ITC Avant Garde" w:hAnsi="ITC Avant Garde"/>
          <w:bCs/>
          <w:lang w:val="en-US"/>
        </w:rPr>
        <w:t xml:space="preserve"> </w:t>
      </w:r>
      <w:r>
        <w:rPr>
          <w:rFonts w:ascii="ITC Avant Garde" w:hAnsi="ITC Avant Garde"/>
          <w:bCs/>
        </w:rPr>
        <w:t xml:space="preserve">Se instruye a la Unidad de Concesiones y Servicios a notificar al </w:t>
      </w:r>
      <w:r>
        <w:rPr>
          <w:rFonts w:ascii="ITC Avant Garde" w:hAnsi="ITC Avant Garde"/>
          <w:bCs/>
          <w:color w:val="000000"/>
          <w:lang w:eastAsia="es-MX"/>
        </w:rPr>
        <w:t>C. Jorge Adalberto Esperón Heredia</w:t>
      </w:r>
      <w:r>
        <w:rPr>
          <w:rFonts w:ascii="ITC Avant Garde" w:hAnsi="ITC Avant Garde"/>
          <w:bCs/>
        </w:rPr>
        <w:t>, de ser el caso y previo pago de los derechos por la expedición del título de concesión única para uso comercial establecidos en la Ley Federal de Derechos, el título de concesión única a que se refiere la presente Resolución.</w:t>
      </w:r>
    </w:p>
    <w:p>
      <w:pPr>
        <w:pStyle w:val="Normal"/>
        <w:spacing w:lineRule="auto" w:line="240" w:before="0" w:after="0"/>
        <w:jc w:val="both"/>
        <w:rPr>
          <w:rFonts w:ascii="ITC Avant Garde" w:hAnsi="ITC Avant Garde"/>
          <w:bCs/>
        </w:rPr>
      </w:pPr>
      <w:r>
        <w:rPr>
          <w:rFonts w:ascii="ITC Avant Garde" w:hAnsi="ITC Avant Garde"/>
          <w:bCs/>
        </w:rPr>
      </w:r>
    </w:p>
    <w:p>
      <w:pPr>
        <w:pStyle w:val="Normal"/>
        <w:spacing w:lineRule="auto" w:line="240" w:before="0" w:after="0"/>
        <w:jc w:val="both"/>
        <w:rPr>
          <w:rFonts w:ascii="ITC Avant Garde" w:hAnsi="ITC Avant Garde"/>
          <w:bCs/>
        </w:rPr>
      </w:pPr>
      <w:r>
        <w:rPr>
          <w:rFonts w:ascii="ITC Avant Garde" w:hAnsi="ITC Avant Garde"/>
          <w:b/>
          <w:bCs/>
          <w:lang w:val="en-US"/>
        </w:rPr>
        <w:t>QUINTO.-</w:t>
      </w:r>
      <w:r>
        <w:rPr>
          <w:rFonts w:ascii="ITC Avant Garde" w:hAnsi="ITC Avant Garde"/>
          <w:bCs/>
          <w:lang w:val="en-US"/>
        </w:rPr>
        <w:t xml:space="preserve"> </w:t>
      </w:r>
      <w:r>
        <w:rPr>
          <w:rFonts w:ascii="ITC Avant Garde" w:hAnsi="ITC Avant Garde"/>
          <w:bCs/>
        </w:rPr>
        <w:t xml:space="preserve">Inscríbase en el Registro Público de Concesiones el título de concesión única que en su caso se otorgue, una vez que sea debidamente entregado al interesado. </w:t>
      </w:r>
    </w:p>
    <w:p>
      <w:pPr>
        <w:pStyle w:val="Normal"/>
        <w:spacing w:lineRule="auto" w:line="240" w:before="0" w:after="0"/>
        <w:jc w:val="both"/>
        <w:rPr>
          <w:rFonts w:ascii="ITC Avant Garde" w:hAnsi="ITC Avant Garde"/>
          <w:b/>
          <w:b/>
          <w:bCs/>
          <w:lang w:val="en-US"/>
        </w:rPr>
      </w:pPr>
      <w:r>
        <w:rPr>
          <w:rFonts w:ascii="ITC Avant Garde" w:hAnsi="ITC Avant Garde"/>
          <w:b/>
          <w:bCs/>
          <w:lang w:val="en-US"/>
        </w:rPr>
      </w:r>
    </w:p>
    <w:p>
      <w:pPr>
        <w:pStyle w:val="NoSpacing"/>
        <w:jc w:val="both"/>
        <w:rPr/>
      </w:pPr>
      <w:r>
        <w:rPr>
          <w:rFonts w:ascii="ITC Avant Garde" w:hAnsi="ITC Avant Garde"/>
          <w:color w:val="000000"/>
          <w:sz w:val="16"/>
          <w:szCs w:val="20"/>
        </w:rPr>
        <w:t>La presente Resolución fue aprobada por el Pleno del Instituto Federal de Telecomunicaciones en su XXIX Sesión Ordinaria celebrada el 16 de diciembre de 2015, por unanimidad de votos de los Comisionados presentes Gabriel Oswaldo Contreras Saldívar, Luis Fernando Borjón Figueroa,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P/IFT/161215/600.</w:t>
      </w:r>
    </w:p>
    <w:sectPr>
      <w:headerReference w:type="default" r:id="rId2"/>
      <w:footerReference w:type="default" r:id="rId3"/>
      <w:type w:val="nextPage"/>
      <w:pgSz w:w="12240" w:h="15840"/>
      <w:pgMar w:left="1418" w:right="1418" w:header="709" w:top="2268" w:footer="709" w:bottom="766"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ITC Avant Garde">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49" w:hanging="0"/>
      <w:jc w:val="center"/>
      <w:rPr>
        <w:rFonts w:ascii="ITC Avant Garde" w:hAnsi="ITC Avant Garde" w:cs="Calibri"/>
        <w:sz w:val="20"/>
        <w:szCs w:val="18"/>
      </w:rPr>
    </w:pPr>
    <w:r>
      <w:rPr>
        <w:rFonts w:cs="Calibri" w:ascii="ITC Avant Garde" w:hAnsi="ITC Avant Garde"/>
        <w:sz w:val="20"/>
        <w:szCs w:val="18"/>
      </w:rPr>
    </w:r>
  </w:p>
  <w:p>
    <w:pPr>
      <w:pStyle w:val="Normal"/>
      <w:spacing w:before="0" w:after="200"/>
      <w:ind w:right="49" w:hanging="0"/>
      <w:jc w:val="center"/>
      <w:rPr/>
    </w:pPr>
    <w:r>
      <w:rPr/>
      <w:fldChar w:fldCharType="begin"/>
    </w:r>
    <w:r>
      <w:instrText> PAGE </w:instrText>
    </w:r>
    <w:r>
      <w:fldChar w:fldCharType="separate"/>
    </w:r>
    <w:r>
      <w:t>9</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rPr>
        <w:b/>
        <w:rFonts w:ascii="ITC Avant Garde" w:hAnsi="ITC Avant Garde" w:eastAsia="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MX" w:eastAsia="es-MX"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f1a0d"/>
    <w:pPr>
      <w:widowControl/>
      <w:bidi w:val="0"/>
      <w:spacing w:lineRule="auto" w:line="276" w:before="0" w:after="200"/>
      <w:jc w:val="left"/>
    </w:pPr>
    <w:rPr>
      <w:rFonts w:ascii="Calibri" w:hAnsi="Calibri" w:eastAsia="Calibri" w:cs="Times New Roman"/>
      <w:color w:val="00000A"/>
      <w:sz w:val="22"/>
      <w:szCs w:val="22"/>
      <w:lang w:val="es-MX" w:eastAsia="en-US" w:bidi="ar-SA"/>
    </w:rPr>
  </w:style>
  <w:style w:type="paragraph" w:styleId="Heading1">
    <w:name w:val="Heading 1"/>
    <w:basedOn w:val="Normal"/>
    <w:next w:val="Normal"/>
    <w:link w:val="Ttulo1Car"/>
    <w:uiPriority w:val="9"/>
    <w:qFormat/>
    <w:rsid w:val="00e44c5e"/>
    <w:pPr>
      <w:keepNext/>
      <w:keepLines/>
      <w:spacing w:before="240" w:after="0"/>
      <w:outlineLvl w:val="0"/>
    </w:pPr>
    <w:rPr>
      <w:rFonts w:ascii="Cambria" w:hAnsi="Cambria" w:eastAsia="ＭＳ ゴシック"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Ttulo2Car"/>
    <w:uiPriority w:val="9"/>
    <w:unhideWhenUsed/>
    <w:qFormat/>
    <w:rsid w:val="00a07bb6"/>
    <w:pPr>
      <w:keepNext/>
      <w:keepLines/>
      <w:spacing w:before="40" w:after="0"/>
      <w:outlineLvl w:val="1"/>
    </w:pPr>
    <w:rPr>
      <w:rFonts w:ascii="Cambria" w:hAnsi="Cambria" w:eastAsia="ＭＳ ゴシック"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072bc8"/>
    <w:rPr/>
  </w:style>
  <w:style w:type="character" w:styleId="PiedepginaCar" w:customStyle="1">
    <w:name w:val="Pie de página Car"/>
    <w:basedOn w:val="DefaultParagraphFont"/>
    <w:link w:val="Piedepgina"/>
    <w:uiPriority w:val="99"/>
    <w:qFormat/>
    <w:rsid w:val="00072bc8"/>
    <w:rPr/>
  </w:style>
  <w:style w:type="character" w:styleId="TextodegloboCar" w:customStyle="1">
    <w:name w:val="Texto de globo Car"/>
    <w:basedOn w:val="DefaultParagraphFont"/>
    <w:link w:val="Textodeglobo"/>
    <w:uiPriority w:val="99"/>
    <w:semiHidden/>
    <w:qFormat/>
    <w:rsid w:val="00b048ba"/>
    <w:rPr>
      <w:rFonts w:ascii="Tahoma" w:hAnsi="Tahoma" w:cs="Tahoma"/>
      <w:sz w:val="16"/>
      <w:szCs w:val="16"/>
      <w:lang w:eastAsia="en-US"/>
    </w:rPr>
  </w:style>
  <w:style w:type="character" w:styleId="Appleconvertedspace" w:customStyle="1">
    <w:name w:val="apple-converted-space"/>
    <w:basedOn w:val="DefaultParagraphFont"/>
    <w:qFormat/>
    <w:rsid w:val="00742c59"/>
    <w:rPr/>
  </w:style>
  <w:style w:type="character" w:styleId="Annotationreference">
    <w:name w:val="annotation reference"/>
    <w:basedOn w:val="DefaultParagraphFont"/>
    <w:uiPriority w:val="99"/>
    <w:semiHidden/>
    <w:unhideWhenUsed/>
    <w:qFormat/>
    <w:rsid w:val="00d06f43"/>
    <w:rPr>
      <w:sz w:val="16"/>
      <w:szCs w:val="16"/>
    </w:rPr>
  </w:style>
  <w:style w:type="character" w:styleId="TextocomentarioCar" w:customStyle="1">
    <w:name w:val="Texto comentario Car"/>
    <w:basedOn w:val="DefaultParagraphFont"/>
    <w:link w:val="Textocomentario"/>
    <w:uiPriority w:val="99"/>
    <w:semiHidden/>
    <w:qFormat/>
    <w:rsid w:val="00d06f43"/>
    <w:rPr>
      <w:lang w:eastAsia="en-US"/>
    </w:rPr>
  </w:style>
  <w:style w:type="character" w:styleId="AsuntodelcomentarioCar" w:customStyle="1">
    <w:name w:val="Asunto del comentario Car"/>
    <w:basedOn w:val="TextocomentarioCar"/>
    <w:link w:val="Asuntodelcomentario"/>
    <w:uiPriority w:val="99"/>
    <w:semiHidden/>
    <w:qFormat/>
    <w:rsid w:val="00d06f43"/>
    <w:rPr>
      <w:b/>
      <w:bCs/>
      <w:lang w:eastAsia="en-US"/>
    </w:rPr>
  </w:style>
  <w:style w:type="character" w:styleId="PrrafodelistaCar" w:customStyle="1">
    <w:name w:val="Párrafo de lista Car"/>
    <w:link w:val="Prrafodelista"/>
    <w:uiPriority w:val="34"/>
    <w:qFormat/>
    <w:rsid w:val="00842b34"/>
    <w:rPr>
      <w:rFonts w:ascii="Arial" w:hAnsi="Arial" w:eastAsia="Times New Roman"/>
      <w:sz w:val="24"/>
      <w:lang w:val="es-ES" w:eastAsia="es-ES"/>
    </w:rPr>
  </w:style>
  <w:style w:type="character" w:styleId="TextoindependienteCar" w:customStyle="1">
    <w:name w:val="Texto independiente Car"/>
    <w:basedOn w:val="DefaultParagraphFont"/>
    <w:link w:val="Textoindependiente"/>
    <w:qFormat/>
    <w:rsid w:val="00f61656"/>
    <w:rPr>
      <w:sz w:val="22"/>
      <w:szCs w:val="22"/>
      <w:lang w:eastAsia="en-US"/>
    </w:rPr>
  </w:style>
  <w:style w:type="character" w:styleId="Ttulo1Car" w:customStyle="1">
    <w:name w:val="Título 1 Car"/>
    <w:basedOn w:val="DefaultParagraphFont"/>
    <w:link w:val="Ttulo1"/>
    <w:uiPriority w:val="9"/>
    <w:qFormat/>
    <w:rsid w:val="00e44c5e"/>
    <w:rPr>
      <w:rFonts w:ascii="Cambria" w:hAnsi="Cambria" w:eastAsia="ＭＳ ゴシック" w:cs="" w:asciiTheme="majorHAnsi" w:cstheme="majorBidi" w:eastAsiaTheme="majorEastAsia" w:hAnsiTheme="majorHAnsi"/>
      <w:color w:val="365F91" w:themeColor="accent1" w:themeShade="bf"/>
      <w:sz w:val="32"/>
      <w:szCs w:val="32"/>
      <w:lang w:eastAsia="en-US"/>
    </w:rPr>
  </w:style>
  <w:style w:type="character" w:styleId="Ttulo2Car" w:customStyle="1">
    <w:name w:val="Título 2 Car"/>
    <w:basedOn w:val="DefaultParagraphFont"/>
    <w:link w:val="Ttulo2"/>
    <w:uiPriority w:val="9"/>
    <w:qFormat/>
    <w:rsid w:val="00a07bb6"/>
    <w:rPr>
      <w:rFonts w:ascii="Cambria" w:hAnsi="Cambria" w:eastAsia="ＭＳ ゴシック" w:cs="" w:asciiTheme="majorHAnsi" w:cstheme="majorBidi" w:eastAsiaTheme="majorEastAsia" w:hAnsiTheme="majorHAnsi"/>
      <w:color w:val="365F91" w:themeColor="accent1" w:themeShade="bf"/>
      <w:sz w:val="26"/>
      <w:szCs w:val="26"/>
      <w:lang w:eastAsia="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sz w:val="22"/>
      <w:szCs w:val="22"/>
    </w:rPr>
  </w:style>
  <w:style w:type="character" w:styleId="ListLabel5">
    <w:name w:val="ListLabel 5"/>
    <w:qFormat/>
    <w:rPr>
      <w:rFonts w:ascii="ITC Avant Garde" w:hAnsi="ITC Avant Garde" w:eastAsia="Calibri" w:cs="Times New Roman"/>
      <w:b/>
    </w:rPr>
  </w:style>
  <w:style w:type="character" w:styleId="ListLabel6">
    <w:name w:val="ListLabel 6"/>
    <w:qFormat/>
    <w:rPr>
      <w:b/>
    </w:rPr>
  </w:style>
  <w:style w:type="character" w:styleId="ListLabel7">
    <w:name w:val="ListLabel 7"/>
    <w:qFormat/>
    <w:rPr>
      <w:rFonts w:eastAsia="Calibri" w:cs="Times New Roman"/>
      <w:b/>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Times New Roman" w:cs="Arial"/>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ascii="ITC Avant Garde" w:hAnsi="ITC Avant Garde" w:eastAsia="Calibri" w:cs="Times New Roman"/>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TextoindependienteCar"/>
    <w:rsid w:val="00f61656"/>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EncabezadoCar"/>
    <w:uiPriority w:val="99"/>
    <w:unhideWhenUsed/>
    <w:rsid w:val="00072bc8"/>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072bc8"/>
    <w:pPr>
      <w:tabs>
        <w:tab w:val="center" w:pos="4419" w:leader="none"/>
        <w:tab w:val="right" w:pos="8838" w:leader="none"/>
      </w:tabs>
      <w:spacing w:lineRule="auto" w:line="240" w:before="0" w:after="0"/>
    </w:pPr>
    <w:rPr/>
  </w:style>
  <w:style w:type="paragraph" w:styleId="Estilo30" w:customStyle="1">
    <w:name w:val="estilo30"/>
    <w:basedOn w:val="Normal"/>
    <w:qFormat/>
    <w:rsid w:val="00761c83"/>
    <w:pPr>
      <w:spacing w:lineRule="auto" w:line="240" w:beforeAutospacing="1" w:afterAutospacing="1"/>
    </w:pPr>
    <w:rPr>
      <w:rFonts w:ascii="Times New Roman" w:hAnsi="Times New Roman" w:eastAsia="Times New Roman"/>
      <w:sz w:val="24"/>
      <w:szCs w:val="24"/>
      <w:lang w:eastAsia="es-MX"/>
    </w:rPr>
  </w:style>
  <w:style w:type="paragraph" w:styleId="NormalWeb">
    <w:name w:val="Normal (Web)"/>
    <w:basedOn w:val="Normal"/>
    <w:uiPriority w:val="99"/>
    <w:semiHidden/>
    <w:unhideWhenUsed/>
    <w:qFormat/>
    <w:rsid w:val="00761c83"/>
    <w:pPr>
      <w:spacing w:lineRule="auto" w:line="240" w:beforeAutospacing="1" w:afterAutospacing="1"/>
    </w:pPr>
    <w:rPr>
      <w:rFonts w:ascii="Times New Roman" w:hAnsi="Times New Roman" w:eastAsia="Times New Roman"/>
      <w:sz w:val="24"/>
      <w:szCs w:val="24"/>
      <w:lang w:eastAsia="es-MX"/>
    </w:rPr>
  </w:style>
  <w:style w:type="paragraph" w:styleId="Default" w:customStyle="1">
    <w:name w:val="Default"/>
    <w:qFormat/>
    <w:rsid w:val="00916a7e"/>
    <w:pPr>
      <w:widowControl/>
      <w:bidi w:val="0"/>
      <w:jc w:val="left"/>
    </w:pPr>
    <w:rPr>
      <w:rFonts w:ascii="Tahoma" w:hAnsi="Tahoma" w:eastAsia="Calibri" w:cs="Tahoma"/>
      <w:color w:val="000000"/>
      <w:sz w:val="24"/>
      <w:szCs w:val="24"/>
      <w:lang w:val="es-MX" w:eastAsia="es-MX" w:bidi="ar-SA"/>
    </w:rPr>
  </w:style>
  <w:style w:type="paragraph" w:styleId="ListParagraph">
    <w:name w:val="List Paragraph"/>
    <w:basedOn w:val="Normal"/>
    <w:link w:val="PrrafodelistaCar"/>
    <w:uiPriority w:val="34"/>
    <w:qFormat/>
    <w:rsid w:val="00b048ba"/>
    <w:pPr>
      <w:spacing w:lineRule="auto" w:line="240" w:before="0" w:after="0"/>
      <w:ind w:left="708" w:hanging="0"/>
    </w:pPr>
    <w:rPr>
      <w:rFonts w:ascii="Arial" w:hAnsi="Arial" w:eastAsia="Times New Roman"/>
      <w:sz w:val="24"/>
      <w:szCs w:val="20"/>
      <w:lang w:val="es-ES" w:eastAsia="es-ES"/>
    </w:rPr>
  </w:style>
  <w:style w:type="paragraph" w:styleId="BalloonText">
    <w:name w:val="Balloon Text"/>
    <w:basedOn w:val="Normal"/>
    <w:link w:val="TextodegloboCar"/>
    <w:uiPriority w:val="99"/>
    <w:semiHidden/>
    <w:unhideWhenUsed/>
    <w:qFormat/>
    <w:rsid w:val="00b048ba"/>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d06f43"/>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d06f43"/>
    <w:pPr/>
    <w:rPr>
      <w:b/>
      <w:bCs/>
    </w:rPr>
  </w:style>
  <w:style w:type="paragraph" w:styleId="NoSpacing">
    <w:name w:val="No Spacing"/>
    <w:uiPriority w:val="1"/>
    <w:qFormat/>
    <w:rsid w:val="004e04a4"/>
    <w:pPr>
      <w:widowControl/>
      <w:bidi w:val="0"/>
      <w:jc w:val="left"/>
    </w:pPr>
    <w:rPr>
      <w:rFonts w:ascii="Calibri" w:hAnsi="Calibri" w:eastAsia="Calibri" w:cs="Times New Roman"/>
      <w:color w:val="00000A"/>
      <w:sz w:val="22"/>
      <w:szCs w:val="22"/>
      <w:lang w:val="es-MX"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Cuadrculaclara">
    <w:name w:val="Light Grid"/>
    <w:basedOn w:val="Tablanormal"/>
    <w:uiPriority w:val="62"/>
    <w:rsid w:val="00e57237"/>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F7BBB1-5313-41CA-8320-E8BF7103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Application>LibreOffice/5.1.6.2$Linux_X86_64 LibreOffice_project/10m0$Build-2</Application>
  <Pages>9</Pages>
  <Words>4059</Words>
  <Characters>21966</Characters>
  <CharactersWithSpaces>25960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2015-12-17T04:41:00Z</dcterms:created>
  <dc:creator>Vicente Alejandro Patiño Ascencio</dc:creator>
  <dc:description/>
  <dc:language>en-US</dc:language>
  <cp:lastModifiedBy/>
  <cp:lastPrinted>2015-10-16T20:15:00Z</cp:lastPrinted>
  <dcterms:modified xsi:type="dcterms:W3CDTF">2018-06-14T02:10:02Z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