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s-ES"/>
        </w:rPr>
        <w:id w:val="485522806"/>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475479B9" w14:textId="192DD607" w:rsidR="007A0042" w:rsidRDefault="007A0042">
          <w:pPr>
            <w:pStyle w:val="TtuloTDC"/>
          </w:pPr>
          <w:r>
            <w:rPr>
              <w:lang w:val="es-ES"/>
            </w:rPr>
            <w:t>Contenido</w:t>
          </w:r>
        </w:p>
        <w:p w14:paraId="21AA8BEE" w14:textId="71110B59" w:rsidR="007A0042" w:rsidRDefault="007A0042">
          <w:pPr>
            <w:pStyle w:val="TDC1"/>
            <w:tabs>
              <w:tab w:val="right" w:leader="dot" w:pos="8828"/>
            </w:tabs>
            <w:rPr>
              <w:rFonts w:eastAsiaTheme="minorEastAsia"/>
              <w:noProof/>
              <w:sz w:val="24"/>
              <w:szCs w:val="24"/>
              <w:lang w:eastAsia="es-CO"/>
            </w:rPr>
          </w:pPr>
          <w:r>
            <w:fldChar w:fldCharType="begin"/>
          </w:r>
          <w:r>
            <w:instrText xml:space="preserve"> TOC \o "1-3" \h \z \u </w:instrText>
          </w:r>
          <w:r>
            <w:fldChar w:fldCharType="separate"/>
          </w:r>
          <w:hyperlink w:anchor="_Toc243490725" w:history="1">
            <w:r w:rsidRPr="003E00E7">
              <w:rPr>
                <w:rStyle w:val="Hipervnculo"/>
                <w:noProof/>
              </w:rPr>
              <w:t>1. Problema y contexto</w:t>
            </w:r>
            <w:r>
              <w:rPr>
                <w:noProof/>
                <w:webHidden/>
              </w:rPr>
              <w:tab/>
            </w:r>
            <w:r>
              <w:rPr>
                <w:noProof/>
                <w:webHidden/>
              </w:rPr>
              <w:fldChar w:fldCharType="begin"/>
            </w:r>
            <w:r>
              <w:rPr>
                <w:noProof/>
                <w:webHidden/>
              </w:rPr>
              <w:instrText xml:space="preserve"> PAGEREF _Toc243490725 \h </w:instrText>
            </w:r>
            <w:r>
              <w:rPr>
                <w:noProof/>
                <w:webHidden/>
              </w:rPr>
            </w:r>
            <w:r>
              <w:rPr>
                <w:noProof/>
                <w:webHidden/>
              </w:rPr>
              <w:fldChar w:fldCharType="separate"/>
            </w:r>
            <w:r>
              <w:rPr>
                <w:noProof/>
                <w:webHidden/>
              </w:rPr>
              <w:t>1</w:t>
            </w:r>
            <w:r>
              <w:rPr>
                <w:noProof/>
                <w:webHidden/>
              </w:rPr>
              <w:fldChar w:fldCharType="end"/>
            </w:r>
          </w:hyperlink>
        </w:p>
        <w:p w14:paraId="26C70088" w14:textId="68CFAA5D" w:rsidR="007A0042" w:rsidRDefault="007A0042">
          <w:pPr>
            <w:pStyle w:val="TDC1"/>
            <w:tabs>
              <w:tab w:val="right" w:leader="dot" w:pos="8828"/>
            </w:tabs>
            <w:rPr>
              <w:rFonts w:eastAsiaTheme="minorEastAsia"/>
              <w:noProof/>
              <w:sz w:val="24"/>
              <w:szCs w:val="24"/>
              <w:lang w:eastAsia="es-CO"/>
            </w:rPr>
          </w:pPr>
          <w:hyperlink w:anchor="_Toc243490726" w:history="1">
            <w:r w:rsidRPr="003E00E7">
              <w:rPr>
                <w:rStyle w:val="Hipervnculo"/>
                <w:noProof/>
              </w:rPr>
              <w:t>2. Pregunta de negocio y alcance del proyecto</w:t>
            </w:r>
            <w:r>
              <w:rPr>
                <w:noProof/>
                <w:webHidden/>
              </w:rPr>
              <w:tab/>
            </w:r>
            <w:r>
              <w:rPr>
                <w:noProof/>
                <w:webHidden/>
              </w:rPr>
              <w:fldChar w:fldCharType="begin"/>
            </w:r>
            <w:r>
              <w:rPr>
                <w:noProof/>
                <w:webHidden/>
              </w:rPr>
              <w:instrText xml:space="preserve"> PAGEREF _Toc243490726 \h </w:instrText>
            </w:r>
            <w:r>
              <w:rPr>
                <w:noProof/>
                <w:webHidden/>
              </w:rPr>
            </w:r>
            <w:r>
              <w:rPr>
                <w:noProof/>
                <w:webHidden/>
              </w:rPr>
              <w:fldChar w:fldCharType="separate"/>
            </w:r>
            <w:r>
              <w:rPr>
                <w:noProof/>
                <w:webHidden/>
              </w:rPr>
              <w:t>1</w:t>
            </w:r>
            <w:r>
              <w:rPr>
                <w:noProof/>
                <w:webHidden/>
              </w:rPr>
              <w:fldChar w:fldCharType="end"/>
            </w:r>
          </w:hyperlink>
        </w:p>
        <w:p w14:paraId="3B6C176E" w14:textId="64886E24" w:rsidR="007A0042" w:rsidRDefault="007A0042">
          <w:pPr>
            <w:pStyle w:val="TDC1"/>
            <w:tabs>
              <w:tab w:val="right" w:leader="dot" w:pos="8828"/>
            </w:tabs>
            <w:rPr>
              <w:rFonts w:eastAsiaTheme="minorEastAsia"/>
              <w:noProof/>
              <w:sz w:val="24"/>
              <w:szCs w:val="24"/>
              <w:lang w:eastAsia="es-CO"/>
            </w:rPr>
          </w:pPr>
          <w:hyperlink w:anchor="_Toc243490727" w:history="1">
            <w:r w:rsidRPr="003E00E7">
              <w:rPr>
                <w:rStyle w:val="Hipervnculo"/>
                <w:noProof/>
              </w:rPr>
              <w:t>3. Descripción de los conjuntos de datos</w:t>
            </w:r>
            <w:r>
              <w:rPr>
                <w:noProof/>
                <w:webHidden/>
              </w:rPr>
              <w:tab/>
            </w:r>
            <w:r>
              <w:rPr>
                <w:noProof/>
                <w:webHidden/>
              </w:rPr>
              <w:fldChar w:fldCharType="begin"/>
            </w:r>
            <w:r>
              <w:rPr>
                <w:noProof/>
                <w:webHidden/>
              </w:rPr>
              <w:instrText xml:space="preserve"> PAGEREF _Toc243490727 \h </w:instrText>
            </w:r>
            <w:r>
              <w:rPr>
                <w:noProof/>
                <w:webHidden/>
              </w:rPr>
            </w:r>
            <w:r>
              <w:rPr>
                <w:noProof/>
                <w:webHidden/>
              </w:rPr>
              <w:fldChar w:fldCharType="separate"/>
            </w:r>
            <w:r>
              <w:rPr>
                <w:noProof/>
                <w:webHidden/>
              </w:rPr>
              <w:t>1</w:t>
            </w:r>
            <w:r>
              <w:rPr>
                <w:noProof/>
                <w:webHidden/>
              </w:rPr>
              <w:fldChar w:fldCharType="end"/>
            </w:r>
          </w:hyperlink>
        </w:p>
        <w:p w14:paraId="3CCBAF60" w14:textId="63D6FBD3" w:rsidR="007A0042" w:rsidRDefault="007A0042">
          <w:pPr>
            <w:pStyle w:val="TDC1"/>
            <w:tabs>
              <w:tab w:val="right" w:leader="dot" w:pos="8828"/>
            </w:tabs>
            <w:rPr>
              <w:rFonts w:eastAsiaTheme="minorEastAsia"/>
              <w:noProof/>
              <w:sz w:val="24"/>
              <w:szCs w:val="24"/>
              <w:lang w:eastAsia="es-CO"/>
            </w:rPr>
          </w:pPr>
          <w:hyperlink w:anchor="_Toc243490728" w:history="1">
            <w:r w:rsidRPr="003E00E7">
              <w:rPr>
                <w:rStyle w:val="Hipervnculo"/>
                <w:noProof/>
              </w:rPr>
              <w:t>4. Exploración de los datos</w:t>
            </w:r>
            <w:r>
              <w:rPr>
                <w:noProof/>
                <w:webHidden/>
              </w:rPr>
              <w:tab/>
            </w:r>
            <w:r>
              <w:rPr>
                <w:noProof/>
                <w:webHidden/>
              </w:rPr>
              <w:fldChar w:fldCharType="begin"/>
            </w:r>
            <w:r>
              <w:rPr>
                <w:noProof/>
                <w:webHidden/>
              </w:rPr>
              <w:instrText xml:space="preserve"> PAGEREF _Toc243490728 \h </w:instrText>
            </w:r>
            <w:r>
              <w:rPr>
                <w:noProof/>
                <w:webHidden/>
              </w:rPr>
            </w:r>
            <w:r>
              <w:rPr>
                <w:noProof/>
                <w:webHidden/>
              </w:rPr>
              <w:fldChar w:fldCharType="separate"/>
            </w:r>
            <w:r>
              <w:rPr>
                <w:noProof/>
                <w:webHidden/>
              </w:rPr>
              <w:t>1</w:t>
            </w:r>
            <w:r>
              <w:rPr>
                <w:noProof/>
                <w:webHidden/>
              </w:rPr>
              <w:fldChar w:fldCharType="end"/>
            </w:r>
          </w:hyperlink>
        </w:p>
        <w:p w14:paraId="6D13DC99" w14:textId="762B47AE" w:rsidR="007A0042" w:rsidRDefault="007A0042">
          <w:pPr>
            <w:pStyle w:val="TDC1"/>
            <w:tabs>
              <w:tab w:val="right" w:leader="dot" w:pos="8828"/>
            </w:tabs>
            <w:rPr>
              <w:rFonts w:eastAsiaTheme="minorEastAsia"/>
              <w:noProof/>
              <w:sz w:val="24"/>
              <w:szCs w:val="24"/>
              <w:lang w:eastAsia="es-CO"/>
            </w:rPr>
          </w:pPr>
          <w:hyperlink w:anchor="_Toc243490729" w:history="1">
            <w:r w:rsidRPr="003E00E7">
              <w:rPr>
                <w:rStyle w:val="Hipervnculo"/>
                <w:noProof/>
              </w:rPr>
              <w:t>5. Maqueta (mockup) del prototipo</w:t>
            </w:r>
            <w:r>
              <w:rPr>
                <w:noProof/>
                <w:webHidden/>
              </w:rPr>
              <w:tab/>
            </w:r>
            <w:r>
              <w:rPr>
                <w:noProof/>
                <w:webHidden/>
              </w:rPr>
              <w:fldChar w:fldCharType="begin"/>
            </w:r>
            <w:r>
              <w:rPr>
                <w:noProof/>
                <w:webHidden/>
              </w:rPr>
              <w:instrText xml:space="preserve"> PAGEREF _Toc243490729 \h </w:instrText>
            </w:r>
            <w:r>
              <w:rPr>
                <w:noProof/>
                <w:webHidden/>
              </w:rPr>
            </w:r>
            <w:r>
              <w:rPr>
                <w:noProof/>
                <w:webHidden/>
              </w:rPr>
              <w:fldChar w:fldCharType="separate"/>
            </w:r>
            <w:r>
              <w:rPr>
                <w:noProof/>
                <w:webHidden/>
              </w:rPr>
              <w:t>1</w:t>
            </w:r>
            <w:r>
              <w:rPr>
                <w:noProof/>
                <w:webHidden/>
              </w:rPr>
              <w:fldChar w:fldCharType="end"/>
            </w:r>
          </w:hyperlink>
        </w:p>
        <w:p w14:paraId="2E02DAE9" w14:textId="79FF14D2" w:rsidR="007A0042" w:rsidRDefault="007A0042">
          <w:pPr>
            <w:pStyle w:val="TDC1"/>
            <w:tabs>
              <w:tab w:val="right" w:leader="dot" w:pos="8828"/>
            </w:tabs>
            <w:rPr>
              <w:rFonts w:eastAsiaTheme="minorEastAsia"/>
              <w:noProof/>
              <w:sz w:val="24"/>
              <w:szCs w:val="24"/>
              <w:lang w:eastAsia="es-CO"/>
            </w:rPr>
          </w:pPr>
          <w:hyperlink w:anchor="_Toc243490730" w:history="1">
            <w:r w:rsidRPr="003E00E7">
              <w:rPr>
                <w:rStyle w:val="Hipervnculo"/>
                <w:noProof/>
              </w:rPr>
              <w:t>6. Repositorios y soportes</w:t>
            </w:r>
            <w:r>
              <w:rPr>
                <w:noProof/>
                <w:webHidden/>
              </w:rPr>
              <w:tab/>
            </w:r>
            <w:r>
              <w:rPr>
                <w:noProof/>
                <w:webHidden/>
              </w:rPr>
              <w:fldChar w:fldCharType="begin"/>
            </w:r>
            <w:r>
              <w:rPr>
                <w:noProof/>
                <w:webHidden/>
              </w:rPr>
              <w:instrText xml:space="preserve"> PAGEREF _Toc243490730 \h </w:instrText>
            </w:r>
            <w:r>
              <w:rPr>
                <w:noProof/>
                <w:webHidden/>
              </w:rPr>
            </w:r>
            <w:r>
              <w:rPr>
                <w:noProof/>
                <w:webHidden/>
              </w:rPr>
              <w:fldChar w:fldCharType="separate"/>
            </w:r>
            <w:r>
              <w:rPr>
                <w:noProof/>
                <w:webHidden/>
              </w:rPr>
              <w:t>1</w:t>
            </w:r>
            <w:r>
              <w:rPr>
                <w:noProof/>
                <w:webHidden/>
              </w:rPr>
              <w:fldChar w:fldCharType="end"/>
            </w:r>
          </w:hyperlink>
        </w:p>
        <w:p w14:paraId="6C25A44F" w14:textId="5BCB8140" w:rsidR="007A0042" w:rsidRDefault="007A0042" w:rsidP="007A0042">
          <w:r>
            <w:rPr>
              <w:b/>
              <w:bCs/>
              <w:lang w:val="es-ES"/>
            </w:rPr>
            <w:fldChar w:fldCharType="end"/>
          </w:r>
        </w:p>
      </w:sdtContent>
    </w:sdt>
    <w:bookmarkStart w:id="0" w:name="_Toc243490725" w:displacedByCustomXml="prev"/>
    <w:p w14:paraId="16005834" w14:textId="724C1D76" w:rsidR="007A0042" w:rsidRDefault="007A0042" w:rsidP="00203F53">
      <w:pPr>
        <w:pStyle w:val="Ttulo1"/>
        <w:numPr>
          <w:ilvl w:val="0"/>
          <w:numId w:val="1"/>
        </w:numPr>
        <w:spacing w:line="240" w:lineRule="auto"/>
      </w:pPr>
      <w:r w:rsidRPr="007A0042">
        <w:t>Problema y contexto</w:t>
      </w:r>
      <w:bookmarkEnd w:id="0"/>
    </w:p>
    <w:p w14:paraId="3AD71575" w14:textId="77777777" w:rsidR="0051368E" w:rsidRPr="0051368E" w:rsidRDefault="0051368E" w:rsidP="00203F53">
      <w:pPr>
        <w:pStyle w:val="NormalWeb"/>
        <w:rPr>
          <w:rFonts w:asciiTheme="minorHAnsi" w:hAnsiTheme="minorHAnsi" w:cstheme="minorHAnsi"/>
          <w:sz w:val="22"/>
          <w:szCs w:val="22"/>
        </w:rPr>
      </w:pPr>
      <w:r w:rsidRPr="0051368E">
        <w:rPr>
          <w:rFonts w:asciiTheme="minorHAnsi" w:hAnsiTheme="minorHAnsi" w:cstheme="minorHAnsi"/>
          <w:sz w:val="22"/>
          <w:szCs w:val="22"/>
        </w:rPr>
        <w:t>El proyecto parte de la necesidad de contar con información que permita comparar de una forma más clara la actividad inmobiliaria de diferentes territorios. Aunque existen datos históricos sobre transacciones inmobiliarias, estos requieren preparación y análisis antes de poder utilizarlos para comparar municipios, ya que los datos incluyen distintos tipos de operaciones inmobiliarias y es necesario establecer criterios comunes para realizar la comparación.</w:t>
      </w:r>
    </w:p>
    <w:p w14:paraId="685EFF85" w14:textId="77777777" w:rsidR="0051368E" w:rsidRPr="0051368E" w:rsidRDefault="0051368E" w:rsidP="0051368E">
      <w:pPr>
        <w:pStyle w:val="NormalWeb"/>
        <w:spacing w:line="300" w:lineRule="atLeast"/>
        <w:rPr>
          <w:rFonts w:asciiTheme="minorHAnsi" w:hAnsiTheme="minorHAnsi" w:cstheme="minorHAnsi"/>
          <w:sz w:val="22"/>
          <w:szCs w:val="22"/>
        </w:rPr>
      </w:pPr>
      <w:r w:rsidRPr="0051368E">
        <w:rPr>
          <w:rFonts w:asciiTheme="minorHAnsi" w:hAnsiTheme="minorHAnsi" w:cstheme="minorHAnsi"/>
          <w:sz w:val="22"/>
          <w:szCs w:val="22"/>
        </w:rPr>
        <w:t xml:space="preserve">Para este proyecto se trabajará con información de transacciones inmobiliarias de </w:t>
      </w:r>
      <w:r w:rsidRPr="0051368E">
        <w:rPr>
          <w:rStyle w:val="Fuerte"/>
          <w:rFonts w:asciiTheme="minorHAnsi" w:hAnsiTheme="minorHAnsi" w:cstheme="minorHAnsi"/>
          <w:sz w:val="22"/>
          <w:szCs w:val="22"/>
        </w:rPr>
        <w:t>Armenia, Manizales y Pereira</w:t>
      </w:r>
      <w:r w:rsidRPr="0051368E">
        <w:rPr>
          <w:rFonts w:asciiTheme="minorHAnsi" w:hAnsiTheme="minorHAnsi" w:cstheme="minorHAnsi"/>
          <w:sz w:val="22"/>
          <w:szCs w:val="22"/>
        </w:rPr>
        <w:t xml:space="preserve">, tomando como periodo de análisis los años </w:t>
      </w:r>
      <w:r w:rsidRPr="0051368E">
        <w:rPr>
          <w:rStyle w:val="Fuerte"/>
          <w:rFonts w:asciiTheme="minorHAnsi" w:hAnsiTheme="minorHAnsi" w:cstheme="minorHAnsi"/>
          <w:sz w:val="22"/>
          <w:szCs w:val="22"/>
        </w:rPr>
        <w:t>2015 a 2023</w:t>
      </w:r>
      <w:r w:rsidRPr="0051368E">
        <w:rPr>
          <w:rFonts w:asciiTheme="minorHAnsi" w:hAnsiTheme="minorHAnsi" w:cstheme="minorHAnsi"/>
          <w:sz w:val="22"/>
          <w:szCs w:val="22"/>
        </w:rPr>
        <w:t>. El interés principal es aprovechar estos datos para generar información que sirva como apoyo en la priorización de municipios donde se puedan profundizar posteriormente estudios de inversión inmobiliaria.</w:t>
      </w:r>
    </w:p>
    <w:p w14:paraId="1F7D7F3D" w14:textId="77777777" w:rsidR="0051368E" w:rsidRPr="0051368E" w:rsidRDefault="0051368E" w:rsidP="0051368E">
      <w:pPr>
        <w:pStyle w:val="NormalWeb"/>
        <w:spacing w:line="300" w:lineRule="atLeast"/>
        <w:rPr>
          <w:rFonts w:asciiTheme="minorHAnsi" w:hAnsiTheme="minorHAnsi" w:cstheme="minorHAnsi"/>
          <w:sz w:val="22"/>
          <w:szCs w:val="22"/>
        </w:rPr>
      </w:pPr>
      <w:r w:rsidRPr="0051368E">
        <w:rPr>
          <w:rFonts w:asciiTheme="minorHAnsi" w:hAnsiTheme="minorHAnsi" w:cstheme="minorHAnsi"/>
          <w:sz w:val="22"/>
          <w:szCs w:val="22"/>
        </w:rPr>
        <w:t xml:space="preserve">El análisis se enfocará en </w:t>
      </w:r>
      <w:r w:rsidRPr="0051368E">
        <w:rPr>
          <w:rStyle w:val="Fuerte"/>
          <w:rFonts w:asciiTheme="minorHAnsi" w:hAnsiTheme="minorHAnsi" w:cstheme="minorHAnsi"/>
          <w:sz w:val="22"/>
          <w:szCs w:val="22"/>
        </w:rPr>
        <w:t>compraventas de predios urbanos</w:t>
      </w:r>
      <w:r w:rsidRPr="0051368E">
        <w:rPr>
          <w:rFonts w:asciiTheme="minorHAnsi" w:hAnsiTheme="minorHAnsi" w:cstheme="minorHAnsi"/>
          <w:sz w:val="22"/>
          <w:szCs w:val="22"/>
        </w:rPr>
        <w:t xml:space="preserve"> y buscará combinar la revisión de la actividad transaccional histórica con el análisis de los valores registrados. De esta manera, se espera contar con elementos de comparación entre los municipios seleccionados, sin que los resultados se interpreten como una recomendación directa de inversión o como una garantía de rentabilidad.</w:t>
      </w:r>
    </w:p>
    <w:p w14:paraId="4C304176" w14:textId="77777777" w:rsidR="0051368E" w:rsidRPr="0051368E" w:rsidRDefault="0051368E" w:rsidP="0051368E"/>
    <w:p w14:paraId="264484FB" w14:textId="0B4DE5A8" w:rsidR="007A0042" w:rsidRDefault="007A0042" w:rsidP="00203F53">
      <w:pPr>
        <w:pStyle w:val="Ttulo1"/>
        <w:numPr>
          <w:ilvl w:val="0"/>
          <w:numId w:val="1"/>
        </w:numPr>
        <w:spacing w:line="240" w:lineRule="auto"/>
      </w:pPr>
      <w:bookmarkStart w:id="1" w:name="_Toc243490726"/>
      <w:r w:rsidRPr="007A0042">
        <w:t>Pregunta de negocio y alcance del proyecto</w:t>
      </w:r>
      <w:bookmarkEnd w:id="1"/>
    </w:p>
    <w:p w14:paraId="0DF7B355" w14:textId="77777777" w:rsidR="00AB0A66" w:rsidRPr="00AB0A66" w:rsidRDefault="00AB0A66" w:rsidP="00AB0A66">
      <w:pPr>
        <w:spacing w:after="0"/>
      </w:pPr>
    </w:p>
    <w:p w14:paraId="0052BA00" w14:textId="77777777" w:rsidR="00203F53" w:rsidRDefault="00203F53" w:rsidP="00203F53">
      <w:pPr>
        <w:spacing w:after="0" w:line="240" w:lineRule="auto"/>
        <w:rPr>
          <w:rFonts w:eastAsia="Times New Roman" w:cstheme="minorHAnsi"/>
          <w:kern w:val="0"/>
          <w:lang w:eastAsia="es-CO"/>
          <w14:ligatures w14:val="none"/>
        </w:rPr>
      </w:pPr>
      <w:r w:rsidRPr="00203F53">
        <w:rPr>
          <w:rFonts w:eastAsia="Times New Roman" w:cstheme="minorHAnsi"/>
          <w:kern w:val="0"/>
          <w:lang w:eastAsia="es-CO"/>
          <w14:ligatures w14:val="none"/>
        </w:rPr>
        <w:t>¿Cómo apoyar a los inversionistas en la priorización de municipios para profundizar estudios de inversión inmobiliaria urbana, mediante la comparación de su actividad transaccional histórica y sus valores registrados?</w:t>
      </w:r>
    </w:p>
    <w:p w14:paraId="3127720A" w14:textId="77777777" w:rsidR="00AB0A66" w:rsidRDefault="00AB0A66" w:rsidP="00203F53">
      <w:pPr>
        <w:spacing w:after="0" w:line="240" w:lineRule="auto"/>
        <w:rPr>
          <w:rFonts w:eastAsia="Times New Roman" w:cstheme="minorHAnsi"/>
          <w:kern w:val="0"/>
          <w:lang w:eastAsia="es-CO"/>
          <w14:ligatures w14:val="none"/>
        </w:rPr>
      </w:pPr>
    </w:p>
    <w:p w14:paraId="02D3BED5" w14:textId="77777777" w:rsidR="00F72232" w:rsidRPr="00F72232" w:rsidRDefault="00F72232" w:rsidP="00F72232">
      <w:pPr>
        <w:spacing w:after="0" w:line="240" w:lineRule="auto"/>
        <w:rPr>
          <w:rFonts w:eastAsia="Times New Roman" w:cstheme="minorHAnsi"/>
          <w:kern w:val="0"/>
          <w:lang w:eastAsia="es-CO"/>
          <w14:ligatures w14:val="none"/>
        </w:rPr>
      </w:pPr>
      <w:r w:rsidRPr="00F72232">
        <w:rPr>
          <w:rFonts w:eastAsia="Times New Roman" w:cstheme="minorHAnsi"/>
          <w:kern w:val="0"/>
          <w:lang w:eastAsia="es-CO"/>
          <w14:ligatures w14:val="none"/>
        </w:rPr>
        <w:t xml:space="preserve">El proyecto se concentrará en el análisis de compraventas de predios urbanos en </w:t>
      </w:r>
      <w:r w:rsidRPr="00F72232">
        <w:rPr>
          <w:rFonts w:eastAsia="Times New Roman" w:cstheme="minorHAnsi"/>
          <w:b/>
          <w:bCs/>
          <w:kern w:val="0"/>
          <w:lang w:eastAsia="es-CO"/>
          <w14:ligatures w14:val="none"/>
        </w:rPr>
        <w:t>Armenia, Manizales y Pereira</w:t>
      </w:r>
      <w:r w:rsidRPr="00F72232">
        <w:rPr>
          <w:rFonts w:eastAsia="Times New Roman" w:cstheme="minorHAnsi"/>
          <w:kern w:val="0"/>
          <w:lang w:eastAsia="es-CO"/>
          <w14:ligatures w14:val="none"/>
        </w:rPr>
        <w:t xml:space="preserve"> durante el periodo </w:t>
      </w:r>
      <w:r w:rsidRPr="00F72232">
        <w:rPr>
          <w:rFonts w:eastAsia="Times New Roman" w:cstheme="minorHAnsi"/>
          <w:b/>
          <w:bCs/>
          <w:kern w:val="0"/>
          <w:lang w:eastAsia="es-CO"/>
          <w14:ligatures w14:val="none"/>
        </w:rPr>
        <w:t>2015–2023</w:t>
      </w:r>
      <w:r w:rsidRPr="00F72232">
        <w:rPr>
          <w:rFonts w:eastAsia="Times New Roman" w:cstheme="minorHAnsi"/>
          <w:kern w:val="0"/>
          <w:lang w:eastAsia="es-CO"/>
          <w14:ligatures w14:val="none"/>
        </w:rPr>
        <w:t>. Se utilizarán registros de compraventa con valores positivos y sin indicador de múltiples valores, con el fin de trabajar con criterios comunes entre los tres municipios.</w:t>
      </w:r>
    </w:p>
    <w:p w14:paraId="104C99FE" w14:textId="77777777" w:rsidR="00F72232" w:rsidRPr="00F72232" w:rsidRDefault="00F72232" w:rsidP="00F72232">
      <w:pPr>
        <w:spacing w:after="0" w:line="240" w:lineRule="auto"/>
        <w:rPr>
          <w:rFonts w:eastAsia="Times New Roman" w:cstheme="minorHAnsi"/>
          <w:kern w:val="0"/>
          <w:lang w:eastAsia="es-CO"/>
          <w14:ligatures w14:val="none"/>
        </w:rPr>
      </w:pPr>
      <w:r w:rsidRPr="00F72232">
        <w:rPr>
          <w:rFonts w:eastAsia="Times New Roman" w:cstheme="minorHAnsi"/>
          <w:kern w:val="0"/>
          <w:lang w:eastAsia="es-CO"/>
          <w14:ligatures w14:val="none"/>
        </w:rPr>
        <w:lastRenderedPageBreak/>
        <w:t>La solución buscará combinar un componente descriptivo, que permita comparar la actividad transaccional y los valores registrados, con un componente predictivo orientado a la estimación de valores. Los resultados servirán como apoyo para identificar qué municipios pueden ser priorizados para estudios posteriores de inversión. El alcance no incluye recomendaciones sobre la compra de inmuebles específicos ni pretende garantizar una rentabilidad futura.</w:t>
      </w:r>
    </w:p>
    <w:p w14:paraId="050B1FC5" w14:textId="77777777" w:rsidR="00F72232" w:rsidRPr="00203F53" w:rsidRDefault="00F72232" w:rsidP="00203F53">
      <w:pPr>
        <w:spacing w:after="0" w:line="240" w:lineRule="auto"/>
        <w:rPr>
          <w:rFonts w:eastAsia="Times New Roman" w:cstheme="minorHAnsi"/>
          <w:kern w:val="0"/>
          <w:lang w:eastAsia="es-CO"/>
          <w14:ligatures w14:val="none"/>
        </w:rPr>
      </w:pPr>
    </w:p>
    <w:p w14:paraId="296E660E" w14:textId="77777777" w:rsidR="00203F53" w:rsidRPr="00203F53" w:rsidRDefault="00203F53" w:rsidP="00203F53"/>
    <w:p w14:paraId="2DAE4C9A" w14:textId="678D7967" w:rsidR="007A0042" w:rsidRDefault="007A0042" w:rsidP="0071496D">
      <w:pPr>
        <w:pStyle w:val="Ttulo1"/>
        <w:numPr>
          <w:ilvl w:val="0"/>
          <w:numId w:val="1"/>
        </w:numPr>
      </w:pPr>
      <w:bookmarkStart w:id="2" w:name="_Toc243490727"/>
      <w:r w:rsidRPr="007A0042">
        <w:t>Descripción de los conjuntos de datos</w:t>
      </w:r>
      <w:bookmarkEnd w:id="2"/>
    </w:p>
    <w:p w14:paraId="1A4BCDD9" w14:textId="4596F166" w:rsidR="0071496D" w:rsidRPr="0071496D" w:rsidRDefault="0071496D" w:rsidP="0071496D">
      <w:pPr>
        <w:pStyle w:val="NormalWeb"/>
        <w:spacing w:line="300" w:lineRule="atLeast"/>
        <w:rPr>
          <w:rFonts w:asciiTheme="minorHAnsi" w:hAnsiTheme="minorHAnsi" w:cstheme="minorHAnsi"/>
          <w:sz w:val="22"/>
          <w:szCs w:val="22"/>
        </w:rPr>
      </w:pPr>
      <w:r w:rsidRPr="0071496D">
        <w:rPr>
          <w:rFonts w:asciiTheme="minorHAnsi" w:hAnsiTheme="minorHAnsi" w:cstheme="minorHAnsi"/>
          <w:sz w:val="22"/>
          <w:szCs w:val="22"/>
        </w:rPr>
        <w:t xml:space="preserve">Para el proyecto se utilizará como fuente principal el conjunto de </w:t>
      </w:r>
      <w:proofErr w:type="spellStart"/>
      <w:proofErr w:type="gramStart"/>
      <w:r w:rsidRPr="0071496D">
        <w:rPr>
          <w:rFonts w:asciiTheme="minorHAnsi" w:hAnsiTheme="minorHAnsi" w:cstheme="minorHAnsi"/>
          <w:sz w:val="22"/>
          <w:szCs w:val="22"/>
        </w:rPr>
        <w:t>datos</w:t>
      </w:r>
      <w:r w:rsidRPr="0071496D">
        <w:rPr>
          <w:rStyle w:val="Fuerte"/>
          <w:rFonts w:asciiTheme="minorHAnsi" w:hAnsiTheme="minorHAnsi" w:cstheme="minorHAnsi"/>
          <w:sz w:val="22"/>
          <w:szCs w:val="22"/>
        </w:rPr>
        <w:t>“</w:t>
      </w:r>
      <w:proofErr w:type="gramEnd"/>
      <w:r w:rsidRPr="0071496D">
        <w:rPr>
          <w:rStyle w:val="Fuerte"/>
          <w:rFonts w:asciiTheme="minorHAnsi" w:hAnsiTheme="minorHAnsi" w:cstheme="minorHAnsi"/>
          <w:sz w:val="22"/>
          <w:szCs w:val="22"/>
        </w:rPr>
        <w:t>Registro</w:t>
      </w:r>
      <w:proofErr w:type="spellEnd"/>
      <w:r w:rsidRPr="0071496D">
        <w:rPr>
          <w:rStyle w:val="Fuerte"/>
          <w:rFonts w:asciiTheme="minorHAnsi" w:hAnsiTheme="minorHAnsi" w:cstheme="minorHAnsi"/>
          <w:sz w:val="22"/>
          <w:szCs w:val="22"/>
        </w:rPr>
        <w:t xml:space="preserve"> de Transacciones Inmobiliarias en Colombia IGAC 2015–2023”</w:t>
      </w:r>
      <w:r w:rsidRPr="0071496D">
        <w:rPr>
          <w:rFonts w:asciiTheme="minorHAnsi" w:hAnsiTheme="minorHAnsi" w:cstheme="minorHAnsi"/>
          <w:sz w:val="22"/>
          <w:szCs w:val="22"/>
        </w:rPr>
        <w:t>, disponible en el portal de Datos Abiertos Colombia. La información puede consultarse mediante su API y contiene registros de transacciones inmobiliarias de diferentes municipios del país.</w:t>
      </w:r>
    </w:p>
    <w:p w14:paraId="6924B3DA" w14:textId="4AB79DB0" w:rsidR="0071496D" w:rsidRPr="0071496D" w:rsidRDefault="0071496D" w:rsidP="0071496D">
      <w:pPr>
        <w:pStyle w:val="NormalWeb"/>
        <w:spacing w:line="300" w:lineRule="atLeast"/>
        <w:rPr>
          <w:rFonts w:asciiTheme="minorHAnsi" w:hAnsiTheme="minorHAnsi" w:cstheme="minorHAnsi"/>
          <w:sz w:val="22"/>
          <w:szCs w:val="22"/>
        </w:rPr>
      </w:pPr>
      <w:r w:rsidRPr="0071496D">
        <w:rPr>
          <w:rFonts w:asciiTheme="minorHAnsi" w:hAnsiTheme="minorHAnsi" w:cstheme="minorHAnsi"/>
          <w:sz w:val="22"/>
          <w:szCs w:val="22"/>
        </w:rPr>
        <w:t xml:space="preserve">Para el alcance definido se trabajará con los registros correspondientes a </w:t>
      </w:r>
      <w:r w:rsidRPr="0071496D">
        <w:rPr>
          <w:rStyle w:val="Fuerte"/>
          <w:rFonts w:asciiTheme="minorHAnsi" w:hAnsiTheme="minorHAnsi" w:cstheme="minorHAnsi"/>
          <w:sz w:val="22"/>
          <w:szCs w:val="22"/>
        </w:rPr>
        <w:t>Armenia, Manizales y Pereira</w:t>
      </w:r>
      <w:r w:rsidRPr="0071496D">
        <w:rPr>
          <w:rFonts w:asciiTheme="minorHAnsi" w:hAnsiTheme="minorHAnsi" w:cstheme="minorHAnsi"/>
          <w:sz w:val="22"/>
          <w:szCs w:val="22"/>
        </w:rPr>
        <w:t xml:space="preserve"> entre los años </w:t>
      </w:r>
      <w:r w:rsidRPr="0071496D">
        <w:rPr>
          <w:rStyle w:val="Fuerte"/>
          <w:rFonts w:asciiTheme="minorHAnsi" w:hAnsiTheme="minorHAnsi" w:cstheme="minorHAnsi"/>
          <w:sz w:val="22"/>
          <w:szCs w:val="22"/>
        </w:rPr>
        <w:t>2015 y 2023</w:t>
      </w:r>
      <w:r w:rsidRPr="0071496D">
        <w:rPr>
          <w:rFonts w:asciiTheme="minorHAnsi" w:hAnsiTheme="minorHAnsi" w:cstheme="minorHAnsi"/>
          <w:sz w:val="22"/>
          <w:szCs w:val="22"/>
        </w:rPr>
        <w:t xml:space="preserve">. Dentro de la información disponible se tendrán en cuenta variables que permiten identificar el municipio, el año de registro, la naturaleza jurídica de la operación, la clasificación urbana del predio y el valor registrado. </w:t>
      </w:r>
    </w:p>
    <w:p w14:paraId="4014B0F9" w14:textId="77777777" w:rsidR="0071496D" w:rsidRPr="0071496D" w:rsidRDefault="0071496D" w:rsidP="0071496D">
      <w:pPr>
        <w:pStyle w:val="NormalWeb"/>
        <w:spacing w:line="300" w:lineRule="atLeast"/>
        <w:rPr>
          <w:rFonts w:asciiTheme="minorHAnsi" w:hAnsiTheme="minorHAnsi" w:cstheme="minorHAnsi"/>
          <w:sz w:val="22"/>
          <w:szCs w:val="22"/>
        </w:rPr>
      </w:pPr>
      <w:r w:rsidRPr="0071496D">
        <w:rPr>
          <w:rFonts w:asciiTheme="minorHAnsi" w:hAnsiTheme="minorHAnsi" w:cstheme="minorHAnsi"/>
          <w:sz w:val="22"/>
          <w:szCs w:val="22"/>
        </w:rPr>
        <w:t xml:space="preserve">Como parte de la preparación de los datos se seleccionaron las operaciones cuya naturaleza jurídica corresponde a </w:t>
      </w:r>
      <w:r w:rsidRPr="0071496D">
        <w:rPr>
          <w:rStyle w:val="Fuerte"/>
          <w:rFonts w:asciiTheme="minorHAnsi" w:hAnsiTheme="minorHAnsi" w:cstheme="minorHAnsi"/>
          <w:sz w:val="22"/>
          <w:szCs w:val="22"/>
        </w:rPr>
        <w:t>COMPRAVENTA</w:t>
      </w:r>
      <w:r w:rsidRPr="0071496D">
        <w:rPr>
          <w:rFonts w:asciiTheme="minorHAnsi" w:hAnsiTheme="minorHAnsi" w:cstheme="minorHAnsi"/>
          <w:sz w:val="22"/>
          <w:szCs w:val="22"/>
        </w:rPr>
        <w:t xml:space="preserve">, clasificadas como </w:t>
      </w:r>
      <w:r w:rsidRPr="0071496D">
        <w:rPr>
          <w:rStyle w:val="Fuerte"/>
          <w:rFonts w:asciiTheme="minorHAnsi" w:hAnsiTheme="minorHAnsi" w:cstheme="minorHAnsi"/>
          <w:sz w:val="22"/>
          <w:szCs w:val="22"/>
        </w:rPr>
        <w:t>URBANO</w:t>
      </w:r>
      <w:r w:rsidRPr="0071496D">
        <w:rPr>
          <w:rFonts w:asciiTheme="minorHAnsi" w:hAnsiTheme="minorHAnsi" w:cstheme="minorHAnsi"/>
          <w:sz w:val="22"/>
          <w:szCs w:val="22"/>
        </w:rPr>
        <w:t xml:space="preserve">, con un valor registrado mayor que cero y sin indicador de múltiples valores. Aplicando estos criterios a los tres municipios se obtuvo una selección inicial de </w:t>
      </w:r>
      <w:r w:rsidRPr="0071496D">
        <w:rPr>
          <w:rStyle w:val="Fuerte"/>
          <w:rFonts w:asciiTheme="minorHAnsi" w:hAnsiTheme="minorHAnsi" w:cstheme="minorHAnsi"/>
          <w:sz w:val="22"/>
          <w:szCs w:val="22"/>
        </w:rPr>
        <w:t>214.036 registros</w:t>
      </w:r>
      <w:r w:rsidRPr="0071496D">
        <w:rPr>
          <w:rFonts w:asciiTheme="minorHAnsi" w:hAnsiTheme="minorHAnsi" w:cstheme="minorHAnsi"/>
          <w:sz w:val="22"/>
          <w:szCs w:val="22"/>
        </w:rPr>
        <w:t>, distribuidos a lo largo de los nueve años del periodo analizado.</w:t>
      </w:r>
    </w:p>
    <w:p w14:paraId="41795A64" w14:textId="77777777" w:rsidR="0071496D" w:rsidRPr="0071496D" w:rsidRDefault="0071496D" w:rsidP="0071496D"/>
    <w:p w14:paraId="12BD8B5C" w14:textId="16937EBD" w:rsidR="007A0042" w:rsidRDefault="007A0042" w:rsidP="007A15EA">
      <w:pPr>
        <w:pStyle w:val="Ttulo1"/>
        <w:numPr>
          <w:ilvl w:val="0"/>
          <w:numId w:val="1"/>
        </w:numPr>
        <w:spacing w:before="0" w:after="0" w:line="240" w:lineRule="auto"/>
      </w:pPr>
      <w:bookmarkStart w:id="3" w:name="_Toc243490728"/>
      <w:r w:rsidRPr="007A0042">
        <w:t>Exploración de los datos</w:t>
      </w:r>
      <w:bookmarkEnd w:id="3"/>
    </w:p>
    <w:p w14:paraId="59003015" w14:textId="77777777" w:rsidR="007A15EA" w:rsidRPr="007A15EA" w:rsidRDefault="007A15EA" w:rsidP="007A15EA">
      <w:pPr>
        <w:spacing w:after="0" w:line="240" w:lineRule="auto"/>
      </w:pPr>
    </w:p>
    <w:p w14:paraId="7EAB8ED5" w14:textId="12DD2B4D" w:rsidR="007A15EA" w:rsidRDefault="007A15EA" w:rsidP="007A15EA">
      <w:pPr>
        <w:spacing w:after="0" w:line="300" w:lineRule="atLeast"/>
        <w:rPr>
          <w:rFonts w:eastAsia="Times New Roman" w:cstheme="minorHAnsi"/>
          <w:kern w:val="0"/>
          <w:lang w:eastAsia="es-CO"/>
          <w14:ligatures w14:val="none"/>
        </w:rPr>
      </w:pPr>
      <w:r w:rsidRPr="007A15EA">
        <w:rPr>
          <w:rFonts w:eastAsia="Times New Roman" w:cstheme="minorHAnsi"/>
          <w:kern w:val="0"/>
          <w:lang w:eastAsia="es-CO"/>
          <w14:ligatures w14:val="none"/>
        </w:rPr>
        <w:t xml:space="preserve">Para la exploración inicial se analizaron las compraventas de predios urbanos de Armenia, Manizales y Pereira durante el periodo 2015–2023. Después de aplicar los criterios definidos para el proyecto, se trabajó con </w:t>
      </w:r>
      <w:r w:rsidRPr="007A15EA">
        <w:rPr>
          <w:rFonts w:eastAsia="Times New Roman" w:cstheme="minorHAnsi"/>
          <w:b/>
          <w:bCs/>
          <w:kern w:val="0"/>
          <w:lang w:eastAsia="es-CO"/>
          <w14:ligatures w14:val="none"/>
        </w:rPr>
        <w:t>214.036 registros</w:t>
      </w:r>
      <w:r w:rsidRPr="007A15EA">
        <w:rPr>
          <w:rFonts w:eastAsia="Times New Roman" w:cstheme="minorHAnsi"/>
          <w:kern w:val="0"/>
          <w:lang w:eastAsia="es-CO"/>
          <w14:ligatures w14:val="none"/>
        </w:rPr>
        <w:t xml:space="preserve">, distribuidos entre Armenia con </w:t>
      </w:r>
      <w:r w:rsidRPr="007A15EA">
        <w:rPr>
          <w:rFonts w:eastAsia="Times New Roman" w:cstheme="minorHAnsi"/>
          <w:b/>
          <w:bCs/>
          <w:kern w:val="0"/>
          <w:lang w:eastAsia="es-CO"/>
          <w14:ligatures w14:val="none"/>
        </w:rPr>
        <w:t>86.560</w:t>
      </w:r>
      <w:r w:rsidRPr="007A15EA">
        <w:rPr>
          <w:rFonts w:eastAsia="Times New Roman" w:cstheme="minorHAnsi"/>
          <w:kern w:val="0"/>
          <w:lang w:eastAsia="es-CO"/>
          <w14:ligatures w14:val="none"/>
        </w:rPr>
        <w:t xml:space="preserve">, Manizales con </w:t>
      </w:r>
      <w:r w:rsidRPr="007A15EA">
        <w:rPr>
          <w:rFonts w:eastAsia="Times New Roman" w:cstheme="minorHAnsi"/>
          <w:b/>
          <w:bCs/>
          <w:kern w:val="0"/>
          <w:lang w:eastAsia="es-CO"/>
          <w14:ligatures w14:val="none"/>
        </w:rPr>
        <w:t>66.295</w:t>
      </w:r>
      <w:r w:rsidRPr="007A15EA">
        <w:rPr>
          <w:rFonts w:eastAsia="Times New Roman" w:cstheme="minorHAnsi"/>
          <w:kern w:val="0"/>
          <w:lang w:eastAsia="es-CO"/>
          <w14:ligatures w14:val="none"/>
        </w:rPr>
        <w:t xml:space="preserve"> y Pereira con </w:t>
      </w:r>
      <w:r w:rsidRPr="007A15EA">
        <w:rPr>
          <w:rFonts w:eastAsia="Times New Roman" w:cstheme="minorHAnsi"/>
          <w:b/>
          <w:bCs/>
          <w:kern w:val="0"/>
          <w:lang w:eastAsia="es-CO"/>
          <w14:ligatures w14:val="none"/>
        </w:rPr>
        <w:t>61.181</w:t>
      </w:r>
      <w:r w:rsidRPr="007A15EA">
        <w:rPr>
          <w:rFonts w:eastAsia="Times New Roman" w:cstheme="minorHAnsi"/>
          <w:kern w:val="0"/>
          <w:lang w:eastAsia="es-CO"/>
          <w14:ligatures w14:val="none"/>
        </w:rPr>
        <w:t xml:space="preserve"> registros. La información disponible permite comparar tanto la cantidad de operaciones registradas como los valores asociados a estas transacciones.</w:t>
      </w:r>
    </w:p>
    <w:p w14:paraId="01CE2421" w14:textId="5BB5A986" w:rsidR="00D81011" w:rsidRDefault="00D81011" w:rsidP="007A15EA">
      <w:pPr>
        <w:spacing w:after="0" w:line="300" w:lineRule="atLeast"/>
        <w:rPr>
          <w:rFonts w:eastAsia="Times New Roman" w:cstheme="minorHAnsi"/>
          <w:kern w:val="0"/>
          <w:lang w:eastAsia="es-CO"/>
          <w14:ligatures w14:val="none"/>
        </w:rPr>
      </w:pPr>
      <w:r w:rsidRPr="00D81011">
        <w:rPr>
          <w:rFonts w:eastAsia="Times New Roman" w:cstheme="minorHAnsi"/>
          <w:kern w:val="0"/>
          <w:lang w:eastAsia="es-CO"/>
          <w14:ligatures w14:val="none"/>
        </w:rPr>
        <w:lastRenderedPageBreak/>
        <w:drawing>
          <wp:inline distT="0" distB="0" distL="0" distR="0" wp14:anchorId="63355EAE" wp14:editId="0BFAE432">
            <wp:extent cx="5612130" cy="3194050"/>
            <wp:effectExtent l="0" t="0" r="7620" b="6350"/>
            <wp:docPr id="1091229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29586" name=""/>
                    <pic:cNvPicPr/>
                  </pic:nvPicPr>
                  <pic:blipFill>
                    <a:blip r:embed="rId6"/>
                    <a:stretch>
                      <a:fillRect/>
                    </a:stretch>
                  </pic:blipFill>
                  <pic:spPr>
                    <a:xfrm>
                      <a:off x="0" y="0"/>
                      <a:ext cx="5612130" cy="3194050"/>
                    </a:xfrm>
                    <a:prstGeom prst="rect">
                      <a:avLst/>
                    </a:prstGeom>
                  </pic:spPr>
                </pic:pic>
              </a:graphicData>
            </a:graphic>
          </wp:inline>
        </w:drawing>
      </w:r>
    </w:p>
    <w:p w14:paraId="0E87608C" w14:textId="77777777" w:rsidR="003166B4" w:rsidRPr="003166B4" w:rsidRDefault="003166B4" w:rsidP="003166B4">
      <w:pPr>
        <w:spacing w:after="0" w:line="300" w:lineRule="atLeast"/>
        <w:jc w:val="right"/>
        <w:rPr>
          <w:rFonts w:eastAsia="Times New Roman" w:cstheme="minorHAnsi"/>
          <w:kern w:val="0"/>
          <w:lang w:eastAsia="es-CO"/>
          <w14:ligatures w14:val="none"/>
        </w:rPr>
      </w:pPr>
      <w:r w:rsidRPr="003166B4">
        <w:rPr>
          <w:rFonts w:eastAsia="Times New Roman" w:cstheme="minorHAnsi"/>
          <w:kern w:val="0"/>
          <w:lang w:eastAsia="es-CO"/>
          <w14:ligatures w14:val="none"/>
        </w:rPr>
        <w:t>Figura 1. Compraventas urbanas registradas por municipio, 2015–2023.</w:t>
      </w:r>
    </w:p>
    <w:p w14:paraId="6A81A391" w14:textId="77777777" w:rsidR="00D81011" w:rsidRDefault="00D81011" w:rsidP="007A15EA">
      <w:pPr>
        <w:spacing w:after="0" w:line="300" w:lineRule="atLeast"/>
        <w:rPr>
          <w:rFonts w:eastAsia="Times New Roman" w:cstheme="minorHAnsi"/>
          <w:kern w:val="0"/>
          <w:lang w:eastAsia="es-CO"/>
          <w14:ligatures w14:val="none"/>
        </w:rPr>
      </w:pPr>
    </w:p>
    <w:p w14:paraId="54CFF5CC" w14:textId="77777777" w:rsidR="00877D60" w:rsidRPr="00877D60" w:rsidRDefault="00877D60" w:rsidP="00877D60">
      <w:pPr>
        <w:spacing w:after="0" w:line="300" w:lineRule="atLeast"/>
        <w:rPr>
          <w:rFonts w:eastAsia="Times New Roman" w:cstheme="minorHAnsi"/>
          <w:kern w:val="0"/>
          <w:lang w:eastAsia="es-CO"/>
          <w14:ligatures w14:val="none"/>
        </w:rPr>
      </w:pPr>
      <w:r w:rsidRPr="00877D60">
        <w:rPr>
          <w:rFonts w:eastAsia="Times New Roman" w:cstheme="minorHAnsi"/>
          <w:kern w:val="0"/>
          <w:lang w:eastAsia="es-CO"/>
          <w14:ligatures w14:val="none"/>
        </w:rPr>
        <w:t xml:space="preserve">La comparación muestra que </w:t>
      </w:r>
      <w:r w:rsidRPr="00877D60">
        <w:rPr>
          <w:rFonts w:eastAsia="Times New Roman" w:cstheme="minorHAnsi"/>
          <w:b/>
          <w:bCs/>
          <w:kern w:val="0"/>
          <w:lang w:eastAsia="es-CO"/>
          <w14:ligatures w14:val="none"/>
        </w:rPr>
        <w:t>Armenia presenta la mayor cantidad de registros durante todo el periodo analizado</w:t>
      </w:r>
      <w:r w:rsidRPr="00877D60">
        <w:rPr>
          <w:rFonts w:eastAsia="Times New Roman" w:cstheme="minorHAnsi"/>
          <w:kern w:val="0"/>
          <w:lang w:eastAsia="es-CO"/>
          <w14:ligatures w14:val="none"/>
        </w:rPr>
        <w:t>. También se observa una reducción de las operaciones en los tres municipios durante 2020 y una recuperación posterior, aunque con comportamientos diferentes entre las ciudades.</w:t>
      </w:r>
    </w:p>
    <w:p w14:paraId="4085FAE3" w14:textId="77777777" w:rsidR="003166B4" w:rsidRDefault="003166B4" w:rsidP="007A15EA">
      <w:pPr>
        <w:spacing w:after="0" w:line="300" w:lineRule="atLeast"/>
        <w:rPr>
          <w:rFonts w:eastAsia="Times New Roman" w:cstheme="minorHAnsi"/>
          <w:kern w:val="0"/>
          <w:lang w:eastAsia="es-CO"/>
          <w14:ligatures w14:val="none"/>
        </w:rPr>
      </w:pPr>
    </w:p>
    <w:p w14:paraId="11EDFBBA" w14:textId="5F8A9ED9" w:rsidR="003C08F7" w:rsidRDefault="003C08F7" w:rsidP="007A15EA">
      <w:pPr>
        <w:spacing w:after="0" w:line="300" w:lineRule="atLeast"/>
        <w:rPr>
          <w:rFonts w:eastAsia="Times New Roman" w:cstheme="minorHAnsi"/>
          <w:kern w:val="0"/>
          <w:lang w:eastAsia="es-CO"/>
          <w14:ligatures w14:val="none"/>
        </w:rPr>
      </w:pPr>
      <w:r w:rsidRPr="003C08F7">
        <w:rPr>
          <w:rFonts w:eastAsia="Times New Roman" w:cstheme="minorHAnsi"/>
          <w:kern w:val="0"/>
          <w:lang w:eastAsia="es-CO"/>
          <w14:ligatures w14:val="none"/>
        </w:rPr>
        <w:drawing>
          <wp:inline distT="0" distB="0" distL="0" distR="0" wp14:anchorId="63FCDDB2" wp14:editId="4B68ECC0">
            <wp:extent cx="5612130" cy="3217545"/>
            <wp:effectExtent l="0" t="0" r="7620" b="1905"/>
            <wp:docPr id="177095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5938" name=""/>
                    <pic:cNvPicPr/>
                  </pic:nvPicPr>
                  <pic:blipFill>
                    <a:blip r:embed="rId7"/>
                    <a:stretch>
                      <a:fillRect/>
                    </a:stretch>
                  </pic:blipFill>
                  <pic:spPr>
                    <a:xfrm>
                      <a:off x="0" y="0"/>
                      <a:ext cx="5612130" cy="3217545"/>
                    </a:xfrm>
                    <a:prstGeom prst="rect">
                      <a:avLst/>
                    </a:prstGeom>
                  </pic:spPr>
                </pic:pic>
              </a:graphicData>
            </a:graphic>
          </wp:inline>
        </w:drawing>
      </w:r>
    </w:p>
    <w:p w14:paraId="4E9564ED" w14:textId="77777777" w:rsidR="00A40472" w:rsidRPr="00A40472" w:rsidRDefault="00A40472" w:rsidP="00A40472">
      <w:pPr>
        <w:spacing w:after="0" w:line="300" w:lineRule="atLeast"/>
        <w:jc w:val="right"/>
        <w:rPr>
          <w:rFonts w:eastAsia="Times New Roman" w:cstheme="minorHAnsi"/>
          <w:kern w:val="0"/>
          <w:lang w:eastAsia="es-CO"/>
          <w14:ligatures w14:val="none"/>
        </w:rPr>
      </w:pPr>
      <w:r w:rsidRPr="00A40472">
        <w:rPr>
          <w:rFonts w:eastAsia="Times New Roman" w:cstheme="minorHAnsi"/>
          <w:kern w:val="0"/>
          <w:lang w:eastAsia="es-CO"/>
          <w14:ligatures w14:val="none"/>
        </w:rPr>
        <w:t>Figura 2. Valor mediano registrado por municipio, 2015–2023</w:t>
      </w:r>
    </w:p>
    <w:p w14:paraId="68BE2767" w14:textId="77777777" w:rsidR="003C08F7" w:rsidRDefault="003C08F7" w:rsidP="007A15EA">
      <w:pPr>
        <w:spacing w:after="0" w:line="300" w:lineRule="atLeast"/>
        <w:rPr>
          <w:rFonts w:eastAsia="Times New Roman" w:cstheme="minorHAnsi"/>
          <w:kern w:val="0"/>
          <w:lang w:eastAsia="es-CO"/>
          <w14:ligatures w14:val="none"/>
        </w:rPr>
      </w:pPr>
    </w:p>
    <w:p w14:paraId="6D54E91F" w14:textId="77777777" w:rsidR="00D8774F" w:rsidRPr="00D8774F" w:rsidRDefault="00D8774F" w:rsidP="00D8774F">
      <w:pPr>
        <w:spacing w:after="0" w:line="300" w:lineRule="atLeast"/>
        <w:rPr>
          <w:rFonts w:eastAsia="Times New Roman" w:cstheme="minorHAnsi"/>
          <w:kern w:val="0"/>
          <w:lang w:eastAsia="es-CO"/>
          <w14:ligatures w14:val="none"/>
        </w:rPr>
      </w:pPr>
      <w:r w:rsidRPr="00D8774F">
        <w:rPr>
          <w:rFonts w:eastAsia="Times New Roman" w:cstheme="minorHAnsi"/>
          <w:kern w:val="0"/>
          <w:lang w:eastAsia="es-CO"/>
          <w14:ligatures w14:val="none"/>
        </w:rPr>
        <w:lastRenderedPageBreak/>
        <w:t xml:space="preserve">Al revisar los valores registrados se encontraron diferencias importantes entre el promedio y la mediana, debido a la presencia de valores muy altos y muy bajos dentro de los datos. Por esta razón, se utilizó la mediana para realizar una comparación menos afectada por estos valores extremos. En el periodo analizado, la mediana pasó de </w:t>
      </w:r>
      <w:r w:rsidRPr="00D8774F">
        <w:rPr>
          <w:rFonts w:eastAsia="Times New Roman" w:cstheme="minorHAnsi"/>
          <w:b/>
          <w:bCs/>
          <w:kern w:val="0"/>
          <w:lang w:eastAsia="es-CO"/>
          <w14:ligatures w14:val="none"/>
        </w:rPr>
        <w:t>$45,1 millones a $108 millones en Armenia</w:t>
      </w:r>
      <w:r w:rsidRPr="00D8774F">
        <w:rPr>
          <w:rFonts w:eastAsia="Times New Roman" w:cstheme="minorHAnsi"/>
          <w:kern w:val="0"/>
          <w:lang w:eastAsia="es-CO"/>
          <w14:ligatures w14:val="none"/>
        </w:rPr>
        <w:t xml:space="preserve">, de </w:t>
      </w:r>
      <w:r w:rsidRPr="00D8774F">
        <w:rPr>
          <w:rFonts w:eastAsia="Times New Roman" w:cstheme="minorHAnsi"/>
          <w:b/>
          <w:bCs/>
          <w:kern w:val="0"/>
          <w:lang w:eastAsia="es-CO"/>
          <w14:ligatures w14:val="none"/>
        </w:rPr>
        <w:t>$83,1 millones a $135 millones en Manizales</w:t>
      </w:r>
      <w:r w:rsidRPr="00D8774F">
        <w:rPr>
          <w:rFonts w:eastAsia="Times New Roman" w:cstheme="minorHAnsi"/>
          <w:kern w:val="0"/>
          <w:lang w:eastAsia="es-CO"/>
          <w14:ligatures w14:val="none"/>
        </w:rPr>
        <w:t xml:space="preserve"> y de </w:t>
      </w:r>
      <w:r w:rsidRPr="00D8774F">
        <w:rPr>
          <w:rFonts w:eastAsia="Times New Roman" w:cstheme="minorHAnsi"/>
          <w:b/>
          <w:bCs/>
          <w:kern w:val="0"/>
          <w:lang w:eastAsia="es-CO"/>
          <w14:ligatures w14:val="none"/>
        </w:rPr>
        <w:t>$79,7 millones a $123 millones en Pereira</w:t>
      </w:r>
      <w:r w:rsidRPr="00D8774F">
        <w:rPr>
          <w:rFonts w:eastAsia="Times New Roman" w:cstheme="minorHAnsi"/>
          <w:kern w:val="0"/>
          <w:lang w:eastAsia="es-CO"/>
          <w14:ligatures w14:val="none"/>
        </w:rPr>
        <w:t>, entre 2015 y 2023. Estos valores corresponden a los registros disponibles y no están ajustados por inflación, por lo que se utilizan únicamente como una comparación descriptiva de su evolución.</w:t>
      </w:r>
    </w:p>
    <w:p w14:paraId="485E9252" w14:textId="77777777" w:rsidR="00A57BAA" w:rsidRPr="007A15EA" w:rsidRDefault="00A57BAA" w:rsidP="007A15EA">
      <w:pPr>
        <w:spacing w:after="0" w:line="300" w:lineRule="atLeast"/>
        <w:rPr>
          <w:rFonts w:eastAsia="Times New Roman" w:cstheme="minorHAnsi"/>
          <w:kern w:val="0"/>
          <w:lang w:eastAsia="es-CO"/>
          <w14:ligatures w14:val="none"/>
        </w:rPr>
      </w:pPr>
    </w:p>
    <w:p w14:paraId="0C9812FB" w14:textId="77777777" w:rsidR="007A0042" w:rsidRPr="007A0042" w:rsidRDefault="007A0042" w:rsidP="007A0042">
      <w:pPr>
        <w:pStyle w:val="Ttulo1"/>
      </w:pPr>
      <w:bookmarkStart w:id="4" w:name="_Toc243490729"/>
      <w:r w:rsidRPr="007A0042">
        <w:t>5. Maqueta (mockup) del prototipo</w:t>
      </w:r>
      <w:bookmarkEnd w:id="4"/>
    </w:p>
    <w:p w14:paraId="411CD065" w14:textId="77777777" w:rsidR="007A0042" w:rsidRPr="007A0042" w:rsidRDefault="007A0042" w:rsidP="007A0042">
      <w:pPr>
        <w:pStyle w:val="Ttulo1"/>
      </w:pPr>
      <w:bookmarkStart w:id="5" w:name="_Toc243490730"/>
      <w:r w:rsidRPr="007A0042">
        <w:t>6. Repositorios y soportes</w:t>
      </w:r>
      <w:bookmarkEnd w:id="5"/>
    </w:p>
    <w:p w14:paraId="097388CA" w14:textId="77777777" w:rsidR="007A0042" w:rsidRDefault="007A0042" w:rsidP="007A0042"/>
    <w:p w14:paraId="26546B1D" w14:textId="77777777" w:rsidR="00FB070F" w:rsidRDefault="00FB070F" w:rsidP="007A0042">
      <w:pPr>
        <w:keepNext/>
        <w:keepLines/>
        <w:spacing w:before="360" w:after="80"/>
        <w:outlineLvl w:val="0"/>
        <w:rPr>
          <w:b/>
          <w:bCs/>
          <w:lang w:val="es-ES"/>
        </w:rPr>
      </w:pPr>
    </w:p>
    <w:sectPr w:rsidR="00FB070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356727"/>
    <w:multiLevelType w:val="hybridMultilevel"/>
    <w:tmpl w:val="386E4D0C"/>
    <w:lvl w:ilvl="0" w:tplc="1EC61BC8">
      <w:start w:val="1"/>
      <w:numFmt w:val="decimal"/>
      <w:lvlText w:val="%1."/>
      <w:lvlJc w:val="left"/>
      <w:pPr>
        <w:ind w:left="756" w:hanging="396"/>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685279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AAC"/>
    <w:rsid w:val="00203F53"/>
    <w:rsid w:val="003166B4"/>
    <w:rsid w:val="003C08F7"/>
    <w:rsid w:val="0051368E"/>
    <w:rsid w:val="005C3AAD"/>
    <w:rsid w:val="00603A71"/>
    <w:rsid w:val="0071496D"/>
    <w:rsid w:val="007A0042"/>
    <w:rsid w:val="007A15EA"/>
    <w:rsid w:val="0080470E"/>
    <w:rsid w:val="00877D60"/>
    <w:rsid w:val="00943AAC"/>
    <w:rsid w:val="00A14617"/>
    <w:rsid w:val="00A40472"/>
    <w:rsid w:val="00A57BAA"/>
    <w:rsid w:val="00AB0A66"/>
    <w:rsid w:val="00B4295F"/>
    <w:rsid w:val="00D81011"/>
    <w:rsid w:val="00D8774F"/>
    <w:rsid w:val="00F36C3A"/>
    <w:rsid w:val="00F72232"/>
    <w:rsid w:val="00FB070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3BF23"/>
  <w15:chartTrackingRefBased/>
  <w15:docId w15:val="{90326FAF-AE89-4C0B-A44C-6D5C7CF7C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43A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43A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43AA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43AA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43AA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43AA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43AA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43AA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43AA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43AA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43AA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43AA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43AA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43AA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43AA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43AA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43AA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43AAC"/>
    <w:rPr>
      <w:rFonts w:eastAsiaTheme="majorEastAsia" w:cstheme="majorBidi"/>
      <w:color w:val="272727" w:themeColor="text1" w:themeTint="D8"/>
    </w:rPr>
  </w:style>
  <w:style w:type="paragraph" w:styleId="Ttulo">
    <w:name w:val="Title"/>
    <w:basedOn w:val="Normal"/>
    <w:next w:val="Normal"/>
    <w:link w:val="TtuloCar"/>
    <w:uiPriority w:val="10"/>
    <w:qFormat/>
    <w:rsid w:val="00943A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43AA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43AA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43AA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43AAC"/>
    <w:pPr>
      <w:spacing w:before="160"/>
      <w:jc w:val="center"/>
    </w:pPr>
    <w:rPr>
      <w:i/>
      <w:iCs/>
      <w:color w:val="404040" w:themeColor="text1" w:themeTint="BF"/>
    </w:rPr>
  </w:style>
  <w:style w:type="character" w:customStyle="1" w:styleId="CitaCar">
    <w:name w:val="Cita Car"/>
    <w:basedOn w:val="Fuentedeprrafopredeter"/>
    <w:link w:val="Cita"/>
    <w:uiPriority w:val="29"/>
    <w:rsid w:val="00943AAC"/>
    <w:rPr>
      <w:i/>
      <w:iCs/>
      <w:color w:val="404040" w:themeColor="text1" w:themeTint="BF"/>
    </w:rPr>
  </w:style>
  <w:style w:type="paragraph" w:styleId="Prrafodelista">
    <w:name w:val="List Paragraph"/>
    <w:basedOn w:val="Normal"/>
    <w:uiPriority w:val="34"/>
    <w:qFormat/>
    <w:rsid w:val="00943AAC"/>
    <w:pPr>
      <w:ind w:left="720"/>
      <w:contextualSpacing/>
    </w:pPr>
  </w:style>
  <w:style w:type="character" w:styleId="nfasisintenso">
    <w:name w:val="Intense Emphasis"/>
    <w:basedOn w:val="Fuentedeprrafopredeter"/>
    <w:uiPriority w:val="21"/>
    <w:qFormat/>
    <w:rsid w:val="00943AAC"/>
    <w:rPr>
      <w:i/>
      <w:iCs/>
      <w:color w:val="2F5496" w:themeColor="accent1" w:themeShade="BF"/>
    </w:rPr>
  </w:style>
  <w:style w:type="paragraph" w:styleId="Citadestacada">
    <w:name w:val="Intense Quote"/>
    <w:basedOn w:val="Normal"/>
    <w:next w:val="Normal"/>
    <w:link w:val="CitadestacadaCar"/>
    <w:uiPriority w:val="30"/>
    <w:qFormat/>
    <w:rsid w:val="00943A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43AAC"/>
    <w:rPr>
      <w:i/>
      <w:iCs/>
      <w:color w:val="2F5496" w:themeColor="accent1" w:themeShade="BF"/>
    </w:rPr>
  </w:style>
  <w:style w:type="character" w:styleId="Referenciaintensa">
    <w:name w:val="Intense Reference"/>
    <w:basedOn w:val="Fuentedeprrafopredeter"/>
    <w:uiPriority w:val="32"/>
    <w:qFormat/>
    <w:rsid w:val="00943AAC"/>
    <w:rPr>
      <w:b/>
      <w:bCs/>
      <w:smallCaps/>
      <w:color w:val="2F5496" w:themeColor="accent1" w:themeShade="BF"/>
      <w:spacing w:val="5"/>
    </w:rPr>
  </w:style>
  <w:style w:type="paragraph" w:styleId="TtuloTDC">
    <w:name w:val="TOC Heading"/>
    <w:basedOn w:val="Ttulo1"/>
    <w:next w:val="Normal"/>
    <w:uiPriority w:val="39"/>
    <w:unhideWhenUsed/>
    <w:qFormat/>
    <w:rsid w:val="007A0042"/>
    <w:p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7A0042"/>
    <w:pPr>
      <w:spacing w:after="100"/>
    </w:pPr>
  </w:style>
  <w:style w:type="character" w:styleId="Hipervnculo">
    <w:name w:val="Hyperlink"/>
    <w:basedOn w:val="Fuentedeprrafopredeter"/>
    <w:uiPriority w:val="99"/>
    <w:unhideWhenUsed/>
    <w:rsid w:val="007A0042"/>
    <w:rPr>
      <w:color w:val="0563C1" w:themeColor="hyperlink"/>
      <w:u w:val="single"/>
    </w:rPr>
  </w:style>
  <w:style w:type="paragraph" w:styleId="NormalWeb">
    <w:name w:val="Normal (Web)"/>
    <w:basedOn w:val="Normal"/>
    <w:uiPriority w:val="99"/>
    <w:semiHidden/>
    <w:unhideWhenUsed/>
    <w:rsid w:val="0051368E"/>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51368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25A457-09AE-4D07-A992-D03D96521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4</Pages>
  <Words>873</Words>
  <Characters>4805</Characters>
  <Application>Microsoft Office Word</Application>
  <DocSecurity>0</DocSecurity>
  <Lines>40</Lines>
  <Paragraphs>11</Paragraphs>
  <ScaleCrop>false</ScaleCrop>
  <Company/>
  <LinksUpToDate>false</LinksUpToDate>
  <CharactersWithSpaces>5667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Guillermo Prieto Peralta</dc:creator>
  <cp:keywords/>
  <dc:description/>
  <cp:lastModifiedBy>Guillermo Prieto Peralta</cp:lastModifiedBy>
  <cp:revision>15</cp:revision>
  <dcterms:created xsi:type="dcterms:W3CDTF">2026-10-21T20:51:00Z</dcterms:created>
  <dcterms:modified xsi:type="dcterms:W3CDTF">2026-10-21T22:12:00Z</dcterms:modified>
</cp:coreProperties>
</file>