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200"/>
          <w:sz w:val="52"/>
          <w:szCs w:val="52"/>
        </w:rPr>
        <w:t xml:space="preserve">ABU ORACLE</w:t>
      </w:r>
    </w:p>
    <w:p>
      <w:pPr>
        <w:spacing w:before="0" w:after="60"/>
        <w:jc w:val="center"/>
      </w:pPr>
      <w:r>
        <w:rPr>
          <w:rFonts w:ascii="Garamond" w:cs="Garamond" w:eastAsia="Garamond" w:hAnsi="Garamond"/>
          <w:i/>
          <w:iCs/>
          <w:color w:val="8B6F47"/>
          <w:sz w:val="28"/>
          <w:szCs w:val="28"/>
        </w:rPr>
        <w:t xml:space="preserve">Canonical Communication Reference</w:t>
      </w:r>
    </w:p>
    <w:p>
      <w:pPr>
        <w:spacing w:before="0" w:after="400"/>
        <w:jc w:val="center"/>
      </w:pPr>
      <w:r>
        <w:rPr>
          <w:rFonts w:ascii="Garamond" w:cs="Garamond" w:eastAsia="Garamond" w:hAnsi="Garamond"/>
          <w:color w:val="6B5A42"/>
          <w:sz w:val="20"/>
          <w:szCs w:val="20"/>
        </w:rPr>
        <w:t xml:space="preserve">Version 1.0  ·  March 2026</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A computational system that reveals the invisible geometry of the celestial field — the terrain of possibility underlying every life trajectory.</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0. PURPOSE OF THIS DOCUMENT</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This document is the canonical reference for all public communication about Abu Oracle. It establishes the unified conceptual framework, official terminology, authorised analogies, and system boundaries.</w:t>
      </w:r>
    </w:p>
    <w:p>
      <w:pPr>
        <w:spacing w:before="0" w:after="120"/>
        <w:jc w:val="both"/>
      </w:pPr>
      <w:r>
        <w:rPr>
          <w:rFonts w:ascii="Garamond" w:cs="Garamond" w:eastAsia="Garamond" w:hAnsi="Garamond"/>
          <w:color w:val="1A1510"/>
          <w:sz w:val="22"/>
          <w:szCs w:val="22"/>
        </w:rPr>
        <w:t xml:space="preserve">It is built from three integrated sources:</w:t>
      </w:r>
    </w:p>
    <w:p>
      <w:pPr>
        <w:pStyle w:val="ListParagraph"/>
        <w:numPr>
          <w:ilvl w:val="0"/>
          <w:numId w:val="2"/>
        </w:numPr>
        <w:spacing w:before="60" w:after="60"/>
      </w:pPr>
      <w:r>
        <w:rPr>
          <w:rFonts w:ascii="Garamond" w:cs="Garamond" w:eastAsia="Garamond" w:hAnsi="Garamond"/>
          <w:color w:val="1A1510"/>
          <w:sz w:val="22"/>
          <w:szCs w:val="22"/>
        </w:rPr>
        <w:t xml:space="preserve">The Axiomatics of Heavens v0.4 — the epistemological foundation of the system.</w:t>
      </w:r>
    </w:p>
    <w:p>
      <w:pPr>
        <w:pStyle w:val="ListParagraph"/>
        <w:numPr>
          <w:ilvl w:val="0"/>
          <w:numId w:val="2"/>
        </w:numPr>
        <w:spacing w:before="60" w:after="60"/>
      </w:pPr>
      <w:r>
        <w:rPr>
          <w:rFonts w:ascii="Garamond" w:cs="Garamond" w:eastAsia="Garamond" w:hAnsi="Garamond"/>
          <w:color w:val="1A1510"/>
          <w:sz w:val="22"/>
          <w:szCs w:val="22"/>
        </w:rPr>
        <w:t xml:space="preserve">The geometric analogy of the normals field — a bridge between differential geometry and the celestial field.</w:t>
      </w:r>
    </w:p>
    <w:p>
      <w:pPr>
        <w:pStyle w:val="ListParagraph"/>
        <w:numPr>
          <w:ilvl w:val="0"/>
          <w:numId w:val="2"/>
        </w:numPr>
        <w:spacing w:before="60" w:after="60"/>
      </w:pPr>
      <w:r>
        <w:rPr>
          <w:rFonts w:ascii="Garamond" w:cs="Garamond" w:eastAsia="Garamond" w:hAnsi="Garamond"/>
          <w:color w:val="1A1510"/>
          <w:sz w:val="22"/>
          <w:szCs w:val="22"/>
        </w:rPr>
        <w:t xml:space="preserve">The compatibility analysis with Matriz del Destino — positioning the system relative to adjacent audiences.</w:t>
      </w:r>
    </w:p>
    <w:p/>
    <w:p>
      <w:pPr>
        <w:spacing w:before="0" w:after="120"/>
        <w:jc w:val="both"/>
      </w:pPr>
      <w:r>
        <w:rPr>
          <w:rFonts w:ascii="Garamond" w:cs="Garamond" w:eastAsia="Garamond" w:hAnsi="Garamond"/>
          <w:color w:val="1A1510"/>
          <w:sz w:val="22"/>
          <w:szCs w:val="22"/>
        </w:rPr>
        <w:t xml:space="preserve">All communication materials — Twitter/X threads, Instagram posts, articles, explainer videos — must be consistent with the framework established here.</w:t>
      </w:r>
    </w:p>
    <w:p>
      <w:r>
        <w:br/>
      </w:r>
    </w:p>
    <w:p>
      <w:pPr>
        <w:pStyle w:val="Heading1"/>
        <w:spacing w:before="360" w:after="120"/>
        <w:jc w:val="center"/>
      </w:pPr>
      <w:r>
        <w:rPr>
          <w:rFonts w:ascii="Garamond" w:cs="Garamond" w:eastAsia="Garamond" w:hAnsi="Garamond"/>
          <w:b/>
          <w:bCs/>
          <w:color w:val="1A1510"/>
          <w:spacing w:val="120"/>
          <w:sz w:val="28"/>
          <w:szCs w:val="28"/>
        </w:rPr>
        <w:t xml:space="preserve">I. WHAT ABU ORACLE IS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1.1 Core definition</w:t>
      </w:r>
    </w:p>
    <w:p>
      <w:pPr>
        <w:spacing w:before="0" w:after="120"/>
        <w:jc w:val="both"/>
      </w:pPr>
      <w:r>
        <w:rPr>
          <w:rFonts w:ascii="Garamond" w:cs="Garamond" w:eastAsia="Garamond" w:hAnsi="Garamond"/>
          <w:color w:val="1A1510"/>
          <w:sz w:val="22"/>
          <w:szCs w:val="22"/>
        </w:rPr>
        <w:t xml:space="preserve">Abu Oracle is a computational astrology engine that calculates, for any natal chart, a geographic scalar field called the Harmony Field (HF). This field assigns a numerical value to every coordinate on Earth and answers the question: where are the structural conditions most favourable for a specific life domain of this person?</w:t>
      </w:r>
    </w:p>
    <w:p>
      <w:pPr>
        <w:spacing w:before="0" w:after="120"/>
        <w:jc w:val="both"/>
      </w:pPr>
      <w:r>
        <w:rPr>
          <w:rFonts w:ascii="Garamond" w:cs="Garamond" w:eastAsia="Garamond" w:hAnsi="Garamond"/>
          <w:color w:val="1A1510"/>
          <w:sz w:val="22"/>
          <w:szCs w:val="22"/>
        </w:rPr>
        <w:t xml:space="preserve">The system does not predict. It does not divine. It maps terrain — the geometry of the natal potential projected onto the surface of the planet.</w:t>
      </w:r>
    </w:p>
    <w:p>
      <w:pPr>
        <w:pStyle w:val="Heading2"/>
        <w:spacing w:before="280" w:after="100"/>
      </w:pPr>
      <w:r>
        <w:rPr>
          <w:rFonts w:ascii="Garamond" w:cs="Garamond" w:eastAsia="Garamond" w:hAnsi="Garamond"/>
          <w:b/>
          <w:bCs/>
          <w:color w:val="8B6F47"/>
          <w:sz w:val="22"/>
          <w:szCs w:val="22"/>
        </w:rPr>
        <w:t xml:space="preserve">1.2 The name</w:t>
      </w:r>
    </w:p>
    <w:p>
      <w:pPr>
        <w:spacing w:before="0" w:after="120"/>
        <w:jc w:val="both"/>
      </w:pPr>
      <w:r>
        <w:rPr>
          <w:rFonts w:ascii="Garamond" w:cs="Garamond" w:eastAsia="Garamond" w:hAnsi="Garamond"/>
          <w:color w:val="1A1510"/>
          <w:sz w:val="22"/>
          <w:szCs w:val="22"/>
        </w:rPr>
        <w:t xml:space="preserve">Abu Oracle is named after Abu Mashar al-Balkhi (787–886 CE), the Persian medieval astronomer and mathematician who systematised Arab astrology and established its astronomical foundations. The choice signals the intellectual tradition the system inhabits: mathematical rigour applied to the interpretation of the sky.</w:t>
      </w:r>
    </w:p>
    <w:p>
      <w:pPr>
        <w:pStyle w:val="Heading2"/>
        <w:spacing w:before="280" w:after="100"/>
      </w:pPr>
      <w:r>
        <w:rPr>
          <w:rFonts w:ascii="Garamond" w:cs="Garamond" w:eastAsia="Garamond" w:hAnsi="Garamond"/>
          <w:b/>
          <w:bCs/>
          <w:color w:val="8B6F47"/>
          <w:sz w:val="22"/>
          <w:szCs w:val="22"/>
        </w:rPr>
        <w:t xml:space="preserve">1.3 What the system does</w:t>
      </w:r>
    </w:p>
    <w:p>
      <w:pPr>
        <w:pStyle w:val="ListParagraph"/>
        <w:numPr>
          <w:ilvl w:val="0"/>
          <w:numId w:val="3"/>
        </w:numPr>
        <w:spacing w:before="60" w:after="60"/>
      </w:pPr>
      <w:r>
        <w:rPr>
          <w:rFonts w:ascii="Garamond" w:cs="Garamond" w:eastAsia="Garamond" w:hAnsi="Garamond"/>
          <w:color w:val="1A1510"/>
          <w:sz w:val="22"/>
          <w:szCs w:val="22"/>
        </w:rPr>
        <w:t xml:space="preserve">Computes the natal chart with topocentric precision (Swiss Ephemeris DE440s, Placidus houses).</w:t>
      </w:r>
    </w:p>
    <w:p>
      <w:pPr>
        <w:pStyle w:val="ListParagraph"/>
        <w:numPr>
          <w:ilvl w:val="0"/>
          <w:numId w:val="3"/>
        </w:numPr>
        <w:spacing w:before="60" w:after="60"/>
      </w:pPr>
      <w:r>
        <w:rPr>
          <w:rFonts w:ascii="Garamond" w:cs="Garamond" w:eastAsia="Garamond" w:hAnsi="Garamond"/>
          <w:color w:val="1A1510"/>
          <w:sz w:val="22"/>
          <w:szCs w:val="22"/>
        </w:rPr>
        <w:t xml:space="preserve">Generates a scalar HF over a global 5° × 5° grid (~2,400 points).</w:t>
      </w:r>
    </w:p>
    <w:p>
      <w:pPr>
        <w:pStyle w:val="ListParagraph"/>
        <w:numPr>
          <w:ilvl w:val="0"/>
          <w:numId w:val="3"/>
        </w:numPr>
        <w:spacing w:before="60" w:after="60"/>
      </w:pPr>
      <w:r>
        <w:rPr>
          <w:rFonts w:ascii="Garamond" w:cs="Garamond" w:eastAsia="Garamond" w:hAnsi="Garamond"/>
          <w:color w:val="1A1510"/>
          <w:sz w:val="22"/>
          <w:szCs w:val="22"/>
        </w:rPr>
        <w:t xml:space="preserve">Filters that field by life domain using the planetary significators of the corresponding house.</w:t>
      </w:r>
    </w:p>
    <w:p>
      <w:pPr>
        <w:pStyle w:val="ListParagraph"/>
        <w:numPr>
          <w:ilvl w:val="0"/>
          <w:numId w:val="3"/>
        </w:numPr>
        <w:spacing w:before="60" w:after="60"/>
      </w:pPr>
      <w:r>
        <w:rPr>
          <w:rFonts w:ascii="Garamond" w:cs="Garamond" w:eastAsia="Garamond" w:hAnsi="Garamond"/>
          <w:color w:val="1A1510"/>
          <w:sz w:val="22"/>
          <w:szCs w:val="22"/>
        </w:rPr>
        <w:t xml:space="preserve">Renders the result as an interactive geographic heatmap.</w:t>
      </w:r>
    </w:p>
    <w:p>
      <w:pPr>
        <w:pStyle w:val="ListParagraph"/>
        <w:numPr>
          <w:ilvl w:val="0"/>
          <w:numId w:val="3"/>
        </w:numPr>
        <w:spacing w:before="60" w:after="60"/>
      </w:pPr>
      <w:r>
        <w:rPr>
          <w:rFonts w:ascii="Garamond" w:cs="Garamond" w:eastAsia="Garamond" w:hAnsi="Garamond"/>
          <w:color w:val="1A1510"/>
          <w:sz w:val="22"/>
          <w:szCs w:val="22"/>
        </w:rPr>
        <w:t xml:space="preserve">Provides textual interpretation via Lilly, the system's LLM agent.</w:t>
      </w:r>
    </w:p>
    <w:p>
      <w:pPr>
        <w:pStyle w:val="Heading2"/>
        <w:spacing w:before="280" w:after="100"/>
      </w:pPr>
      <w:r>
        <w:rPr>
          <w:rFonts w:ascii="Garamond" w:cs="Garamond" w:eastAsia="Garamond" w:hAnsi="Garamond"/>
          <w:b/>
          <w:bCs/>
          <w:color w:val="8B6F47"/>
          <w:sz w:val="22"/>
          <w:szCs w:val="22"/>
        </w:rPr>
        <w:t xml:space="preserve">1.4 What the system does not do</w:t>
      </w:r>
    </w:p>
    <w:p>
      <w:pPr>
        <w:pStyle w:val="ListParagraph"/>
        <w:numPr>
          <w:ilvl w:val="0"/>
          <w:numId w:val="3"/>
        </w:numPr>
        <w:spacing w:before="60" w:after="60"/>
      </w:pPr>
      <w:r>
        <w:rPr>
          <w:rFonts w:ascii="Garamond" w:cs="Garamond" w:eastAsia="Garamond" w:hAnsi="Garamond"/>
          <w:color w:val="1A1510"/>
          <w:sz w:val="22"/>
          <w:szCs w:val="22"/>
        </w:rPr>
        <w:t xml:space="preserve">Does not predict specific events.</w:t>
      </w:r>
    </w:p>
    <w:p>
      <w:pPr>
        <w:pStyle w:val="ListParagraph"/>
        <w:numPr>
          <w:ilvl w:val="0"/>
          <w:numId w:val="3"/>
        </w:numPr>
        <w:spacing w:before="60" w:after="60"/>
      </w:pPr>
      <w:r>
        <w:rPr>
          <w:rFonts w:ascii="Garamond" w:cs="Garamond" w:eastAsia="Garamond" w:hAnsi="Garamond"/>
          <w:color w:val="1A1510"/>
          <w:sz w:val="22"/>
          <w:szCs w:val="22"/>
        </w:rPr>
        <w:t xml:space="preserve">Does not guarantee outcomes at any location.</w:t>
      </w:r>
    </w:p>
    <w:p>
      <w:pPr>
        <w:pStyle w:val="ListParagraph"/>
        <w:numPr>
          <w:ilvl w:val="0"/>
          <w:numId w:val="3"/>
        </w:numPr>
        <w:spacing w:before="60" w:after="60"/>
      </w:pPr>
      <w:r>
        <w:rPr>
          <w:rFonts w:ascii="Garamond" w:cs="Garamond" w:eastAsia="Garamond" w:hAnsi="Garamond"/>
          <w:color w:val="1A1510"/>
          <w:sz w:val="22"/>
          <w:szCs w:val="22"/>
        </w:rPr>
        <w:t xml:space="preserve">Does not synthesise incompatible astrological traditions.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system does not say: you will succeed here. It says: here the principles governing your domain find greater resonance."</w:t>
      </w:r>
    </w:p>
    <w:p>
      <w:pPr>
        <w:spacing w:before="0" w:after="120"/>
        <w:jc w:val="both"/>
      </w:pPr>
      <w:r>
        <w:rPr>
          <w:rFonts w:ascii="Garamond" w:cs="Garamond" w:eastAsia="Garamond" w:hAnsi="Garamond"/>
          <w:i/>
          <w:iCs/>
          <w:color w:val="6B5A42"/>
          <w:sz w:val="22"/>
          <w:szCs w:val="22"/>
        </w:rPr>
        <w:t xml:space="preserve">— Axiomatics of Heavens v0.4, Axiom 9.2</w:t>
      </w:r>
    </w:p>
    <w:p>
      <w:r>
        <w:br/>
      </w:r>
    </w:p>
    <w:p>
      <w:pPr>
        <w:pStyle w:val="Heading1"/>
        <w:spacing w:before="360" w:after="120"/>
        <w:jc w:val="center"/>
      </w:pPr>
      <w:r>
        <w:rPr>
          <w:rFonts w:ascii="Garamond" w:cs="Garamond" w:eastAsia="Garamond" w:hAnsi="Garamond"/>
          <w:b/>
          <w:bCs/>
          <w:color w:val="1A1510"/>
          <w:spacing w:val="120"/>
          <w:sz w:val="28"/>
          <w:szCs w:val="28"/>
        </w:rPr>
        <w:t xml:space="preserve">II. THE GEOMETRY OF THE CELESTIAL FIELD</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Oracle's conceptual framework is built on an analogy with the differential geometry of illumination. This analogy is not decorative — it is structurally precise.</w:t>
      </w:r>
    </w:p>
    <w:p>
      <w:pPr>
        <w:pStyle w:val="Heading2"/>
        <w:spacing w:before="280" w:after="100"/>
      </w:pPr>
      <w:r>
        <w:rPr>
          <w:rFonts w:ascii="Garamond" w:cs="Garamond" w:eastAsia="Garamond" w:hAnsi="Garamond"/>
          <w:b/>
          <w:bCs/>
          <w:color w:val="8B6F47"/>
          <w:sz w:val="22"/>
          <w:szCs w:val="22"/>
        </w:rPr>
        <w:t xml:space="preserve">2.1 The normals field in optics</w:t>
      </w:r>
    </w:p>
    <w:p>
      <w:pPr>
        <w:spacing w:before="0" w:after="120"/>
        <w:jc w:val="both"/>
      </w:pPr>
      <w:r>
        <w:rPr>
          <w:rFonts w:ascii="Garamond" w:cs="Garamond" w:eastAsia="Garamond" w:hAnsi="Garamond"/>
          <w:color w:val="1A1510"/>
          <w:sz w:val="22"/>
          <w:szCs w:val="22"/>
        </w:rPr>
        <w:t xml:space="preserve">For every surface there exists a field of normals: the vector perpendicular to the surface at each point. This field is invisible to the eye, yet it is the fundamental quantity on which all illumination depends. Light does not interact with shape directly — it interacts with the local orientation of the surface.</w:t>
      </w:r>
    </w:p>
    <w:p>
      <w:pPr>
        <w:spacing w:before="0" w:after="120"/>
        <w:jc w:val="both"/>
      </w:pPr>
      <w:r>
        <w:rPr>
          <w:rFonts w:ascii="Garamond" w:cs="Garamond" w:eastAsia="Garamond" w:hAnsi="Garamond"/>
          <w:color w:val="1A1510"/>
          <w:sz w:val="22"/>
          <w:szCs w:val="22"/>
        </w:rPr>
        <w:t xml:space="preserve">The normals field is recovered computationally as the gradient of the depth field in two orthogonal directions:</w:t>
      </w:r>
    </w:p>
    <w:p>
      <w:pPr>
        <w:spacing w:before="0" w:after="60"/>
      </w:pPr>
      <w:r>
        <w:rPr>
          <w:rFonts w:ascii="Courier New" w:cs="Courier New" w:eastAsia="Courier New" w:hAnsi="Courier New"/>
          <w:color w:val="6B5A42"/>
          <w:spacing w:val="80"/>
          <w:sz w:val="16"/>
          <w:szCs w:val="16"/>
        </w:rPr>
        <w:t xml:space="preserve">GLSL — RECOVERY OF THE NORMALS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vec3 getNormal(vec2 uv) {</w:t>
            </w:r>
          </w:p>
          <w:p>
            <w:pPr>
              <w:spacing w:before="0" w:after="40"/>
            </w:pPr>
            <w:r>
              <w:rPr>
                <w:rFonts w:ascii="Courier New" w:cs="Courier New" w:eastAsia="Courier New" w:hAnsi="Courier New"/>
                <w:color w:val="1A1510"/>
                <w:sz w:val="18"/>
                <w:szCs w:val="18"/>
              </w:rPr>
              <w:t xml:space="preserve">  vec2 texel = 1.0 / uResolution;</w:t>
            </w:r>
          </w:p>
          <w:p>
            <w:pPr>
              <w:spacing w:before="0" w:after="40"/>
            </w:pPr>
            <w:r>
              <w:rPr>
                <w:rFonts w:ascii="Courier New" w:cs="Courier New" w:eastAsia="Courier New" w:hAnsi="Courier New"/>
                <w:color w:val="1A1510"/>
                <w:sz w:val="18"/>
                <w:szCs w:val="18"/>
              </w:rPr>
              <w:t xml:space="preserve">  float dL = texture2D(depth, uv - vec2(texel.x, 0.0)).r;</w:t>
            </w:r>
          </w:p>
          <w:p>
            <w:pPr>
              <w:spacing w:before="0" w:after="40"/>
            </w:pPr>
            <w:r>
              <w:rPr>
                <w:rFonts w:ascii="Courier New" w:cs="Courier New" w:eastAsia="Courier New" w:hAnsi="Courier New"/>
                <w:color w:val="1A1510"/>
                <w:sz w:val="18"/>
                <w:szCs w:val="18"/>
              </w:rPr>
              <w:t xml:space="preserve">  float dR = texture2D(depth, uv + vec2(texel.x, 0.0)).r;</w:t>
            </w:r>
          </w:p>
          <w:p>
            <w:pPr>
              <w:spacing w:before="0" w:after="40"/>
            </w:pPr>
            <w:r>
              <w:rPr>
                <w:rFonts w:ascii="Courier New" w:cs="Courier New" w:eastAsia="Courier New" w:hAnsi="Courier New"/>
                <w:color w:val="1A1510"/>
                <w:sz w:val="18"/>
                <w:szCs w:val="18"/>
              </w:rPr>
              <w:t xml:space="preserve">  float dD = texture2D(depth, uv - vec2(0.0, texel.y)).r;</w:t>
            </w:r>
          </w:p>
          <w:p>
            <w:pPr>
              <w:spacing w:before="0" w:after="40"/>
            </w:pPr>
            <w:r>
              <w:rPr>
                <w:rFonts w:ascii="Courier New" w:cs="Courier New" w:eastAsia="Courier New" w:hAnsi="Courier New"/>
                <w:color w:val="1A1510"/>
                <w:sz w:val="18"/>
                <w:szCs w:val="18"/>
              </w:rPr>
              <w:t xml:space="preserve">  float dU = texture2D(depth, uv + vec2(0.0, texel.y)).r;</w:t>
            </w:r>
          </w:p>
          <w:p>
            <w:pPr>
              <w:spacing w:before="0" w:after="40"/>
            </w:pPr>
            <w:r>
              <w:rPr>
                <w:rFonts w:ascii="Courier New" w:cs="Courier New" w:eastAsia="Courier New" w:hAnsi="Courier New"/>
                <w:color w:val="1A1510"/>
                <w:sz w:val="18"/>
                <w:szCs w:val="18"/>
              </w:rPr>
              <w:t xml:space="preserve">  return normalize(vec3(</w:t>
            </w:r>
          </w:p>
          <w:p>
            <w:pPr>
              <w:spacing w:before="0" w:after="40"/>
            </w:pPr>
            <w:r>
              <w:rPr>
                <w:rFonts w:ascii="Courier New" w:cs="Courier New" w:eastAsia="Courier New" w:hAnsi="Courier New"/>
                <w:color w:val="1A1510"/>
                <w:sz w:val="18"/>
                <w:szCs w:val="18"/>
              </w:rPr>
              <w:t xml:space="preserve">    (dL - dR) * scale,   // east-west gradient</w:t>
            </w:r>
          </w:p>
          <w:p>
            <w:pPr>
              <w:spacing w:before="0" w:after="40"/>
            </w:pPr>
            <w:r>
              <w:rPr>
                <w:rFonts w:ascii="Courier New" w:cs="Courier New" w:eastAsia="Courier New" w:hAnsi="Courier New"/>
                <w:color w:val="1A1510"/>
                <w:sz w:val="18"/>
                <w:szCs w:val="18"/>
              </w:rPr>
              <w:t xml:space="preserve">    (dD - dU) * scale,   // north-south gradient</w:t>
            </w:r>
          </w:p>
          <w:p>
            <w:pPr>
              <w:spacing w:before="0" w:after="40"/>
            </w:pPr>
            <w:r>
              <w:rPr>
                <w:rFonts w:ascii="Courier New" w:cs="Courier New" w:eastAsia="Courier New" w:hAnsi="Courier New"/>
                <w:color w:val="1A1510"/>
                <w:sz w:val="18"/>
                <w:szCs w:val="18"/>
              </w:rPr>
              <w:t xml:space="preserve">    1.0</w:t>
            </w:r>
          </w:p>
          <w:p>
            <w:pPr>
              <w:spacing w:before="0" w:after="40"/>
            </w:pPr>
            <w:r>
              <w:rPr>
                <w:rFonts w:ascii="Courier New" w:cs="Courier New" w:eastAsia="Courier New" w:hAnsi="Courier New"/>
                <w:color w:val="1A1510"/>
                <w:sz w:val="18"/>
                <w:szCs w:val="18"/>
              </w:rPr>
              <w:t xml:space="preserve">  ));</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2.2 The natal chart as depth field</w:t>
      </w:r>
    </w:p>
    <w:p>
      <w:pPr>
        <w:spacing w:before="0" w:after="120"/>
        <w:jc w:val="both"/>
      </w:pPr>
      <w:r>
        <w:rPr>
          <w:rFonts w:ascii="Garamond" w:cs="Garamond" w:eastAsia="Garamond" w:hAnsi="Garamond"/>
          <w:color w:val="1A1510"/>
          <w:sz w:val="22"/>
          <w:szCs w:val="22"/>
        </w:rPr>
        <w:t xml:space="preserve">A natal chart is a computable projection of the state of the solar system at the moment and place of birth. Formally, it is a function π : ℋ → ℝⁿ parametrised by the observer's spatiotemporal coordinates.</w:t>
      </w:r>
    </w:p>
    <w:p>
      <w:pPr>
        <w:spacing w:before="0" w:after="120"/>
        <w:jc w:val="both"/>
      </w:pPr>
      <w:r>
        <w:rPr>
          <w:rFonts w:ascii="Garamond" w:cs="Garamond" w:eastAsia="Garamond" w:hAnsi="Garamond"/>
          <w:color w:val="1A1510"/>
          <w:sz w:val="22"/>
          <w:szCs w:val="22"/>
        </w:rPr>
        <w:t xml:space="preserve">But the chart computed at its natal location is only the depth map. It records the scalar value at a single point. It does not yet reveal the field — only one measurement of it.</w:t>
      </w:r>
    </w:p>
    <w:p>
      <w:pPr>
        <w:pStyle w:val="Heading2"/>
        <w:spacing w:before="280" w:after="100"/>
      </w:pPr>
      <w:r>
        <w:rPr>
          <w:rFonts w:ascii="Garamond" w:cs="Garamond" w:eastAsia="Garamond" w:hAnsi="Garamond"/>
          <w:b/>
          <w:bCs/>
          <w:color w:val="8B6F47"/>
          <w:sz w:val="22"/>
          <w:szCs w:val="22"/>
        </w:rPr>
        <w:t xml:space="preserve">2.3 The Harmony Field as the normals field</w:t>
      </w:r>
    </w:p>
    <w:p>
      <w:pPr>
        <w:spacing w:before="0" w:after="120"/>
        <w:jc w:val="both"/>
      </w:pPr>
      <w:r>
        <w:rPr>
          <w:rFonts w:ascii="Garamond" w:cs="Garamond" w:eastAsia="Garamond" w:hAnsi="Garamond"/>
          <w:color w:val="1A1510"/>
          <w:sz w:val="22"/>
          <w:szCs w:val="22"/>
        </w:rPr>
        <w:t xml:space="preserve">Relocation is differentiation. When the observer moves across the Earth's surface, the Ascendant rotates, the Midheaven shifts, the houses reorganise. The natal planets, fixed in position, begin to speak differently at every new horizon. The Harmony Field is the normals field recovered from this process:</w:t>
      </w:r>
    </w:p>
    <w:p>
      <w:pPr>
        <w:spacing w:before="0" w:after="60"/>
      </w:pPr>
      <w:r>
        <w:rPr>
          <w:rFonts w:ascii="Courier New" w:cs="Courier New" w:eastAsia="Courier New" w:hAnsi="Courier New"/>
          <w:color w:val="6B5A42"/>
          <w:spacing w:val="80"/>
          <w:sz w:val="16"/>
          <w:szCs w:val="16"/>
        </w:rPr>
        <w:t xml:space="preserve">HARMONY FIELD — CORE EQUATION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HF(φ, λ) = Σ_{i&lt;j} Σ_a  w_a · exp( -(Δθ_ij - α_a)² / 2σ_a² )</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where:</w:t>
            </w:r>
          </w:p>
          <w:p>
            <w:pPr>
              <w:spacing w:before="0" w:after="40"/>
            </w:pPr>
            <w:r>
              <w:rPr>
                <w:rFonts w:ascii="Courier New" w:cs="Courier New" w:eastAsia="Courier New" w:hAnsi="Courier New"/>
                <w:color w:val="1A1510"/>
                <w:sz w:val="18"/>
                <w:szCs w:val="18"/>
              </w:rPr>
              <w:t xml:space="preserve">  Δθ_ij  = minimum angular separation between planets i, j</w:t>
            </w:r>
          </w:p>
          <w:p>
            <w:pPr>
              <w:spacing w:before="0" w:after="40"/>
            </w:pPr>
            <w:r>
              <w:rPr>
                <w:rFonts w:ascii="Courier New" w:cs="Courier New" w:eastAsia="Courier New" w:hAnsi="Courier New"/>
                <w:color w:val="1A1510"/>
                <w:sz w:val="18"/>
                <w:szCs w:val="18"/>
              </w:rPr>
              <w:t xml:space="preserve">  α_a    = central angle of aspect a (0°, 60°, 90°, 120°, 180°)</w:t>
            </w:r>
          </w:p>
          <w:p>
            <w:pPr>
              <w:spacing w:before="0" w:after="40"/>
            </w:pPr>
            <w:r>
              <w:rPr>
                <w:rFonts w:ascii="Courier New" w:cs="Courier New" w:eastAsia="Courier New" w:hAnsi="Courier New"/>
                <w:color w:val="1A1510"/>
                <w:sz w:val="18"/>
                <w:szCs w:val="18"/>
              </w:rPr>
              <w:t xml:space="preserve">  σ_a    = sigma/orb per aspect</w:t>
            </w:r>
          </w:p>
          <w:p>
            <w:pPr>
              <w:spacing w:before="0" w:after="40"/>
            </w:pPr>
            <w:r>
              <w:rPr>
                <w:rFonts w:ascii="Courier New" w:cs="Courier New" w:eastAsia="Courier New" w:hAnsi="Courier New"/>
                <w:color w:val="1A1510"/>
                <w:sz w:val="18"/>
                <w:szCs w:val="18"/>
              </w:rPr>
              <w:t xml:space="preserve">  w_a    = aspect weight</w:t>
            </w:r>
          </w:p>
        </w:tc>
      </w:tr>
    </w:tbl>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field does not predict where good things will happen. It reveals where the surface of a life turns toward the light.</w:t>
      </w:r>
    </w:p>
    <w:p>
      <w:pPr>
        <w:pStyle w:val="Heading2"/>
        <w:spacing w:before="280" w:after="100"/>
      </w:pPr>
      <w:r>
        <w:rPr>
          <w:rFonts w:ascii="Garamond" w:cs="Garamond" w:eastAsia="Garamond" w:hAnsi="Garamond"/>
          <w:b/>
          <w:bCs/>
          <w:color w:val="8B6F47"/>
          <w:sz w:val="22"/>
          <w:szCs w:val="22"/>
        </w:rPr>
        <w:t xml:space="preserve">2.4 The duality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4626"/>
      </w:tblGrid>
      <w:tr>
        <w:trPr>
          <w:tblHeader/>
        </w:trPr>
        <w:tc>
          <w:tcPr>
            <w:tcW w:type="dxa" w:w="3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Optics / Shader</w:t>
            </w:r>
          </w:p>
        </w:tc>
        <w:tc>
          <w:tcPr>
            <w:tcW w:type="dxa" w:w="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w:t>
            </w:r>
          </w:p>
        </w:tc>
        <w:tc>
          <w:tcPr>
            <w:tcW w:type="dxa" w:w="4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Abu Oracle</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Depth field d(u,v)</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Natal chart — fixed potential</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Normals field n(u,v)</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iCs/>
                <w:color w:val="1A1510"/>
                <w:sz w:val="20"/>
                <w:szCs w:val="20"/>
              </w:rPr>
              <w:t xml:space="preserve">Harmony Field HF(φ,λ)</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Horizontal gradient dL − dR</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Geographic displacement (relocation)</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Vertical gradient dD − dU</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Temporal displacement (dasha / transit)</w:t>
            </w:r>
          </w:p>
        </w:tc>
      </w:tr>
      <w:tr>
        <w:tc>
          <w:tcPr>
            <w:tcW w:type="dxa" w:w="3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Light source direction</w:t>
            </w:r>
          </w:p>
        </w:tc>
        <w:tc>
          <w:tcPr>
            <w:tcW w:type="dxa" w:w="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 of inquiry (career, health, love)</w:t>
            </w:r>
          </w:p>
        </w:tc>
      </w:tr>
      <w:tr>
        <w:tc>
          <w:tcPr>
            <w:tcW w:type="dxa" w:w="3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Surface illumination</w:t>
            </w:r>
          </w:p>
        </w:tc>
        <w:tc>
          <w:tcPr>
            <w:tcW w:type="dxa" w:w="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c>
          <w:tcPr>
            <w:tcW w:type="dxa" w:w="4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Biographical outcome at location × time</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III. DOMAIN SPECIFICITY</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3.1 The problem with the global field</w:t>
      </w:r>
    </w:p>
    <w:p>
      <w:pPr>
        <w:spacing w:before="0" w:after="120"/>
        <w:jc w:val="both"/>
      </w:pPr>
      <w:r>
        <w:rPr>
          <w:rFonts w:ascii="Garamond" w:cs="Garamond" w:eastAsia="Garamond" w:hAnsi="Garamond"/>
          <w:color w:val="1A1510"/>
          <w:sz w:val="22"/>
          <w:szCs w:val="22"/>
        </w:rPr>
        <w:t xml:space="preserve">A field computed over all planets simultaneously is a field of total astrological activity, not of specific harmony for any particular life domain. It illuminates the surface from all directions at once: it shows everything and therefore reveals nothing clearly. Empirical validation confirms this over 527 biographical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026"/>
      </w:tblGrid>
      <w:tr>
        <w:trPr>
          <w:tblHeader/>
        </w:trPr>
        <w:tc>
          <w:tcPr>
            <w:tcW w:type="dxa" w:w="4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Field</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Correlation with biographical valence</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Cohen's d</w:t>
            </w:r>
          </w:p>
        </w:tc>
      </w:tr>
      <w:tr>
        <w:tc>
          <w:tcPr>
            <w:tcW w:type="dxa" w:w="4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global (all planets)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0.441</w:t>
            </w:r>
          </w:p>
        </w:tc>
      </w:tr>
      <w:tr>
        <w:tc>
          <w:tcPr>
            <w:tcW w:type="dxa" w:w="4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health domain (H6/H8 significators)</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+0.93 vs global</w:t>
            </w:r>
          </w:p>
        </w:tc>
      </w:tr>
    </w:tbl>
    <w:p>
      <w:pPr>
        <w:pStyle w:val="Heading2"/>
        <w:spacing w:before="280" w:after="100"/>
      </w:pPr>
      <w:r>
        <w:rPr>
          <w:rFonts w:ascii="Garamond" w:cs="Garamond" w:eastAsia="Garamond" w:hAnsi="Garamond"/>
          <w:b/>
          <w:bCs/>
          <w:color w:val="8B6F47"/>
          <w:sz w:val="22"/>
          <w:szCs w:val="22"/>
        </w:rPr>
        <w:t xml:space="preserve">3.2 The planet subset as the question</w:t>
      </w:r>
    </w:p>
    <w:p>
      <w:pPr>
        <w:spacing w:before="0" w:after="120"/>
        <w:jc w:val="both"/>
      </w:pPr>
      <w:r>
        <w:rPr>
          <w:rFonts w:ascii="Garamond" w:cs="Garamond" w:eastAsia="Garamond" w:hAnsi="Garamond"/>
          <w:color w:val="1A1510"/>
          <w:sz w:val="22"/>
          <w:szCs w:val="22"/>
        </w:rPr>
        <w:t xml:space="preserve">For the field to be interpretable, it must be filtered by the domain of the query. Each life domain is governed by a specific subset of planets: the significators of the corresponding house.</w:t>
      </w:r>
    </w:p>
    <w:p>
      <w:pPr>
        <w:spacing w:before="0" w:after="60"/>
      </w:pPr>
      <w:r>
        <w:rPr>
          <w:rFonts w:ascii="Courier New" w:cs="Courier New" w:eastAsia="Courier New" w:hAnsi="Courier New"/>
          <w:color w:val="6B5A42"/>
          <w:spacing w:val="80"/>
          <w:sz w:val="16"/>
          <w:szCs w:val="16"/>
        </w:rPr>
        <w:t xml:space="preserve">PYTHON — DOMAIN-SPECIFIC FIELD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HF_domain = harmony_field(</w:t>
            </w:r>
          </w:p>
          <w:p>
            <w:pPr>
              <w:spacing w:before="0" w:after="40"/>
            </w:pPr>
            <w:r>
              <w:rPr>
                <w:rFonts w:ascii="Courier New" w:cs="Courier New" w:eastAsia="Courier New" w:hAnsi="Courier New"/>
                <w:color w:val="1A1510"/>
                <w:sz w:val="18"/>
                <w:szCs w:val="18"/>
              </w:rPr>
              <w:t xml:space="preserve">    natal    = natal_chart,</w:t>
            </w:r>
          </w:p>
          <w:p>
            <w:pPr>
              <w:spacing w:before="0" w:after="40"/>
            </w:pPr>
            <w:r>
              <w:rPr>
                <w:rFonts w:ascii="Courier New" w:cs="Courier New" w:eastAsia="Courier New" w:hAnsi="Courier New"/>
                <w:color w:val="1A1510"/>
                <w:sz w:val="18"/>
                <w:szCs w:val="18"/>
              </w:rPr>
              <w:t xml:space="preserve">    grid     = global_grid_5deg,</w:t>
            </w:r>
          </w:p>
          <w:p>
            <w:pPr>
              <w:spacing w:before="0" w:after="40"/>
            </w:pPr>
            <w:r>
              <w:rPr>
                <w:rFonts w:ascii="Courier New" w:cs="Courier New" w:eastAsia="Courier New" w:hAnsi="Courier New"/>
                <w:color w:val="1A1510"/>
                <w:sz w:val="18"/>
                <w:szCs w:val="18"/>
              </w:rPr>
              <w:t xml:space="preserve">    planets  = planet_subset,   # ← the question</w:t>
            </w:r>
          </w:p>
          <w:p>
            <w:pPr>
              <w:spacing w:before="0" w:after="40"/>
            </w:pPr>
            <w:r>
              <w:rPr>
                <w:rFonts w:ascii="Courier New" w:cs="Courier New" w:eastAsia="Courier New" w:hAnsi="Courier New"/>
                <w:color w:val="1A1510"/>
                <w:sz w:val="18"/>
                <w:szCs w:val="18"/>
              </w:rPr>
              <w:t xml:space="preserve">    house    = k,</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3.3 The domain selector as an epistemic requirement</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"The system cannot answer 'where does my career thrive?' if the question asked is 'where is everything better?'. A well-formed question activates a subset."</w:t>
      </w:r>
    </w:p>
    <w:p>
      <w:pPr>
        <w:spacing w:before="0" w:after="120"/>
        <w:jc w:val="both"/>
      </w:pPr>
      <w:r>
        <w:rPr>
          <w:rFonts w:ascii="Garamond" w:cs="Garamond" w:eastAsia="Garamond" w:hAnsi="Garamond"/>
          <w:i/>
          <w:iCs/>
          <w:color w:val="6B5A42"/>
          <w:sz w:val="22"/>
          <w:szCs w:val="22"/>
        </w:rPr>
        <w:t xml:space="preserve">— Axiomatics of Heavens v0.4, Axiom 8.3</w:t>
      </w:r>
    </w:p>
    <w:p>
      <w:r>
        <w:br/>
      </w:r>
    </w:p>
    <w:p>
      <w:pPr>
        <w:pStyle w:val="Heading1"/>
        <w:spacing w:before="360" w:after="120"/>
        <w:jc w:val="center"/>
      </w:pPr>
      <w:r>
        <w:rPr>
          <w:rFonts w:ascii="Garamond" w:cs="Garamond" w:eastAsia="Garamond" w:hAnsi="Garamond"/>
          <w:b/>
          <w:bCs/>
          <w:color w:val="1A1510"/>
          <w:spacing w:val="120"/>
          <w:sz w:val="28"/>
          <w:szCs w:val="28"/>
        </w:rPr>
        <w:t xml:space="preserve">IV. THE TWO COORDINATES OF MANIFESTATION</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The geographic field is one dimension of a wider space. For a life domain to fully activate, three concurrent conditions are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Condition</w:t>
            </w:r>
          </w:p>
        </w:tc>
        <w:tc>
          <w:tcPr>
            <w:tcW w:type="dxa" w:w="4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Description</w:t>
            </w:r>
          </w:p>
        </w:tc>
        <w:tc>
          <w:tcPr>
            <w:tcW w:type="dxa" w:w="2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Status</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1. Natal potential</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Significators are well-disposed in the natal chart.</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Implemented</w:t>
            </w:r>
          </w:p>
        </w:tc>
      </w:tr>
      <w:tr>
        <w:tc>
          <w:tcPr>
            <w:tcW w:type="dxa" w:w="2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 Geographic resonance</w:t>
            </w:r>
          </w:p>
        </w:tc>
        <w:tc>
          <w:tcPr>
            <w:tcW w:type="dxa" w:w="4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domain HF is favourable at the location.</w:t>
            </w:r>
          </w:p>
        </w:tc>
        <w:tc>
          <w:tcPr>
            <w:tcW w:type="dxa" w:w="2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Implemented</w:t>
            </w:r>
          </w:p>
        </w:tc>
      </w:tr>
      <w:tr>
        <w:tc>
          <w:tcPr>
            <w:tcW w:type="dxa" w:w="2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3. Temporal activation</w:t>
            </w:r>
          </w:p>
        </w:tc>
        <w:tc>
          <w:tcPr>
            <w:tcW w:type="dxa" w:w="4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planetary period activates the same significators.</w:t>
            </w:r>
          </w:p>
        </w:tc>
        <w:tc>
          <w:tcPr>
            <w:tcW w:type="dxa" w:w="2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Next horizon</w:t>
            </w:r>
          </w:p>
        </w:tc>
      </w:tr>
    </w:tbl>
    <w:p/>
    <w:p>
      <w:pPr>
        <w:spacing w:before="0" w:after="120"/>
        <w:jc w:val="both"/>
      </w:pPr>
      <w:r>
        <w:rPr>
          <w:rFonts w:ascii="Garamond" w:cs="Garamond" w:eastAsia="Garamond" w:hAnsi="Garamond"/>
          <w:color w:val="1A1510"/>
          <w:sz w:val="22"/>
          <w:szCs w:val="22"/>
        </w:rPr>
        <w:t xml:space="preserve">In the Jyotish tradition, temporal activation is measured through dashas — planetary periods determining which planet speaks at each life moment. The domain HF is the spatial dimension of the same problem. They are distinct coordinates of the same space of manifestation. (Axiomatics, Axiom 9.3)</w:t>
      </w:r>
    </w:p>
    <w:p>
      <w:r>
        <w:br/>
      </w:r>
    </w:p>
    <w:p>
      <w:pPr>
        <w:pStyle w:val="Heading1"/>
        <w:spacing w:before="360" w:after="120"/>
        <w:jc w:val="center"/>
      </w:pPr>
      <w:r>
        <w:rPr>
          <w:rFonts w:ascii="Garamond" w:cs="Garamond" w:eastAsia="Garamond" w:hAnsi="Garamond"/>
          <w:b/>
          <w:bCs/>
          <w:color w:val="1A1510"/>
          <w:spacing w:val="120"/>
          <w:sz w:val="28"/>
          <w:szCs w:val="28"/>
        </w:rPr>
        <w:t xml:space="preserve">V. POSITIONING AGAINST ADJACENT SYSTEMS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5.1 Abu Oracle and Matriz del Destino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Principle</w:t>
            </w:r>
          </w:p>
        </w:tc>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Compatibility</w:t>
            </w:r>
          </w:p>
        </w:tc>
        <w:tc>
          <w:tcPr>
            <w:tcW w:type="dxa" w:w="43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Path / Note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Birth date as activation code</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High</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Axioms 2.1, 3.1 — the natal chart is precisely this, with astronomical grounding.</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Behavioural programs (karma)</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 Partial</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Only as a separate Jyotish agent (Axiom 4.3). Never as a cross-cutting layer.</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Real-time planetary influence</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High</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Axiom 9.3 — already implemented (transits, firdariyyat, Solar Return).</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Free will vs determinism</w:t>
            </w:r>
          </w:p>
        </w:tc>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 High</w:t>
            </w:r>
          </w:p>
        </w:tc>
        <w:tc>
          <w:tcPr>
            <w:tcW w:type="dxa" w:w="43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Axioms 7.2, 9.2 — explicit philosophical position of the system.</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Tarot arcana (22 major arcana)</w:t>
            </w:r>
          </w:p>
        </w:tc>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8B2500"/>
                <w:sz w:val="20"/>
                <w:szCs w:val="20"/>
              </w:rPr>
              <w:t xml:space="preserve">✗ Low</w:t>
            </w:r>
          </w:p>
        </w:tc>
        <w:tc>
          <w:tcPr>
            <w:tcW w:type="dxa" w:w="43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Distinct corpus. Integration would violate Axiom 6.4.</w:t>
            </w:r>
          </w:p>
        </w:tc>
      </w:tr>
    </w:tbl>
    <w:p>
      <w:pPr>
        <w:pStyle w:val="Heading2"/>
        <w:spacing w:before="280" w:after="100"/>
      </w:pPr>
      <w:r>
        <w:rPr>
          <w:rFonts w:ascii="Garamond" w:cs="Garamond" w:eastAsia="Garamond" w:hAnsi="Garamond"/>
          <w:b/>
          <w:bCs/>
          <w:color w:val="8B6F47"/>
          <w:sz w:val="22"/>
          <w:szCs w:val="22"/>
        </w:rPr>
        <w:t xml:space="preserve">5.2 The core positioning argument</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"Destiny is not fixed — but the terrain has shape. Abu Oracle shows you where the shape of the terrain favours what you want to build."</w:t>
      </w:r>
    </w:p>
    <w:p>
      <w:pPr>
        <w:pStyle w:val="Heading2"/>
        <w:spacing w:before="280" w:after="100"/>
      </w:pPr>
      <w:r>
        <w:rPr>
          <w:rFonts w:ascii="Garamond" w:cs="Garamond" w:eastAsia="Garamond" w:hAnsi="Garamond"/>
          <w:b/>
          <w:bCs/>
          <w:color w:val="8B6F47"/>
          <w:sz w:val="22"/>
          <w:szCs w:val="22"/>
        </w:rPr>
        <w:t xml:space="preserve">5.3 What is never mixed</w:t>
      </w:r>
    </w:p>
    <w:p>
      <w:pPr>
        <w:spacing w:before="0" w:after="120"/>
        <w:jc w:val="both"/>
      </w:pPr>
      <w:r>
        <w:rPr>
          <w:rFonts w:ascii="Garamond" w:cs="Garamond" w:eastAsia="Garamond" w:hAnsi="Garamond"/>
          <w:color w:val="1A1510"/>
          <w:sz w:val="22"/>
          <w:szCs w:val="22"/>
        </w:rPr>
        <w:t xml:space="preserve">The Axiomatics establishes with precision what cannot be integrated without loss of coherence. Axiom 6.4 is unequivocal:</w:t>
      </w:r>
    </w:p>
    <w:p>
      <w:pPr>
        <w:spacing w:before="0" w:after="120"/>
        <w:jc w:val="both"/>
      </w:pPr>
      <w:r>
        <w:rPr>
          <w:rFonts w:ascii="Garamond" w:cs="Garamond" w:eastAsia="Garamond" w:hAnsi="Garamond"/>
          <w:i/>
          <w:iCs/>
          <w:color w:val="6B5A42"/>
          <w:sz w:val="22"/>
          <w:szCs w:val="22"/>
        </w:rPr>
        <w:t xml:space="preserve">"Semantic contamination between traditions is a design flaw, not an enriching synthesis."</w:t>
      </w:r>
    </w:p>
    <w:p>
      <w:pPr>
        <w:spacing w:before="0" w:after="120"/>
        <w:jc w:val="both"/>
      </w:pPr>
      <w:r>
        <w:rPr>
          <w:rFonts w:ascii="Garamond" w:cs="Garamond" w:eastAsia="Garamond" w:hAnsi="Garamond"/>
          <w:i/>
          <w:iCs/>
          <w:color w:val="1A1510"/>
          <w:sz w:val="22"/>
          <w:szCs w:val="22"/>
        </w:rPr>
        <w:t xml:space="preserve">— Axiomatics of Heavens v0.4, Axiom 6.4</w:t>
      </w:r>
    </w:p>
    <w:p>
      <w:pPr>
        <w:spacing w:before="0" w:after="120"/>
        <w:jc w:val="both"/>
      </w:pPr>
      <w:r>
        <w:rPr>
          <w:rFonts w:ascii="Garamond" w:cs="Garamond" w:eastAsia="Garamond" w:hAnsi="Garamond"/>
          <w:color w:val="1A1510"/>
          <w:sz w:val="22"/>
          <w:szCs w:val="22"/>
        </w:rPr>
        <w:t xml:space="preserve">The numerological system of Matriz del Destino (date as number mapped to arcana) and the astronomical engine of Abu Engine (topocentric computation with Swiss Ephemeris) have incompatible epistemologies. Synthesising them without layer separation produces exactly what the Axiomatics calls semantic contamination. Abu Oracle does not do this. This clarity is a strength, not a limitation.</w:t>
      </w:r>
    </w:p>
    <w:p>
      <w:r>
        <w:br/>
      </w:r>
    </w:p>
    <w:p>
      <w:pPr>
        <w:pStyle w:val="Heading1"/>
        <w:spacing w:before="360" w:after="120"/>
        <w:jc w:val="center"/>
      </w:pPr>
      <w:r>
        <w:rPr>
          <w:rFonts w:ascii="Garamond" w:cs="Garamond" w:eastAsia="Garamond" w:hAnsi="Garamond"/>
          <w:b/>
          <w:bCs/>
          <w:color w:val="1A1510"/>
          <w:spacing w:val="120"/>
          <w:sz w:val="28"/>
          <w:szCs w:val="28"/>
        </w:rPr>
        <w:t xml:space="preserve">VI. CANONICAL GLOSSARY</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Term</w:t>
            </w:r>
          </w:p>
        </w:tc>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Canonical definition</w:t>
            </w:r>
          </w:p>
        </w:tc>
        <w:tc>
          <w:tcPr>
            <w:tcW w:type="dxa" w:w="26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What it is not</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Harmony Field (HF)</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Geographic scalar field quantifying the resonance of natal potential at each Earth coordinate for a given domain.</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an 'energy map'. Does not measure vibrations.</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Resonance</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Mathematical measure of the degree to which the angular configuration of significator planets approximates specific aspect patterns.</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 metaphor. It is a calculated numerical value.</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Life domain</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Area of human experience governed by a specific astrological house and its planetary significators.</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an 'energy category'. It is a classical doctrinal structure.</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Significators</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Planets that rule and/or occupy a given house in the natal chart.</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generic 'influential planets'.</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Relocation</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Evaluation of HF at locations other than the natal place to identify geographies with greater resonance for a domain.</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'moving so the stars help you'. It is mapping potential.</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Latent potential</w:t>
            </w:r>
          </w:p>
        </w:tc>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Capacity of a domain to manifest, conditioned by the disposition of its significators in the natal chart.</w:t>
            </w:r>
          </w:p>
        </w:tc>
        <w:tc>
          <w:tcPr>
            <w:tcW w:type="dxa" w:w="26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 guarantee of outcome. It is a structural condition.</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Lilly</w:t>
            </w:r>
          </w:p>
        </w:tc>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system's LLM agent, inspired by William Lilly (1647). Operates on the user's specific cartographic context.</w:t>
            </w:r>
          </w:p>
        </w:tc>
        <w:tc>
          <w:tcPr>
            <w:tcW w:type="dxa" w:w="26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Not a generic chatbot.</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VII. COMMUNICATION GUIDE</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7.1 The core message</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Astrology does not tell you what will happen. It tells you the shape of the terrain. Abu Oracle computes that shape.</w:t>
      </w:r>
    </w:p>
    <w:p>
      <w:pPr>
        <w:pStyle w:val="Heading2"/>
        <w:spacing w:before="280" w:after="100"/>
      </w:pPr>
      <w:r>
        <w:rPr>
          <w:rFonts w:ascii="Garamond" w:cs="Garamond" w:eastAsia="Garamond" w:hAnsi="Garamond"/>
          <w:b/>
          <w:bCs/>
          <w:color w:val="8B6F47"/>
          <w:sz w:val="22"/>
          <w:szCs w:val="22"/>
        </w:rPr>
        <w:t xml:space="preserve">7.2 Canonical phrases</w:t>
      </w:r>
    </w:p>
    <w:p>
      <w:pPr>
        <w:spacing w:before="0" w:after="120"/>
        <w:jc w:val="both"/>
      </w:pPr>
      <w:r>
        <w:rPr>
          <w:rFonts w:ascii="Garamond" w:cs="Garamond" w:eastAsia="Garamond" w:hAnsi="Garamond"/>
          <w:i/>
          <w:iCs/>
          <w:color w:val="6B5A42"/>
          <w:sz w:val="22"/>
          <w:szCs w:val="22"/>
        </w:rPr>
        <w:t xml:space="preserve">"The field does not predict where good things will happen. It reveals where the surface of a life turns toward the light."</w:t>
      </w:r>
    </w:p>
    <w:p/>
    <w:p>
      <w:pPr>
        <w:spacing w:before="0" w:after="120"/>
        <w:jc w:val="both"/>
      </w:pPr>
      <w:r>
        <w:rPr>
          <w:rFonts w:ascii="Garamond" w:cs="Garamond" w:eastAsia="Garamond" w:hAnsi="Garamond"/>
          <w:i/>
          <w:iCs/>
          <w:color w:val="6B5A42"/>
          <w:sz w:val="22"/>
          <w:szCs w:val="22"/>
        </w:rPr>
        <w:t xml:space="preserve">"The system does not say: you will succeed professionally here. It says: here the principles governing your career find greater resonance."</w:t>
      </w:r>
    </w:p>
    <w:p/>
    <w:p>
      <w:pPr>
        <w:spacing w:before="0" w:after="120"/>
        <w:jc w:val="both"/>
      </w:pPr>
      <w:r>
        <w:rPr>
          <w:rFonts w:ascii="Garamond" w:cs="Garamond" w:eastAsia="Garamond" w:hAnsi="Garamond"/>
          <w:i/>
          <w:iCs/>
          <w:color w:val="6B5A42"/>
          <w:sz w:val="22"/>
          <w:szCs w:val="22"/>
        </w:rPr>
        <w:t xml:space="preserve">"The field does not create potential where none exists — it facilitates the expression of potential that already exists in latent form."</w:t>
      </w:r>
    </w:p>
    <w:p/>
    <w:p>
      <w:pPr>
        <w:spacing w:before="0" w:after="120"/>
        <w:jc w:val="both"/>
      </w:pPr>
      <w:r>
        <w:rPr>
          <w:rFonts w:ascii="Garamond" w:cs="Garamond" w:eastAsia="Garamond" w:hAnsi="Garamond"/>
          <w:i/>
          <w:iCs/>
          <w:color w:val="6B5A42"/>
          <w:sz w:val="22"/>
          <w:szCs w:val="22"/>
        </w:rPr>
        <w:t xml:space="preserve">"Destiny is not fixed, but the terrain has shape."</w:t>
      </w:r>
    </w:p>
    <w:p>
      <w:pPr>
        <w:pStyle w:val="Heading2"/>
        <w:spacing w:before="280" w:after="100"/>
      </w:pPr>
      <w:r>
        <w:rPr>
          <w:rFonts w:ascii="Garamond" w:cs="Garamond" w:eastAsia="Garamond" w:hAnsi="Garamond"/>
          <w:b/>
          <w:bCs/>
          <w:color w:val="8B6F47"/>
          <w:sz w:val="22"/>
          <w:szCs w:val="22"/>
        </w:rPr>
        <w:t xml:space="preserve">7.3 Audiences and framing</w:t>
      </w:r>
    </w:p>
    <w:p>
      <w:pPr>
        <w:spacing w:before="0" w:after="120"/>
        <w:jc w:val="both"/>
      </w:pPr>
      <w:r>
        <w:rPr>
          <w:rFonts w:ascii="Garamond" w:cs="Garamond" w:eastAsia="Garamond" w:hAnsi="Garamond"/>
          <w:color w:val="1A1510"/>
          <w:sz w:val="22"/>
          <w:szCs w:val="22"/>
        </w:rPr>
        <w:t xml:space="preserve">The system has four natural audiences with distinct entry points. The argument must be adapted to each without altering the core message: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Audience</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Entry point</w:t>
            </w:r>
          </w:p>
        </w:tc>
        <w:tc>
          <w:tcPr>
            <w:tcW w:type="dxa" w:w="3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Core argument</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Astrocartography users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Already know geography matters.</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Oracle quantifies it with precision and filters by domain.</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Matriz del Destino users</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Believe in free will within a structural pattern.</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Oracle computes exactly that. Your map has shape.</w:t>
            </w:r>
          </w:p>
        </w:tc>
      </w:tr>
      <w:tr>
        <w:tc>
          <w:tcPr>
            <w:tcW w:type="dxa" w:w="24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Sceptics / data-oriented</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Distrust astrology as pseudoscience.</w:t>
            </w:r>
          </w:p>
        </w:tc>
        <w:tc>
          <w:tcPr>
            <w:tcW w:type="dxa" w:w="3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system is falsifiable. Empirical correlation over 527 events: r=0.155 global → r=0.615 by domain.</w:t>
            </w:r>
          </w:p>
        </w:tc>
      </w:tr>
      <w:tr>
        <w:tc>
          <w:tcPr>
            <w:tcW w:type="dxa" w:w="24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General spiritual audience</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Seeks meaning and personal guidance.</w:t>
            </w:r>
          </w:p>
        </w:tc>
        <w:tc>
          <w:tcPr>
            <w:tcW w:type="dxa" w:w="3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The field does not tell you what to do. It shows you the terrain. The decision is yours.</w:t>
            </w:r>
          </w:p>
        </w:tc>
      </w:tr>
    </w:tbl>
    <w:p>
      <w:pPr>
        <w:pStyle w:val="Heading2"/>
        <w:spacing w:before="280" w:after="100"/>
      </w:pPr>
      <w:r>
        <w:rPr>
          <w:rFonts w:ascii="Garamond" w:cs="Garamond" w:eastAsia="Garamond" w:hAnsi="Garamond"/>
          <w:b/>
          <w:bCs/>
          <w:color w:val="8B6F47"/>
          <w:sz w:val="22"/>
          <w:szCs w:val="22"/>
        </w:rPr>
        <w:t xml:space="preserve">7.4 What is never said</w:t>
      </w:r>
    </w:p>
    <w:p>
      <w:pPr>
        <w:pStyle w:val="ListParagraph"/>
        <w:numPr>
          <w:ilvl w:val="0"/>
          <w:numId w:val="3"/>
        </w:numPr>
        <w:spacing w:before="60" w:after="60"/>
      </w:pPr>
      <w:r>
        <w:rPr>
          <w:rFonts w:ascii="Garamond" w:cs="Garamond" w:eastAsia="Garamond" w:hAnsi="Garamond"/>
          <w:color w:val="8B2500"/>
          <w:sz w:val="22"/>
          <w:szCs w:val="22"/>
        </w:rPr>
        <w:t xml:space="preserve">"The HF predicts your future."  →  The system maps structure, not events.</w:t>
      </w:r>
    </w:p>
    <w:p>
      <w:pPr>
        <w:pStyle w:val="ListParagraph"/>
        <w:numPr>
          <w:ilvl w:val="0"/>
          <w:numId w:val="3"/>
        </w:numPr>
        <w:spacing w:before="60" w:after="60"/>
      </w:pPr>
      <w:r>
        <w:rPr>
          <w:rFonts w:ascii="Garamond" w:cs="Garamond" w:eastAsia="Garamond" w:hAnsi="Garamond"/>
          <w:color w:val="8B2500"/>
          <w:sz w:val="22"/>
          <w:szCs w:val="22"/>
        </w:rPr>
        <w:t xml:space="preserve">"Moving to city X will bring you success."  →  The system identifies resonance, not guarantees.</w:t>
      </w:r>
    </w:p>
    <w:p>
      <w:pPr>
        <w:pStyle w:val="ListParagraph"/>
        <w:numPr>
          <w:ilvl w:val="0"/>
          <w:numId w:val="3"/>
        </w:numPr>
        <w:spacing w:before="60" w:after="60"/>
      </w:pPr>
      <w:r>
        <w:rPr>
          <w:rFonts w:ascii="Garamond" w:cs="Garamond" w:eastAsia="Garamond" w:hAnsi="Garamond"/>
          <w:color w:val="8B2500"/>
          <w:sz w:val="22"/>
          <w:szCs w:val="22"/>
        </w:rPr>
        <w:t xml:space="preserve">"We integrate all traditions."  →  The system separates traditions deliberately.</w:t>
      </w:r>
    </w:p>
    <w:p>
      <w:pPr>
        <w:pStyle w:val="ListParagraph"/>
        <w:numPr>
          <w:ilvl w:val="0"/>
          <w:numId w:val="3"/>
        </w:numPr>
        <w:spacing w:before="60" w:after="60"/>
      </w:pPr>
      <w:r>
        <w:rPr>
          <w:rFonts w:ascii="Garamond" w:cs="Garamond" w:eastAsia="Garamond" w:hAnsi="Garamond"/>
          <w:color w:val="8B2500"/>
          <w:sz w:val="22"/>
          <w:szCs w:val="22"/>
        </w:rPr>
        <w:t xml:space="preserve">"It's energy / vibration / frequency."  →  The system uses geometry and probability, not energetic metaphors.</w:t>
      </w:r>
    </w:p>
    <w:p>
      <w:r>
        <w:br/>
      </w:r>
    </w:p>
    <w:p>
      <w:pPr>
        <w:pStyle w:val="Heading1"/>
        <w:spacing w:before="360" w:after="120"/>
        <w:jc w:val="center"/>
      </w:pPr>
      <w:r>
        <w:rPr>
          <w:rFonts w:ascii="Garamond" w:cs="Garamond" w:eastAsia="Garamond" w:hAnsi="Garamond"/>
          <w:b/>
          <w:bCs/>
          <w:color w:val="1A1510"/>
          <w:spacing w:val="120"/>
          <w:sz w:val="28"/>
          <w:szCs w:val="28"/>
        </w:rPr>
        <w:t xml:space="preserve">VII-B. THE YEAR MAP — SOLAR RETURN WITH FIRDARIA</w:t>
      </w:r>
    </w:p>
    <w:p>
      <w:pPr>
        <w:pBdr>
          <w:bottom w:val="single" w:color="C9A96E" w:sz="2" w:space="1"/>
        </w:pBdr>
        <w:spacing w:before="80" w:after="80"/>
      </w:pPr>
    </w:p>
    <w:p>
      <w:pPr>
        <w:spacing w:before="0" w:after="120"/>
        <w:jc w:val="both"/>
      </w:pPr>
      <w:r>
        <w:rPr>
          <w:rFonts w:ascii="Garamond" w:cs="Garamond" w:eastAsia="Garamond" w:hAnsi="Garamond"/>
          <w:color w:val="1A1510"/>
          <w:sz w:val="22"/>
          <w:szCs w:val="22"/>
        </w:rPr>
        <w:t xml:space="preserve">Every year has a planet that opens your doors. The Solar Return map shows you where in the world that planet has the greatest geometric force at the moment of your birthday. This is not superstition — it is applying the same logic medieval astrologers used when calculating the return at the place of residence, now over a continuous scalar field covering the entire planet.</w:t>
      </w:r>
    </w:p>
    <w:p>
      <w:pPr>
        <w:spacing w:before="0" w:after="120"/>
        <w:jc w:val="both"/>
      </w:pPr>
      <w:r>
        <w:rPr>
          <w:rFonts w:ascii="Garamond" w:cs="Garamond" w:eastAsia="Garamond" w:hAnsi="Garamond"/>
          <w:color w:val="1A1510"/>
          <w:sz w:val="22"/>
          <w:szCs w:val="22"/>
        </w:rPr>
        <w:t xml:space="preserve">The central instrument is the Firdaria — the Persian system of planetary periods that divides life into decades each ruled by a different planet. In each period, a major and a minor planet govern the native’s affairs. They are the temporal operator: they convert natal potentiality into concrete event.</w:t>
      </w:r>
    </w:p>
    <w:p>
      <w:pPr>
        <w:spacing w:before="0" w:after="120"/>
        <w:jc w:val="both"/>
      </w:pPr>
      <w:r>
        <w:rPr>
          <w:rFonts w:ascii="Garamond" w:cs="Garamond" w:eastAsia="Garamond" w:hAnsi="Garamond"/>
          <w:color w:val="1A1510"/>
          <w:sz w:val="22"/>
          <w:szCs w:val="22"/>
        </w:rPr>
        <w:t xml:space="preserve">The SR HF without Firdaria is mathematically valid but doctrinally incomplete. It mixes all planets indiscriminately: with ten planets and slow movement of the outer ones, the resulting field is nearly identical to the natal. It contributes no new information. With Firdaria, the SR field answers a specific question: where in the world do the planets of </w:t>
      </w:r>
      <w:r>
        <w:rPr>
          <w:rFonts w:ascii="Garamond" w:cs="Garamond" w:eastAsia="Garamond" w:hAnsi="Garamond"/>
          <w:i/>
          <w:iCs/>
          <w:color w:val="1A1510"/>
          <w:sz w:val="22"/>
          <w:szCs w:val="22"/>
        </w:rPr>
        <w:t xml:space="preserve">this period</w:t>
      </w:r>
      <w:r>
        <w:rPr>
          <w:rFonts w:ascii="Garamond" w:cs="Garamond" w:eastAsia="Garamond" w:hAnsi="Garamond"/>
          <w:color w:val="1A1510"/>
          <w:sz w:val="22"/>
          <w:szCs w:val="22"/>
        </w:rPr>
        <w:t xml:space="preserve"> have the greatest local angularity at the date of your birthday.</w:t>
      </w:r>
    </w:p>
    <w:p>
      <w:pPr>
        <w:spacing w:before="0" w:after="120"/>
        <w:jc w:val="both"/>
      </w:pPr>
      <w:r>
        <w:rPr>
          <w:rFonts w:ascii="Garamond" w:cs="Garamond" w:eastAsia="Garamond" w:hAnsi="Garamond"/>
          <w:color w:val="1A1510"/>
          <w:sz w:val="22"/>
          <w:szCs w:val="22"/>
        </w:rPr>
        <w:t xml:space="preserve">The user also chooses the life domain that matters to them — career, love, health, creativity. The system combines both dimensions: the Firdaria planets as temporal operator, the domain as semantic question. The resulting map is not a horoscope. It is a specific answer to a specific question: “Where do I spend my birthday so that this year best expresses my House 5?”</w:t>
      </w:r>
    </w:p>
    <w:p>
      <w:r>
        <w:br/>
      </w:r>
    </w:p>
    <w:p>
      <w:pPr>
        <w:pStyle w:val="Heading1"/>
        <w:spacing w:before="360" w:after="120"/>
        <w:jc w:val="center"/>
      </w:pPr>
      <w:r>
        <w:rPr>
          <w:rFonts w:ascii="Garamond" w:cs="Garamond" w:eastAsia="Garamond" w:hAnsi="Garamond"/>
          <w:b/>
          <w:bCs/>
          <w:color w:val="1A1510"/>
          <w:spacing w:val="120"/>
          <w:sz w:val="28"/>
          <w:szCs w:val="28"/>
        </w:rPr>
        <w:t xml:space="preserve">VIII. EMPIRICAL VALIDATION</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Abu Oracle is the only astrological relocation system with published empirical validation. The results below correspond to March 2026.</w:t>
      </w:r>
    </w:p>
    <w:p>
      <w:pPr>
        <w:pStyle w:val="Heading2"/>
        <w:spacing w:before="280" w:after="100"/>
      </w:pPr>
      <w:r>
        <w:rPr>
          <w:rFonts w:ascii="Garamond" w:cs="Garamond" w:eastAsia="Garamond" w:hAnsi="Garamond"/>
          <w:b/>
          <w:bCs/>
          <w:color w:val="8B6F47"/>
          <w:sz w:val="22"/>
          <w:szCs w:val="22"/>
        </w:rPr>
        <w:t xml:space="preserve">8.1 Dataset</w:t>
      </w:r>
    </w:p>
    <w:p>
      <w:pPr>
        <w:pStyle w:val="ListParagraph"/>
        <w:numPr>
          <w:ilvl w:val="0"/>
          <w:numId w:val="3"/>
        </w:numPr>
        <w:spacing w:before="60" w:after="60"/>
      </w:pPr>
      <w:r>
        <w:rPr>
          <w:rFonts w:ascii="Garamond" w:cs="Garamond" w:eastAsia="Garamond" w:hAnsi="Garamond"/>
          <w:color w:val="1A1510"/>
          <w:sz w:val="22"/>
          <w:szCs w:val="22"/>
        </w:rPr>
        <w:t xml:space="preserve">5,359 natal charts with Rodden rating AA/A (high birth-time reliability).</w:t>
      </w:r>
    </w:p>
    <w:p>
      <w:pPr>
        <w:pStyle w:val="ListParagraph"/>
        <w:numPr>
          <w:ilvl w:val="0"/>
          <w:numId w:val="3"/>
        </w:numPr>
        <w:spacing w:before="60" w:after="60"/>
      </w:pPr>
      <w:r>
        <w:rPr>
          <w:rFonts w:ascii="Garamond" w:cs="Garamond" w:eastAsia="Garamond" w:hAnsi="Garamond"/>
          <w:color w:val="1A1510"/>
          <w:sz w:val="22"/>
          <w:szCs w:val="22"/>
        </w:rPr>
        <w:t xml:space="preserve">527 biographical events with date, location, and valence (positive / neutral / negative).</w:t>
      </w:r>
    </w:p>
    <w:p>
      <w:pPr>
        <w:pStyle w:val="ListParagraph"/>
        <w:numPr>
          <w:ilvl w:val="0"/>
          <w:numId w:val="3"/>
        </w:numPr>
        <w:spacing w:before="60" w:after="60"/>
      </w:pPr>
      <w:r>
        <w:rPr>
          <w:rFonts w:ascii="Garamond" w:cs="Garamond" w:eastAsia="Garamond" w:hAnsi="Garamond"/>
          <w:color w:val="1A1510"/>
          <w:sz w:val="22"/>
          <w:szCs w:val="22"/>
        </w:rPr>
        <w:t xml:space="preserve">9,261 parameter combinations evaluated in grid search.</w:t>
      </w:r>
    </w:p>
    <w:p>
      <w:pPr>
        <w:pStyle w:val="Heading2"/>
        <w:spacing w:before="280" w:after="100"/>
      </w:pPr>
      <w:r>
        <w:rPr>
          <w:rFonts w:ascii="Garamond" w:cs="Garamond" w:eastAsia="Garamond" w:hAnsi="Garamond"/>
          <w:b/>
          <w:bCs/>
          <w:color w:val="8B6F47"/>
          <w:sz w:val="22"/>
          <w:szCs w:val="22"/>
        </w:rPr>
        <w:t xml:space="preserve">8.2 Main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Field configuration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Correlation HF ↔ valence</w:t>
            </w:r>
          </w:p>
        </w:tc>
        <w:tc>
          <w:tcPr>
            <w:tcW w:type="dxa" w:w="24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Improvement</w:t>
            </w:r>
          </w:p>
        </w:tc>
      </w:tr>
      <w:tr>
        <w:tc>
          <w:tcPr>
            <w:tcW w:type="dxa" w:w="36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global (no domain filter)</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val="false"/>
                <w:bCs w:val="false"/>
                <w:i w:val="false"/>
                <w:iCs w:val="false"/>
                <w:color w:val="6B5A42"/>
                <w:sz w:val="20"/>
                <w:szCs w:val="20"/>
              </w:rPr>
              <w:t xml:space="preserve">r = 0.155, Cohen's d = 0.441</w:t>
            </w:r>
          </w:p>
        </w:tc>
        <w:tc>
          <w:tcPr>
            <w:tcW w:type="dxa" w:w="24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w:t>
            </w:r>
          </w:p>
        </w:tc>
      </w:tr>
      <w:tr>
        <w:tc>
          <w:tcPr>
            <w:tcW w:type="dxa" w:w="36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health domain (H6/H8)</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r = 0.615</w:t>
            </w:r>
          </w:p>
        </w:tc>
        <w:tc>
          <w:tcPr>
            <w:tcW w:type="dxa" w:w="24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+0.93 in Cohen's d</w:t>
            </w:r>
          </w:p>
        </w:tc>
      </w:tr>
    </w:tbl>
    <w:p>
      <w:pPr>
        <w:pStyle w:val="Heading2"/>
        <w:spacing w:before="280" w:after="100"/>
      </w:pPr>
      <w:r>
        <w:rPr>
          <w:rFonts w:ascii="Garamond" w:cs="Garamond" w:eastAsia="Garamond" w:hAnsi="Garamond"/>
          <w:b/>
          <w:bCs/>
          <w:color w:val="8B6F47"/>
          <w:sz w:val="22"/>
          <w:szCs w:val="22"/>
        </w:rPr>
        <w:t xml:space="preserve">8.3 Interpretation</w:t>
      </w:r>
    </w:p>
    <w:p>
      <w:pPr>
        <w:spacing w:before="0" w:after="120"/>
        <w:jc w:val="both"/>
      </w:pPr>
      <w:r>
        <w:rPr>
          <w:rFonts w:ascii="Garamond" w:cs="Garamond" w:eastAsia="Garamond" w:hAnsi="Garamond"/>
          <w:color w:val="1A1510"/>
          <w:sz w:val="22"/>
          <w:szCs w:val="22"/>
        </w:rPr>
        <w:t xml:space="preserve">The finding confirms Axiom 8.1: the global field is not wrong — it captures total astrological activity. It is deaf to the specific question because it mixes all frequencies simultaneously. Domain filtering produces a +0.93 improvement in Cohen's d over health events.</w:t>
      </w:r>
    </w:p>
    <w:p>
      <w:pPr>
        <w:spacing w:before="0" w:after="120"/>
        <w:jc w:val="both"/>
      </w:pPr>
      <w:r>
        <w:rPr>
          <w:rFonts w:ascii="Garamond" w:cs="Garamond" w:eastAsia="Garamond" w:hAnsi="Garamond"/>
          <w:color w:val="1A1510"/>
          <w:sz w:val="22"/>
          <w:szCs w:val="22"/>
        </w:rPr>
        <w:t xml:space="preserve">This is the founding empirical finding of the system. It validates the core architectural decision: the domain selector is not a UX convenience — it is the implementation of an epistemic requirement.</w:t>
      </w:r>
    </w:p>
    <w:p>
      <w:pPr>
        <w:spacing w:before="0" w:after="120"/>
        <w:jc w:val="both"/>
      </w:pPr>
      <w:r>
        <w:rPr>
          <w:rFonts w:ascii="Garamond" w:cs="Garamond" w:eastAsia="Garamond" w:hAnsi="Garamond"/>
          <w:i/>
          <w:iCs/>
          <w:color w:val="1A1510"/>
          <w:sz w:val="22"/>
          <w:szCs w:val="22"/>
        </w:rPr>
        <w:t xml:space="preserve">Methodological note: for H10 (Career) Pearson correlation is unreliable due to class imbalance in the corpus (celebrity-heavy dataset). The operative metric for that domain is Cohen's d.</w:t>
      </w:r>
    </w:p>
    <w:p/>
    <w:p/>
    <w:p/>
    <w:p/>
    <w:p>
      <w:pPr>
        <w:pBdr>
          <w:bottom w:val="single" w:color="8B6F47" w:sz="4" w:space="1"/>
        </w:pBdr>
        <w:spacing w:before="160" w:after="160"/>
      </w:pPr>
    </w:p>
    <w:p>
      <w:pPr>
        <w:spacing w:before="80" w:after="80"/>
        <w:jc w:val="center"/>
      </w:pPr>
      <w:r>
        <w:rPr>
          <w:rFonts w:ascii="Garamond" w:cs="Garamond" w:eastAsia="Garamond" w:hAnsi="Garamond"/>
          <w:i w:val="false"/>
          <w:iCs w:val="false"/>
          <w:color w:val="6B5A42"/>
          <w:sz w:val="18"/>
          <w:szCs w:val="18"/>
        </w:rPr>
        <w:t xml:space="preserve">Abu Oracle Project  ·  Canonical Communication Reference v1.0  ·  March 2026</w:t>
      </w:r>
    </w:p>
    <w:p>
      <w:pPr>
        <w:spacing w:before="80" w:after="80"/>
        <w:jc w:val="center"/>
      </w:pPr>
      <w:r>
        <w:rPr>
          <w:rFonts w:ascii="Garamond" w:cs="Garamond" w:eastAsia="Garamond" w:hAnsi="Garamond"/>
          <w:i w:val="false"/>
          <w:iCs w:val="false"/>
          <w:color w:val="1A1510"/>
          <w:sz w:val="22"/>
          <w:szCs w:val="22"/>
        </w:rPr>
        <w:t xml:space="preserve">Created and founded by Atilio Guillermo Alberto Siaira</w:t>
      </w:r>
    </w:p>
    <w:p>
      <w:pPr>
        <w:spacing w:before="80" w:after="80"/>
        <w:jc w:val="center"/>
      </w:pPr>
      <w:r>
        <w:rPr>
          <w:rFonts w:ascii="Garamond" w:cs="Garamond" w:eastAsia="Garamond" w:hAnsi="Garamond"/>
          <w:i/>
          <w:iCs/>
          <w:color w:val="8B6F47"/>
          <w:sz w:val="16"/>
          <w:szCs w:val="16"/>
        </w:rPr>
        <w:t xml:space="preserve">Founded in memory of Héctor Steinbrun</w:t>
      </w:r>
    </w:p>
    <w:p>
      <w:pPr>
        <w:spacing w:before="80" w:after="80"/>
        <w:jc w:val="center"/>
      </w:pPr>
      <w:r>
        <w:rPr>
          <w:rFonts w:ascii="Garamond" w:cs="Garamond" w:eastAsia="Garamond" w:hAnsi="Garamond"/>
          <w:i/>
          <w:iCs/>
          <w:color w:val="6B5A42"/>
          <w:sz w:val="14"/>
          <w:szCs w:val="14"/>
        </w:rPr>
        <w:t xml:space="preserve">Sources: Axiomatics of Heavens v0.4  ·  "On the Geometry of Light" (@trq212)  ·  Matriz del Destino compatibility analysis  ·  HF Experiment Log</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Abu Oracle — Canonical Communication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2026-03-20T16:14:39.845Z</dcterms:created>
  <dcterms:modified xsi:type="dcterms:W3CDTF">2026-03-20T16:14:39.847Z</dcterms:modified>
</cp:coreProperties>
</file>

<file path=docProps/custom.xml><?xml version="1.0" encoding="utf-8"?>
<Properties xmlns="http://schemas.openxmlformats.org/officeDocument/2006/custom-properties" xmlns:vt="http://schemas.openxmlformats.org/officeDocument/2006/docPropsVTypes"/>
</file>