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Pr>
        <w:spacing w:before="0" w:after="80"/>
        <w:jc w:val="center"/>
      </w:pPr>
      <w:r>
        <w:rPr>
          <w:rFonts w:ascii="Garamond" w:cs="Garamond" w:eastAsia="Garamond" w:hAnsi="Garamond"/>
          <w:b/>
          <w:bCs/>
          <w:color w:val="1A1510"/>
          <w:spacing w:val="200"/>
          <w:sz w:val="52"/>
          <w:szCs w:val="52"/>
        </w:rPr>
        <w:t xml:space="preserve">ABU ORACLE</w:t>
      </w:r>
    </w:p>
    <w:p>
      <w:pPr>
        <w:spacing w:before="0" w:after="60"/>
        <w:jc w:val="center"/>
      </w:pPr>
      <w:r>
        <w:rPr>
          <w:rFonts w:ascii="Garamond" w:cs="Garamond" w:eastAsia="Garamond" w:hAnsi="Garamond"/>
          <w:i/>
          <w:iCs/>
          <w:color w:val="8B6F47"/>
          <w:sz w:val="28"/>
          <w:szCs w:val="28"/>
        </w:rPr>
        <w:t xml:space="preserve">Cuerpo Canónico de Divulgación</w:t>
      </w:r>
    </w:p>
    <w:p>
      <w:pPr>
        <w:spacing w:before="0" w:after="400"/>
        <w:jc w:val="center"/>
      </w:pPr>
      <w:r>
        <w:rPr>
          <w:rFonts w:ascii="Garamond" w:cs="Garamond" w:eastAsia="Garamond" w:hAnsi="Garamond"/>
          <w:color w:val="6B5A42"/>
          <w:sz w:val="20"/>
          <w:szCs w:val="20"/>
        </w:rPr>
        <w:t xml:space="preserve">Versión 1.0  ·  Marzo 2026</w:t>
      </w:r>
    </w:p>
    <w:p>
      <w:pPr>
        <w:pBdr>
          <w:bottom w:val="single" w:color="8B6F47" w:sz="4" w:space="1"/>
        </w:pBdr>
        <w:spacing w:before="160" w:after="160"/>
      </w:pPr>
    </w:p>
    <w:p>
      <w:pPr>
        <w:spacing w:before="200" w:after="200"/>
        <w:jc w:val="center"/>
      </w:pPr>
      <w:r>
        <w:rPr>
          <w:rFonts w:ascii="Garamond" w:cs="Garamond" w:eastAsia="Garamond" w:hAnsi="Garamond"/>
          <w:i/>
          <w:iCs/>
          <w:color w:val="1A1510"/>
          <w:sz w:val="22"/>
          <w:szCs w:val="22"/>
        </w:rPr>
        <w:t xml:space="preserve">Un sistema computacional que revela la geometría invisible del campo celeste — el terreno de posibilidad que subyace a toda trayectoria vital.</w:t>
      </w:r>
    </w:p>
    <w:p>
      <w:pPr>
        <w:pBdr>
          <w:bottom w:val="single" w:color="8B6F47" w:sz="4" w:space="1"/>
        </w:pBdr>
        <w:spacing w:before="160" w:after="160"/>
      </w:pPr>
    </w:p>
    <w:p/>
    <w:p/>
    <w:p/>
    <w:p/>
    <w:p>
      <w:r>
        <w:br/>
      </w:r>
    </w:p>
    <w:p>
      <w:pPr>
        <w:pStyle w:val="Heading1"/>
        <w:spacing w:before="360" w:after="120"/>
        <w:jc w:val="center"/>
      </w:pPr>
      <w:r>
        <w:rPr>
          <w:rFonts w:ascii="Garamond" w:cs="Garamond" w:eastAsia="Garamond" w:hAnsi="Garamond"/>
          <w:b/>
          <w:bCs/>
          <w:color w:val="1A1510"/>
          <w:spacing w:val="120"/>
          <w:sz w:val="28"/>
          <w:szCs w:val="28"/>
        </w:rPr>
        <w:t xml:space="preserve">0. PROPÓSITO DE ESTE DOCUMENTO</w:t>
      </w:r>
    </w:p>
    <w:p>
      <w:pPr>
        <w:pBdr>
          <w:bottom w:val="single" w:color="C9A96E" w:sz="2" w:space="1"/>
        </w:pBdr>
        <w:spacing w:before="80" w:after="80"/>
      </w:pPr>
    </w:p>
    <w:p/>
    <w:p>
      <w:pPr>
        <w:spacing w:before="0" w:after="120"/>
        <w:jc w:val="both"/>
      </w:pPr>
      <w:r>
        <w:rPr>
          <w:rFonts w:ascii="Garamond" w:cs="Garamond" w:eastAsia="Garamond" w:hAnsi="Garamond"/>
          <w:color w:val="1A1510"/>
          <w:sz w:val="22"/>
          <w:szCs w:val="22"/>
        </w:rPr>
        <w:t xml:space="preserve">Este documento es el cuerpo de referencia canónico para toda comunicación pública de Abu Oracle. Establece el marco conceptual unificado, la terminología oficial, las analogías autorizadas y los límites del sistema.</w:t>
      </w:r>
    </w:p>
    <w:p>
      <w:pPr>
        <w:spacing w:before="0" w:after="120"/>
        <w:jc w:val="both"/>
      </w:pPr>
      <w:r>
        <w:rPr>
          <w:rFonts w:ascii="Garamond" w:cs="Garamond" w:eastAsia="Garamond" w:hAnsi="Garamond"/>
          <w:color w:val="1A1510"/>
          <w:sz w:val="22"/>
          <w:szCs w:val="22"/>
        </w:rPr>
        <w:t xml:space="preserve">Está construido a partir de tres fuentes integradas:</w:t>
      </w:r>
    </w:p>
    <w:p>
      <w:pPr>
        <w:pStyle w:val="ListParagraph"/>
        <w:numPr>
          <w:ilvl w:val="0"/>
          <w:numId w:val="2"/>
        </w:numPr>
        <w:spacing w:before="60" w:after="60"/>
      </w:pPr>
      <w:r>
        <w:rPr>
          <w:rFonts w:ascii="Garamond" w:cs="Garamond" w:eastAsia="Garamond" w:hAnsi="Garamond"/>
          <w:color w:val="1A1510"/>
          <w:sz w:val="22"/>
          <w:szCs w:val="22"/>
        </w:rPr>
        <w:t xml:space="preserve">La Axiomática de los Cielos v0.4 — fundamento epistemológico del sistema.</w:t>
      </w:r>
    </w:p>
    <w:p>
      <w:pPr>
        <w:pStyle w:val="ListParagraph"/>
        <w:numPr>
          <w:ilvl w:val="0"/>
          <w:numId w:val="2"/>
        </w:numPr>
        <w:spacing w:before="60" w:after="60"/>
      </w:pPr>
      <w:r>
        <w:rPr>
          <w:rFonts w:ascii="Garamond" w:cs="Garamond" w:eastAsia="Garamond" w:hAnsi="Garamond"/>
          <w:color w:val="1A1510"/>
          <w:sz w:val="22"/>
          <w:szCs w:val="22"/>
        </w:rPr>
        <w:t xml:space="preserve">La analogía geométrica del campo de normales — puente entre la geometría diferencial y el campo celeste.</w:t>
      </w:r>
    </w:p>
    <w:p>
      <w:pPr>
        <w:pStyle w:val="ListParagraph"/>
        <w:numPr>
          <w:ilvl w:val="0"/>
          <w:numId w:val="2"/>
        </w:numPr>
        <w:spacing w:before="60" w:after="60"/>
      </w:pPr>
      <w:r>
        <w:rPr>
          <w:rFonts w:ascii="Garamond" w:cs="Garamond" w:eastAsia="Garamond" w:hAnsi="Garamond"/>
          <w:color w:val="1A1510"/>
          <w:sz w:val="22"/>
          <w:szCs w:val="22"/>
        </w:rPr>
        <w:t xml:space="preserve">El análisis de compatibilidad con la Matriz del Destino — posicionamiento del sistema frente a audiencias adyacentes.</w:t>
      </w:r>
    </w:p>
    <w:p/>
    <w:p>
      <w:pPr>
        <w:spacing w:before="0" w:after="120"/>
        <w:jc w:val="both"/>
      </w:pPr>
      <w:r>
        <w:rPr>
          <w:rFonts w:ascii="Garamond" w:cs="Garamond" w:eastAsia="Garamond" w:hAnsi="Garamond"/>
          <w:color w:val="1A1510"/>
          <w:sz w:val="22"/>
          <w:szCs w:val="22"/>
        </w:rPr>
        <w:t xml:space="preserve">Todo material de divulgación — hilos de Twitter/X, posts de Instagram, artículos, videos explicativos — debe ser coherente con el marco aquí establecido.</w:t>
      </w:r>
    </w:p>
    <w:p>
      <w:r>
        <w:br/>
      </w:r>
    </w:p>
    <w:p>
      <w:pPr>
        <w:pStyle w:val="Heading1"/>
        <w:spacing w:before="360" w:after="120"/>
        <w:jc w:val="center"/>
      </w:pPr>
      <w:r>
        <w:rPr>
          <w:rFonts w:ascii="Garamond" w:cs="Garamond" w:eastAsia="Garamond" w:hAnsi="Garamond"/>
          <w:b/>
          <w:bCs/>
          <w:color w:val="1A1510"/>
          <w:spacing w:val="120"/>
          <w:sz w:val="28"/>
          <w:szCs w:val="28"/>
        </w:rPr>
        <w:t xml:space="preserve">I. QUÉ ES ABU ORACLE</w:t>
      </w:r>
    </w:p>
    <w:p>
      <w:pPr>
        <w:pBdr>
          <w:bottom w:val="single" w:color="C9A96E" w:sz="2" w:space="1"/>
        </w:pBdr>
        <w:spacing w:before="80" w:after="80"/>
      </w:pPr>
    </w:p>
    <w:p/>
    <w:p>
      <w:pPr>
        <w:pStyle w:val="Heading2"/>
        <w:spacing w:before="280" w:after="100"/>
      </w:pPr>
      <w:r>
        <w:rPr>
          <w:rFonts w:ascii="Garamond" w:cs="Garamond" w:eastAsia="Garamond" w:hAnsi="Garamond"/>
          <w:b/>
          <w:bCs/>
          <w:color w:val="8B6F47"/>
          <w:sz w:val="22"/>
          <w:szCs w:val="22"/>
        </w:rPr>
        <w:t xml:space="preserve">1.1 Definición central</w:t>
      </w:r>
    </w:p>
    <w:p>
      <w:pPr>
        <w:spacing w:before="0" w:after="120"/>
        <w:jc w:val="both"/>
      </w:pPr>
      <w:r>
        <w:rPr>
          <w:rFonts w:ascii="Garamond" w:cs="Garamond" w:eastAsia="Garamond" w:hAnsi="Garamond"/>
          <w:color w:val="1A1510"/>
          <w:sz w:val="22"/>
          <w:szCs w:val="22"/>
        </w:rPr>
        <w:t xml:space="preserve">Abu Oracle es un motor de astrología computacional que calcula, para cualquier carta natal, un campo escalar geográfico denominado Harmony Field (HF). Este campo asigna un valor numérico a cada coordenada de la Tierra y responde a la pregunta: ¿dónde están las condiciones estructurales más favorables para un dominio específico de la vida de esta persona?</w:t>
      </w:r>
    </w:p>
    <w:p>
      <w:pPr>
        <w:spacing w:before="0" w:after="120"/>
        <w:jc w:val="both"/>
      </w:pPr>
      <w:r>
        <w:rPr>
          <w:rFonts w:ascii="Garamond" w:cs="Garamond" w:eastAsia="Garamond" w:hAnsi="Garamond"/>
          <w:color w:val="1A1510"/>
          <w:sz w:val="22"/>
          <w:szCs w:val="22"/>
        </w:rPr>
        <w:t xml:space="preserve">El sistema no adivina. No predice eventos. Mapea terreno — la geometría del potencial natal proyectada sobre la superficie del planeta.</w:t>
      </w:r>
    </w:p>
    <w:p/>
    <w:p>
      <w:pPr>
        <w:pStyle w:val="Heading2"/>
        <w:spacing w:before="280" w:after="100"/>
      </w:pPr>
      <w:r>
        <w:rPr>
          <w:rFonts w:ascii="Garamond" w:cs="Garamond" w:eastAsia="Garamond" w:hAnsi="Garamond"/>
          <w:b/>
          <w:bCs/>
          <w:color w:val="8B6F47"/>
          <w:sz w:val="22"/>
          <w:szCs w:val="22"/>
        </w:rPr>
        <w:t xml:space="preserve">1.2 El nombre</w:t>
      </w:r>
    </w:p>
    <w:p>
      <w:pPr>
        <w:spacing w:before="0" w:after="120"/>
        <w:jc w:val="both"/>
      </w:pPr>
      <w:r>
        <w:rPr>
          <w:rFonts w:ascii="Garamond" w:cs="Garamond" w:eastAsia="Garamond" w:hAnsi="Garamond"/>
          <w:color w:val="1A1510"/>
          <w:sz w:val="22"/>
          <w:szCs w:val="22"/>
        </w:rPr>
        <w:t xml:space="preserve">Abu Oracle lleva el nombre de Abu Mashar al-Balkhi (787–886 d.C.), el astrónomo y matemático persa medieval que sistematizó la astrología árabe y estableció sus fundamentos astronómicos. La elección no es decorativa: señala la tradición intelectual en la que el sistema se inscribe — rigor matemático aplicado a la interpretación del cielo.</w:t>
      </w:r>
    </w:p>
    <w:p/>
    <w:p>
      <w:pPr>
        <w:pStyle w:val="Heading2"/>
        <w:spacing w:before="280" w:after="100"/>
      </w:pPr>
      <w:r>
        <w:rPr>
          <w:rFonts w:ascii="Garamond" w:cs="Garamond" w:eastAsia="Garamond" w:hAnsi="Garamond"/>
          <w:b/>
          <w:bCs/>
          <w:color w:val="8B6F47"/>
          <w:sz w:val="22"/>
          <w:szCs w:val="22"/>
        </w:rPr>
        <w:t xml:space="preserve">1.3 Lo que el sistema hace</w:t>
      </w:r>
    </w:p>
    <w:p>
      <w:pPr>
        <w:pStyle w:val="ListParagraph"/>
        <w:numPr>
          <w:ilvl w:val="0"/>
          <w:numId w:val="3"/>
        </w:numPr>
        <w:spacing w:before="60" w:after="60"/>
      </w:pPr>
      <w:r>
        <w:rPr>
          <w:rFonts w:ascii="Garamond" w:cs="Garamond" w:eastAsia="Garamond" w:hAnsi="Garamond"/>
          <w:color w:val="1A1510"/>
          <w:sz w:val="22"/>
          <w:szCs w:val="22"/>
        </w:rPr>
        <w:t xml:space="preserve">Calcula la carta natal con precisión topocéntrica (Swiss Ephemeris DE440s, sistema Placidus).</w:t>
      </w:r>
    </w:p>
    <w:p>
      <w:pPr>
        <w:pStyle w:val="ListParagraph"/>
        <w:numPr>
          <w:ilvl w:val="0"/>
          <w:numId w:val="3"/>
        </w:numPr>
        <w:spacing w:before="60" w:after="60"/>
      </w:pPr>
      <w:r>
        <w:rPr>
          <w:rFonts w:ascii="Garamond" w:cs="Garamond" w:eastAsia="Garamond" w:hAnsi="Garamond"/>
          <w:color w:val="1A1510"/>
          <w:sz w:val="22"/>
          <w:szCs w:val="22"/>
        </w:rPr>
        <w:t xml:space="preserve">Genera un campo escalar HF sobre una grilla global de 5° × 5° (~2,400 puntos).</w:t>
      </w:r>
    </w:p>
    <w:p>
      <w:pPr>
        <w:pStyle w:val="ListParagraph"/>
        <w:numPr>
          <w:ilvl w:val="0"/>
          <w:numId w:val="3"/>
        </w:numPr>
        <w:spacing w:before="60" w:after="60"/>
      </w:pPr>
      <w:r>
        <w:rPr>
          <w:rFonts w:ascii="Garamond" w:cs="Garamond" w:eastAsia="Garamond" w:hAnsi="Garamond"/>
          <w:color w:val="1A1510"/>
          <w:sz w:val="22"/>
          <w:szCs w:val="22"/>
        </w:rPr>
        <w:t xml:space="preserve">Filtra ese campo por dominio de vida (salud, carrera, amor, etc.) usando los significadores planetarios de la casa correspondiente.</w:t>
      </w:r>
    </w:p>
    <w:p>
      <w:pPr>
        <w:pStyle w:val="ListParagraph"/>
        <w:numPr>
          <w:ilvl w:val="0"/>
          <w:numId w:val="3"/>
        </w:numPr>
        <w:spacing w:before="60" w:after="60"/>
      </w:pPr>
      <w:r>
        <w:rPr>
          <w:rFonts w:ascii="Garamond" w:cs="Garamond" w:eastAsia="Garamond" w:hAnsi="Garamond"/>
          <w:color w:val="1A1510"/>
          <w:sz w:val="22"/>
          <w:szCs w:val="22"/>
        </w:rPr>
        <w:t xml:space="preserve">Renderiza el resultado como un mapa de calor geográfico interactivo.</w:t>
      </w:r>
    </w:p>
    <w:p>
      <w:pPr>
        <w:pStyle w:val="ListParagraph"/>
        <w:numPr>
          <w:ilvl w:val="0"/>
          <w:numId w:val="3"/>
        </w:numPr>
        <w:spacing w:before="60" w:after="100"/>
      </w:pPr>
      <w:r>
        <w:rPr>
          <w:rFonts w:ascii="Garamond" w:cs="Garamond" w:eastAsia="Garamond" w:hAnsi="Garamond"/>
          <w:color w:val="1A1510"/>
          <w:sz w:val="22"/>
          <w:szCs w:val="22"/>
        </w:rPr>
        <w:t xml:space="preserve">Ofrece interpretación textual mediante Lilly, el agente LLM del sistema, inspirado en William Lilly (1647).</w:t>
      </w:r>
    </w:p>
    <w:p>
      <w:pPr>
        <w:pStyle w:val="Heading2"/>
        <w:spacing w:before="280" w:after="100"/>
      </w:pPr>
      <w:r>
        <w:rPr>
          <w:rFonts w:ascii="Garamond" w:cs="Garamond" w:eastAsia="Garamond" w:hAnsi="Garamond"/>
          <w:b/>
          <w:bCs/>
          <w:color w:val="8B6F47"/>
          <w:sz w:val="22"/>
          <w:szCs w:val="22"/>
        </w:rPr>
        <w:t xml:space="preserve">1.4 Lo que el sistema no hace</w:t>
      </w:r>
    </w:p>
    <w:p>
      <w:pPr>
        <w:pStyle w:val="ListParagraph"/>
        <w:numPr>
          <w:ilvl w:val="0"/>
          <w:numId w:val="3"/>
        </w:numPr>
        <w:spacing w:before="60" w:after="60"/>
      </w:pPr>
      <w:r>
        <w:rPr>
          <w:rFonts w:ascii="Garamond" w:cs="Garamond" w:eastAsia="Garamond" w:hAnsi="Garamond"/>
          <w:color w:val="1A1510"/>
          <w:sz w:val="22"/>
          <w:szCs w:val="22"/>
        </w:rPr>
        <w:t xml:space="preserve">No predice eventos específicos.</w:t>
      </w:r>
    </w:p>
    <w:p>
      <w:pPr>
        <w:pStyle w:val="ListParagraph"/>
        <w:numPr>
          <w:ilvl w:val="0"/>
          <w:numId w:val="3"/>
        </w:numPr>
        <w:spacing w:before="60" w:after="60"/>
      </w:pPr>
      <w:r>
        <w:rPr>
          <w:rFonts w:ascii="Garamond" w:cs="Garamond" w:eastAsia="Garamond" w:hAnsi="Garamond"/>
          <w:color w:val="1A1510"/>
          <w:sz w:val="22"/>
          <w:szCs w:val="22"/>
        </w:rPr>
        <w:t xml:space="preserve">No garantiza resultados en ninguna ubicación.</w:t>
      </w:r>
    </w:p>
    <w:p>
      <w:pPr>
        <w:pStyle w:val="ListParagraph"/>
        <w:numPr>
          <w:ilvl w:val="0"/>
          <w:numId w:val="3"/>
        </w:numPr>
        <w:spacing w:before="60" w:after="100"/>
      </w:pPr>
      <w:r>
        <w:rPr>
          <w:rFonts w:ascii="Garamond" w:cs="Garamond" w:eastAsia="Garamond" w:hAnsi="Garamond"/>
          <w:color w:val="1A1510"/>
          <w:sz w:val="22"/>
          <w:szCs w:val="22"/>
        </w:rPr>
        <w:t xml:space="preserve">No sintetiza tradiciones astrológicas incompatibles.</w:t>
      </w:r>
    </w:p>
    <w:p>
      <w:pPr>
        <w:pBdr>
          <w:top w:val="single" w:color="8B6F47" w:sz="6" w:space="4"/>
          <w:bottom w:val="single" w:color="8B6F47" w:sz="6" w:space="4"/>
        </w:pBdr>
        <w:spacing w:before="200" w:after="200"/>
        <w:ind w:left="1440" w:right="1440"/>
        <w:jc w:val="center"/>
      </w:pPr>
      <w:r>
        <w:rPr>
          <w:rFonts w:ascii="Garamond" w:cs="Garamond" w:eastAsia="Garamond" w:hAnsi="Garamond"/>
          <w:i/>
          <w:iCs/>
          <w:color w:val="1A1510"/>
          <w:sz w:val="24"/>
          <w:szCs w:val="24"/>
        </w:rPr>
        <w:t xml:space="preserve">"El sistema no dice: aquí tendrás éxito. Dice: aquí los principios que rigen tu dominio encuentran mayor resonancia."</w:t>
      </w:r>
    </w:p>
    <w:p>
      <w:pPr>
        <w:spacing w:before="0" w:after="120"/>
        <w:jc w:val="both"/>
      </w:pPr>
      <w:r>
        <w:rPr>
          <w:rFonts w:ascii="Garamond" w:cs="Garamond" w:eastAsia="Garamond" w:hAnsi="Garamond"/>
          <w:i/>
          <w:iCs/>
          <w:color w:val="1A1510"/>
          <w:sz w:val="22"/>
          <w:szCs w:val="22"/>
        </w:rPr>
        <w:t xml:space="preserve">— Axiomática de los Cielos v0.4, Axioma 9.2</w:t>
      </w:r>
    </w:p>
    <w:p>
      <w:r>
        <w:br/>
      </w:r>
    </w:p>
    <w:p>
      <w:pPr>
        <w:pStyle w:val="Heading1"/>
        <w:spacing w:before="360" w:after="120"/>
        <w:jc w:val="center"/>
      </w:pPr>
      <w:r>
        <w:rPr>
          <w:rFonts w:ascii="Garamond" w:cs="Garamond" w:eastAsia="Garamond" w:hAnsi="Garamond"/>
          <w:b/>
          <w:bCs/>
          <w:color w:val="1A1510"/>
          <w:spacing w:val="120"/>
          <w:sz w:val="28"/>
          <w:szCs w:val="28"/>
        </w:rPr>
        <w:t xml:space="preserve">II. LA GEOMETRÍA DEL CAMPO CELESTE</w:t>
      </w:r>
    </w:p>
    <w:p>
      <w:pPr>
        <w:pBdr>
          <w:bottom w:val="single" w:color="C9A96E" w:sz="2" w:space="1"/>
        </w:pBdr>
        <w:spacing w:before="80" w:after="80"/>
      </w:pPr>
    </w:p>
    <w:p/>
    <w:p>
      <w:pPr>
        <w:spacing w:before="0" w:after="120"/>
        <w:jc w:val="both"/>
      </w:pPr>
      <w:r>
        <w:rPr>
          <w:rFonts w:ascii="Garamond" w:cs="Garamond" w:eastAsia="Garamond" w:hAnsi="Garamond"/>
          <w:color w:val="1A1510"/>
          <w:sz w:val="22"/>
          <w:szCs w:val="22"/>
        </w:rPr>
        <w:t xml:space="preserve">El marco conceptual de Abu Oracle se construye sobre una analogía con la geometría diferencial de la iluminación. Esta analogía no es decorativa — es estructuralmente precisa y permite comunicar el funcionamiento del sistema de manera exacta y accesible.</w:t>
      </w:r>
    </w:p>
    <w:p/>
    <w:p>
      <w:pPr>
        <w:pStyle w:val="Heading2"/>
        <w:spacing w:before="280" w:after="100"/>
      </w:pPr>
      <w:r>
        <w:rPr>
          <w:rFonts w:ascii="Garamond" w:cs="Garamond" w:eastAsia="Garamond" w:hAnsi="Garamond"/>
          <w:b/>
          <w:bCs/>
          <w:color w:val="8B6F47"/>
          <w:sz w:val="22"/>
          <w:szCs w:val="22"/>
        </w:rPr>
        <w:t xml:space="preserve">2.1 El campo de normales en óptica</w:t>
      </w:r>
    </w:p>
    <w:p>
      <w:pPr>
        <w:spacing w:before="0" w:after="120"/>
        <w:jc w:val="both"/>
      </w:pPr>
      <w:r>
        <w:rPr>
          <w:rFonts w:ascii="Garamond" w:cs="Garamond" w:eastAsia="Garamond" w:hAnsi="Garamond"/>
          <w:color w:val="1A1510"/>
          <w:sz w:val="22"/>
          <w:szCs w:val="22"/>
        </w:rPr>
        <w:t xml:space="preserve">Para toda superficie existe un campo de normales: el vector perpendicular a la superficie en cada punto. Este campo es invisible al ojo, pero es la cantidad fundamental de la que depende toda iluminación. La luz no interactúa directamente con la forma — interactúa con la orientación local de la superficie.</w:t>
      </w:r>
    </w:p>
    <w:p>
      <w:pPr>
        <w:spacing w:before="0" w:after="120"/>
        <w:jc w:val="both"/>
      </w:pPr>
      <w:r>
        <w:rPr>
          <w:rFonts w:ascii="Garamond" w:cs="Garamond" w:eastAsia="Garamond" w:hAnsi="Garamond"/>
          <w:color w:val="1A1510"/>
          <w:sz w:val="22"/>
          <w:szCs w:val="22"/>
        </w:rPr>
        <w:t xml:space="preserve">El campo de normales se recupera computacionalmente como el gradiente del campo de profundidad:</w:t>
      </w:r>
    </w:p>
    <w:p/>
    <w:p>
      <w:pPr>
        <w:spacing w:before="0" w:after="60"/>
      </w:pPr>
      <w:r>
        <w:rPr>
          <w:rFonts w:ascii="Courier New" w:cs="Courier New" w:eastAsia="Courier New" w:hAnsi="Courier New"/>
          <w:color w:val="6B5A42"/>
          <w:spacing w:val="80"/>
          <w:sz w:val="16"/>
          <w:szCs w:val="16"/>
        </w:rPr>
        <w:t xml:space="preserve">CÓDIGO GLSL — RECUPERACIÓN DEL CAMPO DE NORMALES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9A96E" w:sz="4"/>
              <w:left w:val="single" w:color="C9A96E" w:sz="4"/>
              <w:bottom w:val="single" w:color="C9A96E" w:sz="4"/>
              <w:right w:val="single" w:color="C9A96E" w:sz="4"/>
            </w:tcBorders>
            <w:shd w:fill="EDE8DC" w:val="clear"/>
            <w:tcMar>
              <w:top w:type="dxa" w:w="140"/>
              <w:left w:type="dxa" w:w="200"/>
              <w:bottom w:type="dxa" w:w="140"/>
              <w:right w:type="dxa" w:w="200"/>
            </w:tcMar>
          </w:tcPr>
          <w:p>
            <w:pPr>
              <w:spacing w:before="0" w:after="40"/>
            </w:pPr>
            <w:r>
              <w:rPr>
                <w:rFonts w:ascii="Courier New" w:cs="Courier New" w:eastAsia="Courier New" w:hAnsi="Courier New"/>
                <w:color w:val="1A1510"/>
                <w:sz w:val="18"/>
                <w:szCs w:val="18"/>
              </w:rPr>
              <w:t xml:space="preserve">vec3 getNormal(vec2 uv) {</w:t>
            </w:r>
          </w:p>
          <w:p>
            <w:pPr>
              <w:spacing w:before="0" w:after="40"/>
            </w:pPr>
            <w:r>
              <w:rPr>
                <w:rFonts w:ascii="Courier New" w:cs="Courier New" w:eastAsia="Courier New" w:hAnsi="Courier New"/>
                <w:color w:val="1A1510"/>
                <w:sz w:val="18"/>
                <w:szCs w:val="18"/>
              </w:rPr>
              <w:t xml:space="preserve">  vec2 texel = 1.0 / uResolution;</w:t>
            </w:r>
          </w:p>
          <w:p>
            <w:pPr>
              <w:spacing w:before="0" w:after="40"/>
            </w:pPr>
            <w:r>
              <w:rPr>
                <w:rFonts w:ascii="Courier New" w:cs="Courier New" w:eastAsia="Courier New" w:hAnsi="Courier New"/>
                <w:color w:val="1A1510"/>
                <w:sz w:val="18"/>
                <w:szCs w:val="18"/>
              </w:rPr>
              <w:t xml:space="preserve">  float dL = texture2D(depth, uv - vec2(texel.x, 0.0)).r;</w:t>
            </w:r>
          </w:p>
          <w:p>
            <w:pPr>
              <w:spacing w:before="0" w:after="40"/>
            </w:pPr>
            <w:r>
              <w:rPr>
                <w:rFonts w:ascii="Courier New" w:cs="Courier New" w:eastAsia="Courier New" w:hAnsi="Courier New"/>
                <w:color w:val="1A1510"/>
                <w:sz w:val="18"/>
                <w:szCs w:val="18"/>
              </w:rPr>
              <w:t xml:space="preserve">  float dR = texture2D(depth, uv + vec2(texel.x, 0.0)).r;</w:t>
            </w:r>
          </w:p>
          <w:p>
            <w:pPr>
              <w:spacing w:before="0" w:after="40"/>
            </w:pPr>
            <w:r>
              <w:rPr>
                <w:rFonts w:ascii="Courier New" w:cs="Courier New" w:eastAsia="Courier New" w:hAnsi="Courier New"/>
                <w:color w:val="1A1510"/>
                <w:sz w:val="18"/>
                <w:szCs w:val="18"/>
              </w:rPr>
              <w:t xml:space="preserve">  float dD = texture2D(depth, uv - vec2(0.0, texel.y)).r;</w:t>
            </w:r>
          </w:p>
          <w:p>
            <w:pPr>
              <w:spacing w:before="0" w:after="40"/>
            </w:pPr>
            <w:r>
              <w:rPr>
                <w:rFonts w:ascii="Courier New" w:cs="Courier New" w:eastAsia="Courier New" w:hAnsi="Courier New"/>
                <w:color w:val="1A1510"/>
                <w:sz w:val="18"/>
                <w:szCs w:val="18"/>
              </w:rPr>
              <w:t xml:space="preserve">  float dU = texture2D(depth, uv + vec2(0.0, texel.y)).r;</w:t>
            </w:r>
          </w:p>
          <w:p>
            <w:pPr>
              <w:spacing w:before="0" w:after="40"/>
            </w:pPr>
            <w:r>
              <w:rPr>
                <w:rFonts w:ascii="Courier New" w:cs="Courier New" w:eastAsia="Courier New" w:hAnsi="Courier New"/>
                <w:color w:val="1A1510"/>
                <w:sz w:val="18"/>
                <w:szCs w:val="18"/>
              </w:rPr>
              <w:t xml:space="preserve">  return normalize(vec3(</w:t>
            </w:r>
          </w:p>
          <w:p>
            <w:pPr>
              <w:spacing w:before="0" w:after="40"/>
            </w:pPr>
            <w:r>
              <w:rPr>
                <w:rFonts w:ascii="Courier New" w:cs="Courier New" w:eastAsia="Courier New" w:hAnsi="Courier New"/>
                <w:color w:val="1A1510"/>
                <w:sz w:val="18"/>
                <w:szCs w:val="18"/>
              </w:rPr>
              <w:t xml:space="preserve">    (dL - dR) * scale,   // gradiente este-oeste</w:t>
            </w:r>
          </w:p>
          <w:p>
            <w:pPr>
              <w:spacing w:before="0" w:after="40"/>
            </w:pPr>
            <w:r>
              <w:rPr>
                <w:rFonts w:ascii="Courier New" w:cs="Courier New" w:eastAsia="Courier New" w:hAnsi="Courier New"/>
                <w:color w:val="1A1510"/>
                <w:sz w:val="18"/>
                <w:szCs w:val="18"/>
              </w:rPr>
              <w:t xml:space="preserve">    (dD - dU) * scale,   // gradiente norte-sur</w:t>
            </w:r>
          </w:p>
          <w:p>
            <w:pPr>
              <w:spacing w:before="0" w:after="40"/>
            </w:pPr>
            <w:r>
              <w:rPr>
                <w:rFonts w:ascii="Courier New" w:cs="Courier New" w:eastAsia="Courier New" w:hAnsi="Courier New"/>
                <w:color w:val="1A1510"/>
                <w:sz w:val="18"/>
                <w:szCs w:val="18"/>
              </w:rPr>
              <w:t xml:space="preserve">    1.0</w:t>
            </w:r>
          </w:p>
          <w:p>
            <w:pPr>
              <w:spacing w:before="0" w:after="40"/>
            </w:pPr>
            <w:r>
              <w:rPr>
                <w:rFonts w:ascii="Courier New" w:cs="Courier New" w:eastAsia="Courier New" w:hAnsi="Courier New"/>
                <w:color w:val="1A1510"/>
                <w:sz w:val="18"/>
                <w:szCs w:val="18"/>
              </w:rPr>
              <w:t xml:space="preserve">  ));</w:t>
            </w:r>
          </w:p>
          <w:p>
            <w:pPr>
              <w:spacing w:before="0" w:after="40"/>
            </w:pPr>
            <w:r>
              <w:rPr>
                <w:rFonts w:ascii="Courier New" w:cs="Courier New" w:eastAsia="Courier New" w:hAnsi="Courier New"/>
                <w:color w:val="1A1510"/>
                <w:sz w:val="18"/>
                <w:szCs w:val="18"/>
              </w:rPr>
              <w:t xml:space="preserve">}</w:t>
            </w:r>
          </w:p>
        </w:tc>
      </w:tr>
    </w:tbl>
    <w:p/>
    <w:p>
      <w:pPr>
        <w:spacing w:before="0" w:after="120"/>
        <w:jc w:val="both"/>
      </w:pPr>
      <w:r>
        <w:rPr>
          <w:rFonts w:ascii="Garamond" w:cs="Garamond" w:eastAsia="Garamond" w:hAnsi="Garamond"/>
          <w:color w:val="1A1510"/>
          <w:sz w:val="22"/>
          <w:szCs w:val="22"/>
        </w:rPr>
        <w:t xml:space="preserve">La observación que organiza el sistema: a partir de una única medición — la orientación de la superficie en cada punto — toda la iluminación se puede derivar.</w:t>
      </w:r>
    </w:p>
    <w:p/>
    <w:p>
      <w:pPr>
        <w:pStyle w:val="Heading2"/>
        <w:spacing w:before="280" w:after="100"/>
      </w:pPr>
      <w:r>
        <w:rPr>
          <w:rFonts w:ascii="Garamond" w:cs="Garamond" w:eastAsia="Garamond" w:hAnsi="Garamond"/>
          <w:b/>
          <w:bCs/>
          <w:color w:val="8B6F47"/>
          <w:sz w:val="22"/>
          <w:szCs w:val="22"/>
        </w:rPr>
        <w:t xml:space="preserve">2.2 La carta natal como campo de profundidad</w:t>
      </w:r>
    </w:p>
    <w:p>
      <w:pPr>
        <w:spacing w:before="0" w:after="120"/>
        <w:jc w:val="both"/>
      </w:pPr>
      <w:r>
        <w:rPr>
          <w:rFonts w:ascii="Garamond" w:cs="Garamond" w:eastAsia="Garamond" w:hAnsi="Garamond"/>
          <w:color w:val="1A1510"/>
          <w:sz w:val="22"/>
          <w:szCs w:val="22"/>
        </w:rPr>
        <w:t xml:space="preserve">Una carta natal es una proyección finita y computable del estado del sistema solar en el momento y lugar del nacimiento. Formalmente, es una función π : ℋ → ℝⁿ parametrizada por las coordenadas del observador.</w:t>
      </w:r>
    </w:p>
    <w:p>
      <w:pPr>
        <w:spacing w:before="0" w:after="120"/>
        <w:jc w:val="both"/>
      </w:pPr>
      <w:r>
        <w:rPr>
          <w:rFonts w:ascii="Garamond" w:cs="Garamond" w:eastAsia="Garamond" w:hAnsi="Garamond"/>
          <w:color w:val="1A1510"/>
          <w:sz w:val="22"/>
          <w:szCs w:val="22"/>
        </w:rPr>
        <w:t xml:space="preserve">Pero la carta calculada en el lugar natal es solo el campo de profundidad: registra el escalar en un único punto. No revela todavía el campo — solo una medición de él.</w:t>
      </w:r>
    </w:p>
    <w:p/>
    <w:p>
      <w:pPr>
        <w:pStyle w:val="Heading2"/>
        <w:spacing w:before="280" w:after="100"/>
      </w:pPr>
      <w:r>
        <w:rPr>
          <w:rFonts w:ascii="Garamond" w:cs="Garamond" w:eastAsia="Garamond" w:hAnsi="Garamond"/>
          <w:b/>
          <w:bCs/>
          <w:color w:val="8B6F47"/>
          <w:sz w:val="22"/>
          <w:szCs w:val="22"/>
        </w:rPr>
        <w:t xml:space="preserve">2.3 El Harmony Field como campo de normales</w:t>
      </w:r>
    </w:p>
    <w:p>
      <w:pPr>
        <w:spacing w:before="0" w:after="120"/>
        <w:jc w:val="both"/>
      </w:pPr>
      <w:r>
        <w:rPr>
          <w:rFonts w:ascii="Garamond" w:cs="Garamond" w:eastAsia="Garamond" w:hAnsi="Garamond"/>
          <w:color w:val="1A1510"/>
          <w:sz w:val="22"/>
          <w:szCs w:val="22"/>
        </w:rPr>
        <w:t xml:space="preserve">La relocalización es diferenciación. Cuando el observador se desplaza por la superficie de la Tierra, el Ascendente rota, el Medio Cielo se desplaza, las casas se reorganizan. Los planetas natales, fijos en sus posiciones, comienzan a hablar diferente en cada nuevo horizonte.</w:t>
      </w:r>
    </w:p>
    <w:p>
      <w:pPr>
        <w:spacing w:before="0" w:after="120"/>
        <w:jc w:val="both"/>
      </w:pPr>
      <w:r>
        <w:rPr>
          <w:rFonts w:ascii="Garamond" w:cs="Garamond" w:eastAsia="Garamond" w:hAnsi="Garamond"/>
          <w:color w:val="1A1510"/>
          <w:sz w:val="22"/>
          <w:szCs w:val="22"/>
        </w:rPr>
        <w:t xml:space="preserve">El Harmony Field es el campo de normales recuperado de este proceso. En cada punto geográfico (φ, λ), registra cuán favorablemente la configuración natal está orientada hacia la activación de un dominio dado:</w:t>
      </w:r>
    </w:p>
    <w:p/>
    <w:p>
      <w:pPr>
        <w:spacing w:before="0" w:after="60"/>
      </w:pPr>
      <w:r>
        <w:rPr>
          <w:rFonts w:ascii="Courier New" w:cs="Courier New" w:eastAsia="Courier New" w:hAnsi="Courier New"/>
          <w:color w:val="6B5A42"/>
          <w:spacing w:val="80"/>
          <w:sz w:val="16"/>
          <w:szCs w:val="16"/>
        </w:rPr>
        <w:t xml:space="preserve">ECUACIÓN DEL HARMONY FIELD — NÚCLEO COMPUTACIONAL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9A96E" w:sz="4"/>
              <w:left w:val="single" w:color="C9A96E" w:sz="4"/>
              <w:bottom w:val="single" w:color="C9A96E" w:sz="4"/>
              <w:right w:val="single" w:color="C9A96E" w:sz="4"/>
            </w:tcBorders>
            <w:shd w:fill="EDE8DC" w:val="clear"/>
            <w:tcMar>
              <w:top w:type="dxa" w:w="140"/>
              <w:left w:type="dxa" w:w="200"/>
              <w:bottom w:type="dxa" w:w="140"/>
              <w:right w:type="dxa" w:w="200"/>
            </w:tcMar>
          </w:tcPr>
          <w:p>
            <w:pPr>
              <w:spacing w:before="0" w:after="40"/>
            </w:pPr>
            <w:r>
              <w:rPr>
                <w:rFonts w:ascii="Courier New" w:cs="Courier New" w:eastAsia="Courier New" w:hAnsi="Courier New"/>
                <w:color w:val="1A1510"/>
                <w:sz w:val="18"/>
                <w:szCs w:val="18"/>
              </w:rPr>
              <w:t xml:space="preserve">HF(φ, λ) = Σ_{i&lt;j} Σ_a  w_a · exp( -(Δθ_ij - α_a)² / 2σ_a² )</w:t>
            </w:r>
          </w:p>
          <w:p>
            <w:pPr>
              <w:spacing w:before="0" w:after="40"/>
            </w:pPr>
            <w:r>
              <w:rPr>
                <w:rFonts w:ascii="Courier New" w:cs="Courier New" w:eastAsia="Courier New" w:hAnsi="Courier New"/>
                <w:color w:val="1A1510"/>
                <w:sz w:val="18"/>
                <w:szCs w:val="18"/>
              </w:rPr>
              <w:t xml:space="preserve"/>
            </w:r>
          </w:p>
          <w:p>
            <w:pPr>
              <w:spacing w:before="0" w:after="40"/>
            </w:pPr>
            <w:r>
              <w:rPr>
                <w:rFonts w:ascii="Courier New" w:cs="Courier New" w:eastAsia="Courier New" w:hAnsi="Courier New"/>
                <w:color w:val="1A1510"/>
                <w:sz w:val="18"/>
                <w:szCs w:val="18"/>
              </w:rPr>
              <w:t xml:space="preserve">donde:</w:t>
            </w:r>
          </w:p>
          <w:p>
            <w:pPr>
              <w:spacing w:before="0" w:after="40"/>
            </w:pPr>
            <w:r>
              <w:rPr>
                <w:rFonts w:ascii="Courier New" w:cs="Courier New" w:eastAsia="Courier New" w:hAnsi="Courier New"/>
                <w:color w:val="1A1510"/>
                <w:sz w:val="18"/>
                <w:szCs w:val="18"/>
              </w:rPr>
              <w:t xml:space="preserve">  Δθ_ij  = separación angular mínima entre planetas i, j  (0°–180°)</w:t>
            </w:r>
          </w:p>
          <w:p>
            <w:pPr>
              <w:spacing w:before="0" w:after="40"/>
            </w:pPr>
            <w:r>
              <w:rPr>
                <w:rFonts w:ascii="Courier New" w:cs="Courier New" w:eastAsia="Courier New" w:hAnsi="Courier New"/>
                <w:color w:val="1A1510"/>
                <w:sz w:val="18"/>
                <w:szCs w:val="18"/>
              </w:rPr>
              <w:t xml:space="preserve">  α_a    = ángulo central del aspecto a  (0°, 60°, 90°, 120°, 180°)</w:t>
            </w:r>
          </w:p>
          <w:p>
            <w:pPr>
              <w:spacing w:before="0" w:after="40"/>
            </w:pPr>
            <w:r>
              <w:rPr>
                <w:rFonts w:ascii="Courier New" w:cs="Courier New" w:eastAsia="Courier New" w:hAnsi="Courier New"/>
                <w:color w:val="1A1510"/>
                <w:sz w:val="18"/>
                <w:szCs w:val="18"/>
              </w:rPr>
              <w:t xml:space="preserve">  σ_a    = sigma/orb por aspecto</w:t>
            </w:r>
          </w:p>
          <w:p>
            <w:pPr>
              <w:spacing w:before="0" w:after="40"/>
            </w:pPr>
            <w:r>
              <w:rPr>
                <w:rFonts w:ascii="Courier New" w:cs="Courier New" w:eastAsia="Courier New" w:hAnsi="Courier New"/>
                <w:color w:val="1A1510"/>
                <w:sz w:val="18"/>
                <w:szCs w:val="18"/>
              </w:rPr>
              <w:t xml:space="preserve">  w_a    = peso del aspecto</w:t>
            </w:r>
          </w:p>
        </w:tc>
      </w:tr>
    </w:tbl>
    <w:p/>
    <w:p>
      <w:pPr>
        <w:spacing w:before="0" w:after="120"/>
        <w:jc w:val="both"/>
      </w:pPr>
      <w:r>
        <w:rPr>
          <w:rFonts w:ascii="Garamond" w:cs="Garamond" w:eastAsia="Garamond" w:hAnsi="Garamond"/>
          <w:color w:val="1A1510"/>
          <w:sz w:val="22"/>
          <w:szCs w:val="22"/>
        </w:rPr>
        <w:t xml:space="preserve">Como el campo de normales en óptica, el Harmony Field es invisible: ningún instrumento lo mide directamente, ninguna biografía lo registra. Es una propiedad estructural de la configuración, no un evento en ella.</w:t>
      </w:r>
    </w:p>
    <w:p/>
    <w:p>
      <w:pPr>
        <w:pBdr>
          <w:top w:val="single" w:color="8B6F47" w:sz="6" w:space="4"/>
          <w:bottom w:val="single" w:color="8B6F47" w:sz="6" w:space="4"/>
        </w:pBdr>
        <w:spacing w:before="200" w:after="200"/>
        <w:ind w:left="1440" w:right="1440"/>
        <w:jc w:val="center"/>
      </w:pPr>
      <w:r>
        <w:rPr>
          <w:rFonts w:ascii="Garamond" w:cs="Garamond" w:eastAsia="Garamond" w:hAnsi="Garamond"/>
          <w:i/>
          <w:iCs/>
          <w:color w:val="1A1510"/>
          <w:sz w:val="24"/>
          <w:szCs w:val="24"/>
        </w:rPr>
        <w:t xml:space="preserve">El campo no predice dónde ocurrirán las cosas buenas. Revela dónde la superficie de una vida se orienta hacia la luz.</w:t>
      </w:r>
    </w:p>
    <w:p>
      <w:pPr>
        <w:pStyle w:val="Heading2"/>
        <w:spacing w:before="280" w:after="100"/>
      </w:pPr>
      <w:r>
        <w:rPr>
          <w:rFonts w:ascii="Garamond" w:cs="Garamond" w:eastAsia="Garamond" w:hAnsi="Garamond"/>
          <w:b/>
          <w:bCs/>
          <w:color w:val="8B6F47"/>
          <w:sz w:val="22"/>
          <w:szCs w:val="22"/>
        </w:rPr>
        <w:t xml:space="preserve">2.4 La tabla de dualidad</w:t>
      </w:r>
    </w:p>
    <w:p>
      <w:pPr>
        <w:spacing w:before="0" w:after="120"/>
        <w:jc w:val="both"/>
      </w:pPr>
      <w:r>
        <w:rPr>
          <w:rFonts w:ascii="Garamond" w:cs="Garamond" w:eastAsia="Garamond" w:hAnsi="Garamond"/>
          <w:color w:val="1A1510"/>
          <w:sz w:val="22"/>
          <w:szCs w:val="22"/>
        </w:rPr>
        <w:t xml:space="preserve">La correspondencia entre los dos sistemas es punto a punto:</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600"/>
        <w:gridCol w:w="4626"/>
      </w:tblGrid>
      <w:tr>
        <w:trPr>
          <w:tblHeader/>
        </w:trPr>
        <w:tc>
          <w:tcPr>
            <w:tcW w:type="dxa" w:w="38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Óptica / Shader</w:t>
            </w:r>
          </w:p>
        </w:tc>
        <w:tc>
          <w:tcPr>
            <w:tcW w:type="dxa" w:w="6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w:t>
            </w:r>
          </w:p>
        </w:tc>
        <w:tc>
          <w:tcPr>
            <w:tcW w:type="dxa" w:w="4626"/>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Abu Oracle</w:t>
            </w:r>
          </w:p>
        </w:tc>
      </w:tr>
      <w:tr>
        <w:tc>
          <w:tcPr>
            <w:tcW w:type="dxa" w:w="38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Campo de profundidad d(u,v)</w:t>
            </w:r>
          </w:p>
        </w:tc>
        <w:tc>
          <w:tcPr>
            <w:tcW w:type="dxa" w:w="6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w:t>
            </w:r>
          </w:p>
        </w:tc>
        <w:tc>
          <w:tcPr>
            <w:tcW w:type="dxa" w:w="46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Carta natal — potencial fijo</w:t>
            </w:r>
          </w:p>
        </w:tc>
      </w:tr>
      <w:tr>
        <w:tc>
          <w:tcPr>
            <w:tcW w:type="dxa" w:w="38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Campo de normales n(u,v)</w:t>
            </w:r>
          </w:p>
        </w:tc>
        <w:tc>
          <w:tcPr>
            <w:tcW w:type="dxa" w:w="6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w:t>
            </w:r>
          </w:p>
        </w:tc>
        <w:tc>
          <w:tcPr>
            <w:tcW w:type="dxa" w:w="46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val="false"/>
                <w:bCs w:val="false"/>
                <w:i/>
                <w:iCs/>
                <w:color w:val="1A1510"/>
                <w:sz w:val="20"/>
                <w:szCs w:val="20"/>
              </w:rPr>
              <w:t xml:space="preserve">Harmony Field HF(φ, λ)</w:t>
            </w:r>
          </w:p>
        </w:tc>
      </w:tr>
      <w:tr>
        <w:tc>
          <w:tcPr>
            <w:tcW w:type="dxa" w:w="38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Gradiente horizontal dL − dR</w:t>
            </w:r>
          </w:p>
        </w:tc>
        <w:tc>
          <w:tcPr>
            <w:tcW w:type="dxa" w:w="6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w:t>
            </w:r>
          </w:p>
        </w:tc>
        <w:tc>
          <w:tcPr>
            <w:tcW w:type="dxa" w:w="46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Desplazamiento geográfico (relocalización)</w:t>
            </w:r>
          </w:p>
        </w:tc>
      </w:tr>
      <w:tr>
        <w:tc>
          <w:tcPr>
            <w:tcW w:type="dxa" w:w="38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Gradiente vertical dD − dU</w:t>
            </w:r>
          </w:p>
        </w:tc>
        <w:tc>
          <w:tcPr>
            <w:tcW w:type="dxa" w:w="6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w:t>
            </w:r>
          </w:p>
        </w:tc>
        <w:tc>
          <w:tcPr>
            <w:tcW w:type="dxa" w:w="46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Desplazamiento temporal (dasha / tránsito)</w:t>
            </w:r>
          </w:p>
        </w:tc>
      </w:tr>
      <w:tr>
        <w:tc>
          <w:tcPr>
            <w:tcW w:type="dxa" w:w="38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Dirección de la fuente de luz</w:t>
            </w:r>
          </w:p>
        </w:tc>
        <w:tc>
          <w:tcPr>
            <w:tcW w:type="dxa" w:w="6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w:t>
            </w:r>
          </w:p>
        </w:tc>
        <w:tc>
          <w:tcPr>
            <w:tcW w:type="dxa" w:w="46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Dominio de la pregunta (carrera, salud, amor)</w:t>
            </w:r>
          </w:p>
        </w:tc>
      </w:tr>
      <w:tr>
        <w:tc>
          <w:tcPr>
            <w:tcW w:type="dxa" w:w="38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Iluminación en punto de superficie</w:t>
            </w:r>
          </w:p>
        </w:tc>
        <w:tc>
          <w:tcPr>
            <w:tcW w:type="dxa" w:w="6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w:t>
            </w:r>
          </w:p>
        </w:tc>
        <w:tc>
          <w:tcPr>
            <w:tcW w:type="dxa" w:w="46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Outcome biográfico en ubicación × tiempo</w:t>
            </w:r>
          </w:p>
        </w:tc>
      </w:tr>
    </w:tbl>
    <w:p>
      <w:r>
        <w:br/>
      </w:r>
    </w:p>
    <w:p>
      <w:pPr>
        <w:pStyle w:val="Heading1"/>
        <w:spacing w:before="360" w:after="120"/>
        <w:jc w:val="center"/>
      </w:pPr>
      <w:r>
        <w:rPr>
          <w:rFonts w:ascii="Garamond" w:cs="Garamond" w:eastAsia="Garamond" w:hAnsi="Garamond"/>
          <w:b/>
          <w:bCs/>
          <w:color w:val="1A1510"/>
          <w:spacing w:val="120"/>
          <w:sz w:val="28"/>
          <w:szCs w:val="28"/>
        </w:rPr>
        <w:t xml:space="preserve">III. ESPECIFICIDAD DE DOMINIO</w:t>
      </w:r>
    </w:p>
    <w:p>
      <w:pPr>
        <w:pBdr>
          <w:bottom w:val="single" w:color="C9A96E" w:sz="2" w:space="1"/>
        </w:pBdr>
        <w:spacing w:before="80" w:after="80"/>
      </w:pPr>
    </w:p>
    <w:p/>
    <w:p>
      <w:pPr>
        <w:spacing w:before="0" w:after="120"/>
        <w:jc w:val="both"/>
      </w:pPr>
      <w:r>
        <w:rPr>
          <w:rFonts w:ascii="Garamond" w:cs="Garamond" w:eastAsia="Garamond" w:hAnsi="Garamond"/>
          <w:color w:val="1A1510"/>
          <w:sz w:val="22"/>
          <w:szCs w:val="22"/>
        </w:rPr>
        <w:t xml:space="preserve">El hallazgo empírico más importante del sistema no es que el campo exista — es que su señal depende críticamente de la especificidad de la pregunta.</w:t>
      </w:r>
    </w:p>
    <w:p/>
    <w:p>
      <w:pPr>
        <w:pStyle w:val="Heading2"/>
        <w:spacing w:before="280" w:after="100"/>
      </w:pPr>
      <w:r>
        <w:rPr>
          <w:rFonts w:ascii="Garamond" w:cs="Garamond" w:eastAsia="Garamond" w:hAnsi="Garamond"/>
          <w:b/>
          <w:bCs/>
          <w:color w:val="8B6F47"/>
          <w:sz w:val="22"/>
          <w:szCs w:val="22"/>
        </w:rPr>
        <w:t xml:space="preserve">3.1 El problema del campo global</w:t>
      </w:r>
    </w:p>
    <w:p>
      <w:pPr>
        <w:spacing w:before="0" w:after="120"/>
        <w:jc w:val="both"/>
      </w:pPr>
      <w:r>
        <w:rPr>
          <w:rFonts w:ascii="Garamond" w:cs="Garamond" w:eastAsia="Garamond" w:hAnsi="Garamond"/>
          <w:color w:val="1A1510"/>
          <w:sz w:val="22"/>
          <w:szCs w:val="22"/>
        </w:rPr>
        <w:t xml:space="preserve">Un campo calculado sobre la totalidad de los planetas simultáneamente es un campo de actividad total, no de armonía específica para ningún dominio. Ilumina la superficie desde todas las direcciones al mismo tiempo: muestra todo y por lo tanto no revela nada con claridad.</w:t>
      </w:r>
    </w:p>
    <w:p>
      <w:pPr>
        <w:spacing w:before="0" w:after="120"/>
        <w:jc w:val="both"/>
      </w:pPr>
      <w:r>
        <w:rPr>
          <w:rFonts w:ascii="Garamond" w:cs="Garamond" w:eastAsia="Garamond" w:hAnsi="Garamond"/>
          <w:color w:val="1A1510"/>
          <w:sz w:val="22"/>
          <w:szCs w:val="22"/>
        </w:rPr>
        <w:t xml:space="preserve">Esto se confirma empíricamente. Sobre 527 eventos biográficos datados de sujetos con Rodden rating AA/A:</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800"/>
        <w:gridCol w:w="2026"/>
      </w:tblGrid>
      <w:tr>
        <w:trPr>
          <w:tblHeader/>
        </w:trPr>
        <w:tc>
          <w:tcPr>
            <w:tcW w:type="dxa" w:w="42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Campo</w:t>
            </w:r>
          </w:p>
        </w:tc>
        <w:tc>
          <w:tcPr>
            <w:tcW w:type="dxa" w:w="28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Correlación con valencia biográfica</w:t>
            </w:r>
          </w:p>
        </w:tc>
        <w:tc>
          <w:tcPr>
            <w:tcW w:type="dxa" w:w="2026"/>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Cohen's d</w:t>
            </w:r>
          </w:p>
        </w:tc>
      </w:tr>
      <w:tr>
        <w:tc>
          <w:tcPr>
            <w:tcW w:type="dxa" w:w="42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HF global (todos los planetas)</w:t>
            </w:r>
          </w:p>
        </w:tc>
        <w:tc>
          <w:tcPr>
            <w:tcW w:type="dxa" w:w="28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alse"/>
                <w:bCs w:val="false"/>
                <w:i w:val="false"/>
                <w:iCs w:val="false"/>
                <w:color w:val="6B5A42"/>
                <w:sz w:val="20"/>
                <w:szCs w:val="20"/>
              </w:rPr>
              <w:t xml:space="preserve">r = 0.155</w:t>
            </w:r>
          </w:p>
        </w:tc>
        <w:tc>
          <w:tcPr>
            <w:tcW w:type="dxa" w:w="20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0.441</w:t>
            </w:r>
          </w:p>
        </w:tc>
      </w:tr>
      <w:tr>
        <w:tc>
          <w:tcPr>
            <w:tcW w:type="dxa" w:w="42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HF dominio salud (significadores H6/H8)</w:t>
            </w:r>
          </w:p>
        </w:tc>
        <w:tc>
          <w:tcPr>
            <w:tcW w:type="dxa" w:w="28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4A00"/>
                <w:sz w:val="20"/>
                <w:szCs w:val="20"/>
              </w:rPr>
              <w:t xml:space="preserve">r = 0.615</w:t>
            </w:r>
          </w:p>
        </w:tc>
        <w:tc>
          <w:tcPr>
            <w:tcW w:type="dxa" w:w="20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+0.93 vs global</w:t>
            </w:r>
          </w:p>
        </w:tc>
      </w:tr>
    </w:tbl>
    <w:p/>
    <w:p>
      <w:pPr>
        <w:spacing w:before="0" w:after="120"/>
        <w:jc w:val="both"/>
      </w:pPr>
      <w:r>
        <w:rPr>
          <w:rFonts w:ascii="Garamond" w:cs="Garamond" w:eastAsia="Garamond" w:hAnsi="Garamond"/>
          <w:color w:val="1A1510"/>
          <w:sz w:val="22"/>
          <w:szCs w:val="22"/>
        </w:rPr>
        <w:t xml:space="preserve">El campo global no es falso — es sordo a la pregunta específica. La señal existe pero está dispersa en todas las frecuencias simultáneamente.</w:t>
      </w:r>
    </w:p>
    <w:p/>
    <w:p>
      <w:pPr>
        <w:pStyle w:val="Heading2"/>
        <w:spacing w:before="280" w:after="100"/>
      </w:pPr>
      <w:r>
        <w:rPr>
          <w:rFonts w:ascii="Garamond" w:cs="Garamond" w:eastAsia="Garamond" w:hAnsi="Garamond"/>
          <w:b/>
          <w:bCs/>
          <w:color w:val="8B6F47"/>
          <w:sz w:val="22"/>
          <w:szCs w:val="22"/>
        </w:rPr>
        <w:t xml:space="preserve">3.2 El subconjunto planetario como pregunta</w:t>
      </w:r>
    </w:p>
    <w:p>
      <w:pPr>
        <w:spacing w:before="0" w:after="120"/>
        <w:jc w:val="both"/>
      </w:pPr>
      <w:r>
        <w:rPr>
          <w:rFonts w:ascii="Garamond" w:cs="Garamond" w:eastAsia="Garamond" w:hAnsi="Garamond"/>
          <w:color w:val="1A1510"/>
          <w:sz w:val="22"/>
          <w:szCs w:val="22"/>
        </w:rPr>
        <w:t xml:space="preserve">Para que el campo sea interpretable, debe filtrarse por el dominio de la consulta. Cada dominio de experiencia humana está regido por un subconjunto específico de principios activos: los planetas que rigen y ocupan la casa correspondiente en la carta natal.</w:t>
      </w:r>
    </w:p>
    <w:p/>
    <w:p>
      <w:pPr>
        <w:spacing w:before="0" w:after="60"/>
      </w:pPr>
      <w:r>
        <w:rPr>
          <w:rFonts w:ascii="Courier New" w:cs="Courier New" w:eastAsia="Courier New" w:hAnsi="Courier New"/>
          <w:color w:val="6B5A42"/>
          <w:spacing w:val="80"/>
          <w:sz w:val="16"/>
          <w:szCs w:val="16"/>
        </w:rPr>
        <w:t xml:space="preserve">PYTHON — EXTRACCIÓN DEL CAMPO POR DOMINIO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9A96E" w:sz="4"/>
              <w:left w:val="single" w:color="C9A96E" w:sz="4"/>
              <w:bottom w:val="single" w:color="C9A96E" w:sz="4"/>
              <w:right w:val="single" w:color="C9A96E" w:sz="4"/>
            </w:tcBorders>
            <w:shd w:fill="EDE8DC" w:val="clear"/>
            <w:tcMar>
              <w:top w:type="dxa" w:w="140"/>
              <w:left w:type="dxa" w:w="200"/>
              <w:bottom w:type="dxa" w:w="140"/>
              <w:right w:type="dxa" w:w="200"/>
            </w:tcMar>
          </w:tcPr>
          <w:p>
            <w:pPr>
              <w:spacing w:before="0" w:after="40"/>
            </w:pPr>
            <w:r>
              <w:rPr>
                <w:rFonts w:ascii="Courier New" w:cs="Courier New" w:eastAsia="Courier New" w:hAnsi="Courier New"/>
                <w:color w:val="1A1510"/>
                <w:sz w:val="18"/>
                <w:szCs w:val="18"/>
              </w:rPr>
              <w:t xml:space="preserve"># especificar el ángulo de incidencia antes de calcular el campo</w:t>
            </w:r>
          </w:p>
          <w:p>
            <w:pPr>
              <w:spacing w:before="0" w:after="40"/>
            </w:pPr>
            <w:r>
              <w:rPr>
                <w:rFonts w:ascii="Courier New" w:cs="Courier New" w:eastAsia="Courier New" w:hAnsi="Courier New"/>
                <w:color w:val="1A1510"/>
                <w:sz w:val="18"/>
                <w:szCs w:val="18"/>
              </w:rPr>
              <w:t xml:space="preserve">planet_subset = house_significators(natal, house=k)</w:t>
            </w:r>
          </w:p>
          <w:p>
            <w:pPr>
              <w:spacing w:before="0" w:after="40"/>
            </w:pPr>
            <w:r>
              <w:rPr>
                <w:rFonts w:ascii="Courier New" w:cs="Courier New" w:eastAsia="Courier New" w:hAnsi="Courier New"/>
                <w:color w:val="1A1510"/>
                <w:sz w:val="18"/>
                <w:szCs w:val="18"/>
              </w:rPr>
              <w:t xml:space="preserve"/>
            </w:r>
          </w:p>
          <w:p>
            <w:pPr>
              <w:spacing w:before="0" w:after="40"/>
            </w:pPr>
            <w:r>
              <w:rPr>
                <w:rFonts w:ascii="Courier New" w:cs="Courier New" w:eastAsia="Courier New" w:hAnsi="Courier New"/>
                <w:color w:val="1A1510"/>
                <w:sz w:val="18"/>
                <w:szCs w:val="18"/>
              </w:rPr>
              <w:t xml:space="preserve"># el campo ahora está orientado hacia un dominio específico</w:t>
            </w:r>
          </w:p>
          <w:p>
            <w:pPr>
              <w:spacing w:before="0" w:after="40"/>
            </w:pPr>
            <w:r>
              <w:rPr>
                <w:rFonts w:ascii="Courier New" w:cs="Courier New" w:eastAsia="Courier New" w:hAnsi="Courier New"/>
                <w:color w:val="1A1510"/>
                <w:sz w:val="18"/>
                <w:szCs w:val="18"/>
              </w:rPr>
              <w:t xml:space="preserve">HF_domain = harmony_field(</w:t>
            </w:r>
          </w:p>
          <w:p>
            <w:pPr>
              <w:spacing w:before="0" w:after="40"/>
            </w:pPr>
            <w:r>
              <w:rPr>
                <w:rFonts w:ascii="Courier New" w:cs="Courier New" w:eastAsia="Courier New" w:hAnsi="Courier New"/>
                <w:color w:val="1A1510"/>
                <w:sz w:val="18"/>
                <w:szCs w:val="18"/>
              </w:rPr>
              <w:t xml:space="preserve">    natal    = natal_chart,</w:t>
            </w:r>
          </w:p>
          <w:p>
            <w:pPr>
              <w:spacing w:before="0" w:after="40"/>
            </w:pPr>
            <w:r>
              <w:rPr>
                <w:rFonts w:ascii="Courier New" w:cs="Courier New" w:eastAsia="Courier New" w:hAnsi="Courier New"/>
                <w:color w:val="1A1510"/>
                <w:sz w:val="18"/>
                <w:szCs w:val="18"/>
              </w:rPr>
              <w:t xml:space="preserve">    grid     = global_grid_5deg,</w:t>
            </w:r>
          </w:p>
          <w:p>
            <w:pPr>
              <w:spacing w:before="0" w:after="40"/>
            </w:pPr>
            <w:r>
              <w:rPr>
                <w:rFonts w:ascii="Courier New" w:cs="Courier New" w:eastAsia="Courier New" w:hAnsi="Courier New"/>
                <w:color w:val="1A1510"/>
                <w:sz w:val="18"/>
                <w:szCs w:val="18"/>
              </w:rPr>
              <w:t xml:space="preserve">    planets  = planet_subset,   # ← la pregunta</w:t>
            </w:r>
          </w:p>
          <w:p>
            <w:pPr>
              <w:spacing w:before="0" w:after="40"/>
            </w:pPr>
            <w:r>
              <w:rPr>
                <w:rFonts w:ascii="Courier New" w:cs="Courier New" w:eastAsia="Courier New" w:hAnsi="Courier New"/>
                <w:color w:val="1A1510"/>
                <w:sz w:val="18"/>
                <w:szCs w:val="18"/>
              </w:rPr>
              <w:t xml:space="preserve">    house    = k,</w:t>
            </w:r>
          </w:p>
          <w:p>
            <w:pPr>
              <w:spacing w:before="0" w:after="40"/>
            </w:pPr>
            <w:r>
              <w:rPr>
                <w:rFonts w:ascii="Courier New" w:cs="Courier New" w:eastAsia="Courier New" w:hAnsi="Courier New"/>
                <w:color w:val="1A1510"/>
                <w:sz w:val="18"/>
                <w:szCs w:val="18"/>
              </w:rPr>
              <w:t xml:space="preserve">)</w:t>
            </w:r>
          </w:p>
          <w:p>
            <w:pPr>
              <w:spacing w:before="0" w:after="40"/>
            </w:pPr>
            <w:r>
              <w:rPr>
                <w:rFonts w:ascii="Courier New" w:cs="Courier New" w:eastAsia="Courier New" w:hAnsi="Courier New"/>
                <w:color w:val="1A1510"/>
                <w:sz w:val="18"/>
                <w:szCs w:val="18"/>
              </w:rPr>
              <w:t xml:space="preserve"/>
            </w:r>
          </w:p>
          <w:p>
            <w:pPr>
              <w:spacing w:before="0" w:after="40"/>
            </w:pPr>
            <w:r>
              <w:rPr>
                <w:rFonts w:ascii="Courier New" w:cs="Courier New" w:eastAsia="Courier New" w:hAnsi="Courier New"/>
                <w:color w:val="1A1510"/>
                <w:sz w:val="18"/>
                <w:szCs w:val="18"/>
              </w:rPr>
              <w:t xml:space="preserve"># de esta única especificación, el mapa de iluminación se deriva</w:t>
            </w:r>
          </w:p>
        </w:tc>
      </w:tr>
    </w:tbl>
    <w:p/>
    <w:p>
      <w:pPr>
        <w:pStyle w:val="Heading2"/>
        <w:spacing w:before="280" w:after="100"/>
      </w:pPr>
      <w:r>
        <w:rPr>
          <w:rFonts w:ascii="Garamond" w:cs="Garamond" w:eastAsia="Garamond" w:hAnsi="Garamond"/>
          <w:b/>
          <w:bCs/>
          <w:color w:val="8B6F47"/>
          <w:sz w:val="22"/>
          <w:szCs w:val="22"/>
        </w:rPr>
        <w:t xml:space="preserve">3.3 El selector de dominio como requisito epistémico</w:t>
      </w:r>
    </w:p>
    <w:p>
      <w:pPr>
        <w:spacing w:before="0" w:after="120"/>
        <w:jc w:val="both"/>
      </w:pPr>
      <w:r>
        <w:rPr>
          <w:rFonts w:ascii="Garamond" w:cs="Garamond" w:eastAsia="Garamond" w:hAnsi="Garamond"/>
          <w:color w:val="1A1510"/>
          <w:sz w:val="22"/>
          <w:szCs w:val="22"/>
        </w:rPr>
        <w:t xml:space="preserve">Este principio tiene una consecuencia directa de diseño. El selector de dominio en la interfaz no es una feature de navegación. Es la implementación del Axioma 8.4 de la Axiomática de los Cielos:</w:t>
      </w:r>
    </w:p>
    <w:p>
      <w:pPr>
        <w:pBdr>
          <w:top w:val="single" w:color="8B6F47" w:sz="6" w:space="4"/>
          <w:bottom w:val="single" w:color="8B6F47" w:sz="6" w:space="4"/>
        </w:pBdr>
        <w:spacing w:before="200" w:after="200"/>
        <w:ind w:left="1440" w:right="1440"/>
        <w:jc w:val="center"/>
      </w:pPr>
      <w:r>
        <w:rPr>
          <w:rFonts w:ascii="Garamond" w:cs="Garamond" w:eastAsia="Garamond" w:hAnsi="Garamond"/>
          <w:i/>
          <w:iCs/>
          <w:color w:val="1A1510"/>
          <w:sz w:val="24"/>
          <w:szCs w:val="24"/>
        </w:rPr>
        <w:t xml:space="preserve">"El sistema no puede responder '¿dónde desarrollo mejor mi carrera?' si le preguntamos '¿dónde es todo mejor?'. Una pregunta bien formulada activa un subconjunto."</w:t>
      </w:r>
    </w:p>
    <w:p>
      <w:pPr>
        <w:spacing w:before="0" w:after="120"/>
        <w:jc w:val="both"/>
      </w:pPr>
      <w:r>
        <w:rPr>
          <w:rFonts w:ascii="Garamond" w:cs="Garamond" w:eastAsia="Garamond" w:hAnsi="Garamond"/>
          <w:i/>
          <w:iCs/>
          <w:color w:val="1A1510"/>
          <w:sz w:val="22"/>
          <w:szCs w:val="22"/>
        </w:rPr>
        <w:t xml:space="preserve">— Axiomática de los Cielos v0.4, Axioma 8.3</w:t>
      </w:r>
    </w:p>
    <w:p>
      <w:r>
        <w:br/>
      </w:r>
    </w:p>
    <w:p>
      <w:pPr>
        <w:pStyle w:val="Heading1"/>
        <w:spacing w:before="360" w:after="120"/>
        <w:jc w:val="center"/>
      </w:pPr>
      <w:r>
        <w:rPr>
          <w:rFonts w:ascii="Garamond" w:cs="Garamond" w:eastAsia="Garamond" w:hAnsi="Garamond"/>
          <w:b/>
          <w:bCs/>
          <w:color w:val="1A1510"/>
          <w:spacing w:val="120"/>
          <w:sz w:val="28"/>
          <w:szCs w:val="28"/>
        </w:rPr>
        <w:t xml:space="preserve">IV. LAS DOS COORDENADAS DE LA MANIFESTACIÓN</w:t>
      </w:r>
    </w:p>
    <w:p>
      <w:pPr>
        <w:pBdr>
          <w:bottom w:val="single" w:color="C9A96E" w:sz="2" w:space="1"/>
        </w:pBdr>
        <w:spacing w:before="80" w:after="80"/>
      </w:pPr>
    </w:p>
    <w:p/>
    <w:p>
      <w:pPr>
        <w:spacing w:before="0" w:after="120"/>
        <w:jc w:val="both"/>
      </w:pPr>
      <w:r>
        <w:rPr>
          <w:rFonts w:ascii="Garamond" w:cs="Garamond" w:eastAsia="Garamond" w:hAnsi="Garamond"/>
          <w:color w:val="1A1510"/>
          <w:sz w:val="22"/>
          <w:szCs w:val="22"/>
        </w:rPr>
        <w:t xml:space="preserve">El campo geográfico es una dimensión de un espacio más amplio. Para que un dominio de vida se active plenamente, se requieren tres condiciones concurrentes: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026"/>
      </w:tblGrid>
      <w:tr>
        <w:trPr>
          <w:tblHeader/>
        </w:trPr>
        <w:tc>
          <w:tcPr>
            <w:tcW w:type="dxa" w:w="25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Condición</w:t>
            </w:r>
          </w:p>
        </w:tc>
        <w:tc>
          <w:tcPr>
            <w:tcW w:type="dxa" w:w="45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Descripción</w:t>
            </w:r>
          </w:p>
        </w:tc>
        <w:tc>
          <w:tcPr>
            <w:tcW w:type="dxa" w:w="2026"/>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Estado en Abu Oracle</w:t>
            </w:r>
          </w:p>
        </w:tc>
      </w:tr>
      <w:tr>
        <w:tc>
          <w:tcPr>
            <w:tcW w:type="dxa" w:w="25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1. Potencial natal</w:t>
            </w:r>
          </w:p>
        </w:tc>
        <w:tc>
          <w:tcPr>
            <w:tcW w:type="dxa" w:w="45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Los significadores de la casa están bien dispuestos en la carta natal.</w:t>
            </w:r>
          </w:p>
        </w:tc>
        <w:tc>
          <w:tcPr>
            <w:tcW w:type="dxa" w:w="20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val="false"/>
                <w:iCs w:val="false"/>
                <w:color w:val="1A4A00"/>
                <w:sz w:val="20"/>
                <w:szCs w:val="20"/>
              </w:rPr>
              <w:t xml:space="preserve">Implementado</w:t>
            </w:r>
          </w:p>
        </w:tc>
      </w:tr>
      <w:tr>
        <w:tc>
          <w:tcPr>
            <w:tcW w:type="dxa" w:w="25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2. Resonancia geográfica</w:t>
            </w:r>
          </w:p>
        </w:tc>
        <w:tc>
          <w:tcPr>
            <w:tcW w:type="dxa" w:w="45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El HF por dominio es favorable en la ubicación actual o propuesta.</w:t>
            </w:r>
          </w:p>
        </w:tc>
        <w:tc>
          <w:tcPr>
            <w:tcW w:type="dxa" w:w="20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4A00"/>
                <w:sz w:val="20"/>
                <w:szCs w:val="20"/>
              </w:rPr>
              <w:t xml:space="preserve">Implementado</w:t>
            </w:r>
          </w:p>
        </w:tc>
      </w:tr>
      <w:tr>
        <w:tc>
          <w:tcPr>
            <w:tcW w:type="dxa" w:w="25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3. Activación temporal</w:t>
            </w:r>
          </w:p>
        </w:tc>
        <w:tc>
          <w:tcPr>
            <w:tcW w:type="dxa" w:w="45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El período planetario (dasha/tránsito) activa los mismos significadores.</w:t>
            </w:r>
          </w:p>
        </w:tc>
        <w:tc>
          <w:tcPr>
            <w:tcW w:type="dxa" w:w="20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alse"/>
                <w:bCs w:val="false"/>
                <w:i w:val="false"/>
                <w:iCs w:val="false"/>
                <w:color w:val="8B6F47"/>
                <w:sz w:val="20"/>
                <w:szCs w:val="20"/>
              </w:rPr>
              <w:t xml:space="preserve">Próximo horizonte</w:t>
            </w:r>
          </w:p>
        </w:tc>
      </w:tr>
    </w:tbl>
    <w:p/>
    <w:p>
      <w:pPr>
        <w:spacing w:before="0" w:after="120"/>
        <w:jc w:val="both"/>
      </w:pPr>
      <w:r>
        <w:rPr>
          <w:rFonts w:ascii="Garamond" w:cs="Garamond" w:eastAsia="Garamond" w:hAnsi="Garamond"/>
          <w:color w:val="1A1510"/>
          <w:sz w:val="22"/>
          <w:szCs w:val="22"/>
        </w:rPr>
        <w:t xml:space="preserve">La analogía óptica es exacta: en el shader, la normal se recupera del gradiente en dos direcciones ortogonales — horizontal y vertical. En Abu Oracle, el gradiente geográfico (dónde) y el gradiente temporal (cuándo) son las dos dimensiones del mismo principio.</w:t>
      </w:r>
    </w:p>
    <w:p/>
    <w:p>
      <w:pPr>
        <w:spacing w:before="0" w:after="120"/>
        <w:jc w:val="both"/>
      </w:pPr>
      <w:r>
        <w:rPr>
          <w:rFonts w:ascii="Garamond" w:cs="Garamond" w:eastAsia="Garamond" w:hAnsi="Garamond"/>
          <w:color w:val="1A1510"/>
          <w:sz w:val="22"/>
          <w:szCs w:val="22"/>
        </w:rPr>
        <w:t xml:space="preserve">En la tradición Jyotish, la activación temporal se mide mediante dashas — períodos planetarios que determinan qué planeta habla en cada momento de la vida. El HF por dominio es la dimensión espacial del mismo problema. Son coordenadas distintas del mismo espacio de manifestación. Un sistema completo requiere ambas. (Axiomática, Axioma 9.3)</w:t>
      </w:r>
    </w:p>
    <w:p>
      <w:r>
        <w:br/>
      </w:r>
    </w:p>
    <w:p>
      <w:pPr>
        <w:pStyle w:val="Heading1"/>
        <w:spacing w:before="360" w:after="120"/>
        <w:jc w:val="center"/>
      </w:pPr>
      <w:r>
        <w:rPr>
          <w:rFonts w:ascii="Garamond" w:cs="Garamond" w:eastAsia="Garamond" w:hAnsi="Garamond"/>
          <w:b/>
          <w:bCs/>
          <w:color w:val="1A1510"/>
          <w:spacing w:val="120"/>
          <w:sz w:val="28"/>
          <w:szCs w:val="28"/>
        </w:rPr>
        <w:t xml:space="preserve">V. POSICIONAMIENTO FRENTE A SISTEMAS ADYACENTES</w:t>
      </w:r>
    </w:p>
    <w:p>
      <w:pPr>
        <w:pBdr>
          <w:bottom w:val="single" w:color="C9A96E" w:sz="2" w:space="1"/>
        </w:pBdr>
        <w:spacing w:before="80" w:after="80"/>
      </w:pPr>
    </w:p>
    <w:p/>
    <w:p>
      <w:pPr>
        <w:spacing w:before="0" w:after="120"/>
        <w:jc w:val="both"/>
      </w:pPr>
      <w:r>
        <w:rPr>
          <w:rFonts w:ascii="Garamond" w:cs="Garamond" w:eastAsia="Garamond" w:hAnsi="Garamond"/>
          <w:color w:val="1A1510"/>
          <w:sz w:val="22"/>
          <w:szCs w:val="22"/>
        </w:rPr>
        <w:t xml:space="preserve">Abu Oracle opera en un espacio cultural donde coexisten múltiples sistemas de interpretación personal. La claridad sobre qué lo diferencia de cada uno es esencial para la comunicación efectiva.</w:t>
      </w:r>
    </w:p>
    <w:p/>
    <w:p>
      <w:pPr>
        <w:pStyle w:val="Heading2"/>
        <w:spacing w:before="280" w:after="100"/>
      </w:pPr>
      <w:r>
        <w:rPr>
          <w:rFonts w:ascii="Garamond" w:cs="Garamond" w:eastAsia="Garamond" w:hAnsi="Garamond"/>
          <w:b/>
          <w:bCs/>
          <w:color w:val="8B6F47"/>
          <w:sz w:val="22"/>
          <w:szCs w:val="22"/>
        </w:rPr>
        <w:t xml:space="preserve">5.1 Abu Oracle y la Matriz del Destino</w:t>
      </w:r>
    </w:p>
    <w:p>
      <w:pPr>
        <w:spacing w:before="0" w:after="120"/>
        <w:jc w:val="both"/>
      </w:pPr>
      <w:r>
        <w:rPr>
          <w:rFonts w:ascii="Garamond" w:cs="Garamond" w:eastAsia="Garamond" w:hAnsi="Garamond"/>
          <w:color w:val="1A1510"/>
          <w:sz w:val="22"/>
          <w:szCs w:val="22"/>
        </w:rPr>
        <w:t xml:space="preserve">La Matriz del Destino es un sistema que combina numerología y arquetipos del Tarot para construir una "hoja de ruta" personal a partir de la fecha de nacimiento. Sus cinco principios centrales, evaluados frente a la Axiomática de los Cielos, revelan compatibilidades muy distintas: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326"/>
      </w:tblGrid>
      <w:tr>
        <w:trPr>
          <w:tblHeader/>
        </w:trPr>
        <w:tc>
          <w:tcPr>
            <w:tcW w:type="dxa" w:w="32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Principio de la Matriz</w:t>
            </w:r>
          </w:p>
        </w:tc>
        <w:tc>
          <w:tcPr>
            <w:tcW w:type="dxa" w:w="15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Compatibilidad</w:t>
            </w:r>
          </w:p>
        </w:tc>
        <w:tc>
          <w:tcPr>
            <w:tcW w:type="dxa" w:w="4326"/>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Vía / Nota</w:t>
            </w:r>
          </w:p>
        </w:tc>
      </w:tr>
      <w:tr>
        <w:tc>
          <w:tcPr>
            <w:tcW w:type="dxa" w:w="32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Fecha natal como código de activación</w:t>
            </w:r>
          </w:p>
        </w:tc>
        <w:tc>
          <w:tcPr>
            <w:tcW w:type="dxa" w:w="15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val="false"/>
                <w:iCs w:val="false"/>
                <w:color w:val="1A4A00"/>
                <w:sz w:val="20"/>
                <w:szCs w:val="20"/>
              </w:rPr>
              <w:t xml:space="preserve">✓ Alta</w:t>
            </w:r>
          </w:p>
        </w:tc>
        <w:tc>
          <w:tcPr>
            <w:tcW w:type="dxa" w:w="43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Axiomas 2.1, 3.1 — la carta natal es exactamente esto, con fundamento astronómico.</w:t>
            </w:r>
          </w:p>
        </w:tc>
      </w:tr>
      <w:tr>
        <w:tc>
          <w:tcPr>
            <w:tcW w:type="dxa" w:w="32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Programas de comportamiento (karma)</w:t>
            </w:r>
          </w:p>
        </w:tc>
        <w:tc>
          <w:tcPr>
            <w:tcW w:type="dxa" w:w="15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val="false"/>
                <w:bCs w:val="false"/>
                <w:i w:val="false"/>
                <w:iCs w:val="false"/>
                <w:color w:val="8B6F47"/>
                <w:sz w:val="20"/>
                <w:szCs w:val="20"/>
              </w:rPr>
              <w:t xml:space="preserve">~ Parcial</w:t>
            </w:r>
          </w:p>
        </w:tc>
        <w:tc>
          <w:tcPr>
            <w:tcW w:type="dxa" w:w="43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Compatible solo como agente Jyotish separado (Axioma 4.3). Nunca como capa transversal.</w:t>
            </w:r>
          </w:p>
        </w:tc>
      </w:tr>
      <w:tr>
        <w:tc>
          <w:tcPr>
            <w:tcW w:type="dxa" w:w="32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Influencia planetaria en tiempo real</w:t>
            </w:r>
          </w:p>
        </w:tc>
        <w:tc>
          <w:tcPr>
            <w:tcW w:type="dxa" w:w="15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val="false"/>
                <w:iCs w:val="false"/>
                <w:color w:val="1A4A00"/>
                <w:sz w:val="20"/>
                <w:szCs w:val="20"/>
              </w:rPr>
              <w:t xml:space="preserve">✓ Alta</w:t>
            </w:r>
          </w:p>
        </w:tc>
        <w:tc>
          <w:tcPr>
            <w:tcW w:type="dxa" w:w="43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Axioma 9.3 — ya implementado (tránsitos, firdaria, Retorno Solar).</w:t>
            </w:r>
          </w:p>
        </w:tc>
      </w:tr>
      <w:tr>
        <w:tc>
          <w:tcPr>
            <w:tcW w:type="dxa" w:w="32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Libre albedrío vs. determinismo</w:t>
            </w:r>
          </w:p>
        </w:tc>
        <w:tc>
          <w:tcPr>
            <w:tcW w:type="dxa" w:w="15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4A00"/>
                <w:sz w:val="20"/>
                <w:szCs w:val="20"/>
              </w:rPr>
              <w:t xml:space="preserve">✓ Alta</w:t>
            </w:r>
          </w:p>
        </w:tc>
        <w:tc>
          <w:tcPr>
            <w:tcW w:type="dxa" w:w="43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Axiomas 7.2, 9.2 — posición filosófica explícita del sistema.</w:t>
            </w:r>
          </w:p>
        </w:tc>
      </w:tr>
      <w:tr>
        <w:tc>
          <w:tcPr>
            <w:tcW w:type="dxa" w:w="32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Arcanos del Tarot (22 arcanos)</w:t>
            </w:r>
          </w:p>
        </w:tc>
        <w:tc>
          <w:tcPr>
            <w:tcW w:type="dxa" w:w="15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alse"/>
                <w:bCs w:val="false"/>
                <w:i w:val="false"/>
                <w:iCs w:val="false"/>
                <w:color w:val="8B2500"/>
                <w:sz w:val="20"/>
                <w:szCs w:val="20"/>
              </w:rPr>
              <w:t xml:space="preserve">✗ Baja</w:t>
            </w:r>
          </w:p>
        </w:tc>
        <w:tc>
          <w:tcPr>
            <w:tcW w:type="dxa" w:w="43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Corpus distinto. Integración violaría Axioma 6.4. Solo asimilable como agente separado bajo solicitud explícita.</w:t>
            </w:r>
          </w:p>
        </w:tc>
      </w:tr>
    </w:tbl>
    <w:p/>
    <w:p>
      <w:pPr>
        <w:pStyle w:val="Heading2"/>
        <w:spacing w:before="280" w:after="100"/>
      </w:pPr>
      <w:r>
        <w:rPr>
          <w:rFonts w:ascii="Garamond" w:cs="Garamond" w:eastAsia="Garamond" w:hAnsi="Garamond"/>
          <w:b/>
          <w:bCs/>
          <w:color w:val="8B6F47"/>
          <w:sz w:val="22"/>
          <w:szCs w:val="22"/>
        </w:rPr>
        <w:t xml:space="preserve">5.2 El argumento de posicionamiento central</w:t>
      </w:r>
    </w:p>
    <w:p>
      <w:pPr>
        <w:spacing w:before="0" w:after="120"/>
        <w:jc w:val="both"/>
      </w:pPr>
      <w:r>
        <w:rPr>
          <w:rFonts w:ascii="Garamond" w:cs="Garamond" w:eastAsia="Garamond" w:hAnsi="Garamond"/>
          <w:color w:val="1A1510"/>
          <w:sz w:val="22"/>
          <w:szCs w:val="22"/>
        </w:rPr>
        <w:t xml:space="preserve">La convergencia más poderosa con la audiencia de la Matriz del Destino es el principio de libre albedrío. La Matriz lo enuncia filosóficamente. Abu Oracle lo computa.</w:t>
      </w:r>
    </w:p>
    <w:p>
      <w:pPr>
        <w:pBdr>
          <w:top w:val="single" w:color="8B6F47" w:sz="6" w:space="4"/>
          <w:bottom w:val="single" w:color="8B6F47" w:sz="6" w:space="4"/>
        </w:pBdr>
        <w:spacing w:before="200" w:after="200"/>
        <w:ind w:left="1440" w:right="1440"/>
        <w:jc w:val="center"/>
      </w:pPr>
      <w:r>
        <w:rPr>
          <w:rFonts w:ascii="Garamond" w:cs="Garamond" w:eastAsia="Garamond" w:hAnsi="Garamond"/>
          <w:i/>
          <w:iCs/>
          <w:color w:val="1A1510"/>
          <w:sz w:val="24"/>
          <w:szCs w:val="24"/>
        </w:rPr>
        <w:t xml:space="preserve">"El destino no está fijo — pero el terreno sí tiene forma. Abu Oracle te muestra dónde la forma del terreno favorece lo que querés construir."</w:t>
      </w:r>
    </w:p>
    <w:p>
      <w:pPr>
        <w:spacing w:before="0" w:after="120"/>
        <w:jc w:val="both"/>
      </w:pPr>
      <w:r>
        <w:rPr>
          <w:rFonts w:ascii="Garamond" w:cs="Garamond" w:eastAsia="Garamond" w:hAnsi="Garamond"/>
          <w:color w:val="1A1510"/>
          <w:sz w:val="22"/>
          <w:szCs w:val="22"/>
        </w:rPr>
        <w:t xml:space="preserve">Esta es la frase que condensa el posicionamiento: no contradice la intuición de quien usa la Matriz, sino que la precisa y la hace accionable.</w:t>
      </w:r>
    </w:p>
    <w:p/>
    <w:p>
      <w:pPr>
        <w:pStyle w:val="Heading2"/>
        <w:spacing w:before="280" w:after="100"/>
      </w:pPr>
      <w:r>
        <w:rPr>
          <w:rFonts w:ascii="Garamond" w:cs="Garamond" w:eastAsia="Garamond" w:hAnsi="Garamond"/>
          <w:b/>
          <w:bCs/>
          <w:color w:val="8B6F47"/>
          <w:sz w:val="22"/>
          <w:szCs w:val="22"/>
        </w:rPr>
        <w:t xml:space="preserve">5.3 Lo que NO se mezcla</w:t>
      </w:r>
    </w:p>
    <w:p>
      <w:pPr>
        <w:spacing w:before="0" w:after="120"/>
        <w:jc w:val="both"/>
      </w:pPr>
      <w:r>
        <w:rPr>
          <w:rFonts w:ascii="Garamond" w:cs="Garamond" w:eastAsia="Garamond" w:hAnsi="Garamond"/>
          <w:color w:val="1A1510"/>
          <w:sz w:val="22"/>
          <w:szCs w:val="22"/>
        </w:rPr>
        <w:t xml:space="preserve">La Axiomática establece con precisión lo que no es integrable sin pérdida de coherencia. El Axioma 6.4 es inequívoco:</w:t>
      </w:r>
    </w:p>
    <w:p>
      <w:pPr>
        <w:spacing w:before="0" w:after="120"/>
        <w:jc w:val="both"/>
      </w:pPr>
      <w:r>
        <w:rPr>
          <w:rFonts w:ascii="Garamond" w:cs="Garamond" w:eastAsia="Garamond" w:hAnsi="Garamond"/>
          <w:i/>
          <w:iCs/>
          <w:color w:val="6B5A42"/>
          <w:sz w:val="22"/>
          <w:szCs w:val="22"/>
        </w:rPr>
        <w:t xml:space="preserve">"La contaminación semántica entre tradiciones es un defecto de diseño, no una síntesis enriquecedora."</w:t>
      </w:r>
    </w:p>
    <w:p>
      <w:pPr>
        <w:spacing w:before="0" w:after="120"/>
        <w:jc w:val="both"/>
      </w:pPr>
      <w:r>
        <w:rPr>
          <w:rFonts w:ascii="Garamond" w:cs="Garamond" w:eastAsia="Garamond" w:hAnsi="Garamond"/>
          <w:color w:val="1A1510"/>
          <w:sz w:val="22"/>
          <w:szCs w:val="22"/>
        </w:rPr>
        <w:t xml:space="preserve">El sistema numerológico de la Matriz (fecha como número mapeado a arcanos) y el motor astronómico de Abu Engine (cómputo topocéntrico con Swiss Ephemeris) tienen epistemologías incompatibles. Sintetizarlos sin separación de capas produce exactamente lo que la Axiomática llama contaminación semántica. Abu Oracle no hace esto. Esta claridad es una fortaleza, no una limitación.</w:t>
      </w:r>
    </w:p>
    <w:p>
      <w:r>
        <w:br/>
      </w:r>
    </w:p>
    <w:p>
      <w:pPr>
        <w:pStyle w:val="Heading1"/>
        <w:spacing w:before="360" w:after="120"/>
        <w:jc w:val="center"/>
      </w:pPr>
      <w:r>
        <w:rPr>
          <w:rFonts w:ascii="Garamond" w:cs="Garamond" w:eastAsia="Garamond" w:hAnsi="Garamond"/>
          <w:b/>
          <w:bCs/>
          <w:color w:val="1A1510"/>
          <w:spacing w:val="120"/>
          <w:sz w:val="28"/>
          <w:szCs w:val="28"/>
        </w:rPr>
        <w:t xml:space="preserve">VI. GLOSARIO CANÓNICO</w:t>
      </w:r>
    </w:p>
    <w:p>
      <w:pPr>
        <w:pBdr>
          <w:bottom w:val="single" w:color="C9A96E" w:sz="2" w:space="1"/>
        </w:pBdr>
        <w:spacing w:before="80" w:after="80"/>
      </w:pPr>
    </w:p>
    <w:p/>
    <w:p>
      <w:pPr>
        <w:spacing w:before="0" w:after="120"/>
        <w:jc w:val="both"/>
      </w:pPr>
      <w:r>
        <w:rPr>
          <w:rFonts w:ascii="Garamond" w:cs="Garamond" w:eastAsia="Garamond" w:hAnsi="Garamond"/>
          <w:color w:val="1A1510"/>
          <w:sz w:val="22"/>
          <w:szCs w:val="22"/>
        </w:rPr>
        <w:t xml:space="preserve">Los siguientes términos tienen definición oficial en el sistema. Deben usarse con precisión en todo material de divulgación.</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626"/>
      </w:tblGrid>
      <w:tr>
        <w:trPr>
          <w:tblHeader/>
        </w:trPr>
        <w:tc>
          <w:tcPr>
            <w:tcW w:type="dxa" w:w="24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Término</w:t>
            </w:r>
          </w:p>
        </w:tc>
        <w:tc>
          <w:tcPr>
            <w:tcW w:type="dxa" w:w="40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Definición canónica</w:t>
            </w:r>
          </w:p>
        </w:tc>
        <w:tc>
          <w:tcPr>
            <w:tcW w:type="dxa" w:w="2626"/>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Lo que no es</w:t>
            </w:r>
          </w:p>
        </w:tc>
      </w:tr>
      <w:tr>
        <w:tc>
          <w:tcPr>
            <w:tcW w:type="dxa" w:w="24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Harmony Field (HF)</w:t>
            </w:r>
          </w:p>
        </w:tc>
        <w:tc>
          <w:tcPr>
            <w:tcW w:type="dxa" w:w="40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Campo escalar geográfico que cuantifica la resonancia del potencial natal en cada coordenada terrestre para un dominio dado.</w:t>
            </w:r>
          </w:p>
        </w:tc>
        <w:tc>
          <w:tcPr>
            <w:tcW w:type="dxa" w:w="26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No es un "mapa de energías". No mide vibraciones.</w:t>
            </w:r>
          </w:p>
        </w:tc>
      </w:tr>
      <w:tr>
        <w:tc>
          <w:tcPr>
            <w:tcW w:type="dxa" w:w="24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Resonancia</w:t>
            </w:r>
          </w:p>
        </w:tc>
        <w:tc>
          <w:tcPr>
            <w:tcW w:type="dxa" w:w="40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Medida matemática del grado en que la configuración angular de los planetas significadores se aproxima a patrones de aspecto específicos.</w:t>
            </w:r>
          </w:p>
        </w:tc>
        <w:tc>
          <w:tcPr>
            <w:tcW w:type="dxa" w:w="26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No es una metáfora. Es un valor numérico calculado.</w:t>
            </w:r>
          </w:p>
        </w:tc>
      </w:tr>
      <w:tr>
        <w:tc>
          <w:tcPr>
            <w:tcW w:type="dxa" w:w="24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Dominio de vida</w:t>
            </w:r>
          </w:p>
        </w:tc>
        <w:tc>
          <w:tcPr>
            <w:tcW w:type="dxa" w:w="40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Área de experiencia humana (carrera, salud, amor, etc.) gobernada por una casa astrológica específica y sus significadores planetarios.</w:t>
            </w:r>
          </w:p>
        </w:tc>
        <w:tc>
          <w:tcPr>
            <w:tcW w:type="dxa" w:w="26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No es una categoría de "energía". Es una estructura doctrinal clásica.</w:t>
            </w:r>
          </w:p>
        </w:tc>
      </w:tr>
      <w:tr>
        <w:tc>
          <w:tcPr>
            <w:tcW w:type="dxa" w:w="24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Significadores</w:t>
            </w:r>
          </w:p>
        </w:tc>
        <w:tc>
          <w:tcPr>
            <w:tcW w:type="dxa" w:w="40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Planetas que rigen y/u ocupan una casa dada en la carta natal. Definen el subconjunto planetario del dominio.</w:t>
            </w:r>
          </w:p>
        </w:tc>
        <w:tc>
          <w:tcPr>
            <w:tcW w:type="dxa" w:w="26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No son "planetas influyentes" en sentido genérico.</w:t>
            </w:r>
          </w:p>
        </w:tc>
      </w:tr>
      <w:tr>
        <w:tc>
          <w:tcPr>
            <w:tcW w:type="dxa" w:w="24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Relocalización</w:t>
            </w:r>
          </w:p>
        </w:tc>
        <w:tc>
          <w:tcPr>
            <w:tcW w:type="dxa" w:w="40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Proceso de evaluar el HF en ubicaciones distintas al lugar natal para identificar geografías con mayor resonancia para un dominio dado.</w:t>
            </w:r>
          </w:p>
        </w:tc>
        <w:tc>
          <w:tcPr>
            <w:tcW w:type="dxa" w:w="26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No es "mudarse para que los astros te ayuden". Es mapear potencial.</w:t>
            </w:r>
          </w:p>
        </w:tc>
      </w:tr>
      <w:tr>
        <w:tc>
          <w:tcPr>
            <w:tcW w:type="dxa" w:w="24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Potencial latente</w:t>
            </w:r>
          </w:p>
        </w:tc>
        <w:tc>
          <w:tcPr>
            <w:tcW w:type="dxa" w:w="40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Capacidad de un dominio de manifestarse, condicionada por la disposición de sus significadores en la carta natal.</w:t>
            </w:r>
          </w:p>
        </w:tc>
        <w:tc>
          <w:tcPr>
            <w:tcW w:type="dxa" w:w="26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No es garantía de resultado. Es condición estructural.</w:t>
            </w:r>
          </w:p>
        </w:tc>
      </w:tr>
      <w:tr>
        <w:tc>
          <w:tcPr>
            <w:tcW w:type="dxa" w:w="24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Lilly</w:t>
            </w:r>
          </w:p>
        </w:tc>
        <w:tc>
          <w:tcPr>
            <w:tcW w:type="dxa" w:w="40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Agente LLM del sistema, inspirado en William Lilly (1647). Genera interpretaciones textuales en respuesta al contexto astrológico activo del usuario.</w:t>
            </w:r>
          </w:p>
        </w:tc>
        <w:tc>
          <w:tcPr>
            <w:tcW w:type="dxa" w:w="26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No es un chatbot genérico. Opera sobre el contexto cartográfico específico.</w:t>
            </w:r>
          </w:p>
        </w:tc>
      </w:tr>
    </w:tbl>
    <w:p>
      <w:r>
        <w:br/>
      </w:r>
    </w:p>
    <w:p>
      <w:pPr>
        <w:pStyle w:val="Heading1"/>
        <w:spacing w:before="360" w:after="120"/>
        <w:jc w:val="center"/>
      </w:pPr>
      <w:r>
        <w:rPr>
          <w:rFonts w:ascii="Garamond" w:cs="Garamond" w:eastAsia="Garamond" w:hAnsi="Garamond"/>
          <w:b/>
          <w:bCs/>
          <w:color w:val="1A1510"/>
          <w:spacing w:val="120"/>
          <w:sz w:val="28"/>
          <w:szCs w:val="28"/>
        </w:rPr>
        <w:t xml:space="preserve">VII. GUÍA DE COMUNICACIÓN</w:t>
      </w:r>
    </w:p>
    <w:p>
      <w:pPr>
        <w:pBdr>
          <w:bottom w:val="single" w:color="C9A96E" w:sz="2" w:space="1"/>
        </w:pBdr>
        <w:spacing w:before="80" w:after="80"/>
      </w:pPr>
    </w:p>
    <w:p/>
    <w:p>
      <w:pPr>
        <w:pStyle w:val="Heading2"/>
        <w:spacing w:before="280" w:after="100"/>
      </w:pPr>
      <w:r>
        <w:rPr>
          <w:rFonts w:ascii="Garamond" w:cs="Garamond" w:eastAsia="Garamond" w:hAnsi="Garamond"/>
          <w:b/>
          <w:bCs/>
          <w:color w:val="8B6F47"/>
          <w:sz w:val="22"/>
          <w:szCs w:val="22"/>
        </w:rPr>
        <w:t xml:space="preserve">7.1 El núcleo del mensaje</w:t>
      </w:r>
    </w:p>
    <w:p>
      <w:pPr>
        <w:spacing w:before="0" w:after="120"/>
        <w:jc w:val="both"/>
      </w:pPr>
      <w:r>
        <w:rPr>
          <w:rFonts w:ascii="Garamond" w:cs="Garamond" w:eastAsia="Garamond" w:hAnsi="Garamond"/>
          <w:color w:val="1A1510"/>
          <w:sz w:val="22"/>
          <w:szCs w:val="22"/>
        </w:rPr>
        <w:t xml:space="preserve">Toda pieza de comunicación de Abu Oracle, independientemente del formato, debe transmitir esta idea central:</w:t>
      </w:r>
    </w:p>
    <w:p>
      <w:pPr>
        <w:pBdr>
          <w:top w:val="single" w:color="8B6F47" w:sz="6" w:space="4"/>
          <w:bottom w:val="single" w:color="8B6F47" w:sz="6" w:space="4"/>
        </w:pBdr>
        <w:spacing w:before="200" w:after="200"/>
        <w:ind w:left="1440" w:right="1440"/>
        <w:jc w:val="center"/>
      </w:pPr>
      <w:r>
        <w:rPr>
          <w:rFonts w:ascii="Garamond" w:cs="Garamond" w:eastAsia="Garamond" w:hAnsi="Garamond"/>
          <w:i/>
          <w:iCs/>
          <w:color w:val="1A1510"/>
          <w:sz w:val="24"/>
          <w:szCs w:val="24"/>
        </w:rPr>
        <w:t xml:space="preserve">La astrología no dice qué te va a pasar. Dice cuál es la forma del terreno. Abu Oracle calcula esa forma.</w:t>
      </w:r>
    </w:p>
    <w:p/>
    <w:p>
      <w:pPr>
        <w:pStyle w:val="Heading2"/>
        <w:spacing w:before="280" w:after="100"/>
      </w:pPr>
      <w:r>
        <w:rPr>
          <w:rFonts w:ascii="Garamond" w:cs="Garamond" w:eastAsia="Garamond" w:hAnsi="Garamond"/>
          <w:b/>
          <w:bCs/>
          <w:color w:val="8B6F47"/>
          <w:sz w:val="22"/>
          <w:szCs w:val="22"/>
        </w:rPr>
        <w:t xml:space="preserve">7.2 Frases canónicas</w:t>
      </w:r>
    </w:p>
    <w:p>
      <w:pPr>
        <w:spacing w:before="0" w:after="120"/>
        <w:jc w:val="both"/>
      </w:pPr>
      <w:r>
        <w:rPr>
          <w:rFonts w:ascii="Garamond" w:cs="Garamond" w:eastAsia="Garamond" w:hAnsi="Garamond"/>
          <w:color w:val="1A1510"/>
          <w:sz w:val="22"/>
          <w:szCs w:val="22"/>
        </w:rPr>
        <w:t xml:space="preserve">Las siguientes formulaciones son las autorizadas para uso en divulgación. Pueden parafrasearse pero no deben alterarse en su sentido:</w:t>
      </w:r>
    </w:p>
    <w:p/>
    <w:p>
      <w:pPr>
        <w:spacing w:before="0" w:after="120"/>
        <w:jc w:val="both"/>
      </w:pPr>
      <w:r>
        <w:rPr>
          <w:rFonts w:ascii="Garamond" w:cs="Garamond" w:eastAsia="Garamond" w:hAnsi="Garamond"/>
          <w:i/>
          <w:iCs/>
          <w:color w:val="6B5A42"/>
          <w:sz w:val="22"/>
          <w:szCs w:val="22"/>
        </w:rPr>
        <w:t xml:space="preserve">"El campo no predice dónde ocurrirán las cosas buenas. Revela dónde la superficie de una vida se orienta hacia la luz."</w:t>
      </w:r>
    </w:p>
    <w:p/>
    <w:p>
      <w:pPr>
        <w:spacing w:before="0" w:after="120"/>
        <w:jc w:val="both"/>
      </w:pPr>
      <w:r>
        <w:rPr>
          <w:rFonts w:ascii="Garamond" w:cs="Garamond" w:eastAsia="Garamond" w:hAnsi="Garamond"/>
          <w:i/>
          <w:iCs/>
          <w:color w:val="6B5A42"/>
          <w:sz w:val="22"/>
          <w:szCs w:val="22"/>
        </w:rPr>
        <w:t xml:space="preserve">"El sistema no dice: aquí tendrás éxito profesional. Dice: aquí los principios que rigen tu carrera encuentran mayor resonancia."</w:t>
      </w:r>
    </w:p>
    <w:p/>
    <w:p>
      <w:pPr>
        <w:spacing w:before="0" w:after="120"/>
        <w:jc w:val="both"/>
      </w:pPr>
      <w:r>
        <w:rPr>
          <w:rFonts w:ascii="Garamond" w:cs="Garamond" w:eastAsia="Garamond" w:hAnsi="Garamond"/>
          <w:i/>
          <w:iCs/>
          <w:color w:val="6B5A42"/>
          <w:sz w:val="22"/>
          <w:szCs w:val="22"/>
        </w:rPr>
        <w:t xml:space="preserve">"El campo no crea potencial donde no lo hay — facilita la expresión del potencial que ya existe en forma latente."</w:t>
      </w:r>
    </w:p>
    <w:p/>
    <w:p>
      <w:pPr>
        <w:spacing w:before="0" w:after="120"/>
        <w:jc w:val="both"/>
      </w:pPr>
      <w:r>
        <w:rPr>
          <w:rFonts w:ascii="Garamond" w:cs="Garamond" w:eastAsia="Garamond" w:hAnsi="Garamond"/>
          <w:i/>
          <w:iCs/>
          <w:color w:val="6B5A42"/>
          <w:sz w:val="22"/>
          <w:szCs w:val="22"/>
        </w:rPr>
        <w:t xml:space="preserve">"El destino no está fijo, pero el terreno sí tiene forma."</w:t>
      </w:r>
    </w:p>
    <w:p/>
    <w:p>
      <w:pPr>
        <w:pStyle w:val="Heading2"/>
        <w:spacing w:before="280" w:after="100"/>
      </w:pPr>
      <w:r>
        <w:rPr>
          <w:rFonts w:ascii="Garamond" w:cs="Garamond" w:eastAsia="Garamond" w:hAnsi="Garamond"/>
          <w:b/>
          <w:bCs/>
          <w:color w:val="8B6F47"/>
          <w:sz w:val="22"/>
          <w:szCs w:val="22"/>
        </w:rPr>
        <w:t xml:space="preserve">7.3 Audiencias y encuadre por audiencia</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rPr>
          <w:tblHeader/>
        </w:trPr>
        <w:tc>
          <w:tcPr>
            <w:tcW w:type="dxa" w:w="24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Audiencia</w:t>
            </w:r>
          </w:p>
        </w:tc>
        <w:tc>
          <w:tcPr>
            <w:tcW w:type="dxa" w:w="28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Punto de entrada</w:t>
            </w:r>
          </w:p>
        </w:tc>
        <w:tc>
          <w:tcPr>
            <w:tcW w:type="dxa" w:w="3826"/>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Argumento central</w:t>
            </w:r>
          </w:p>
        </w:tc>
      </w:tr>
      <w:tr>
        <w:tc>
          <w:tcPr>
            <w:tcW w:type="dxa" w:w="24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Usuarios de astrocartografía</w:t>
            </w:r>
          </w:p>
        </w:tc>
        <w:tc>
          <w:tcPr>
            <w:tcW w:type="dxa" w:w="28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Ya conocen la idea de que la geografía importa.</w:t>
            </w:r>
          </w:p>
        </w:tc>
        <w:tc>
          <w:tcPr>
            <w:tcW w:type="dxa" w:w="38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Abu Oracle la cuantifica con precisión y la filtra por dominio. No es intuición — es campo.</w:t>
            </w:r>
          </w:p>
        </w:tc>
      </w:tr>
      <w:tr>
        <w:tc>
          <w:tcPr>
            <w:tcW w:type="dxa" w:w="24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Usuarios de la Matriz del Destino</w:t>
            </w:r>
          </w:p>
        </w:tc>
        <w:tc>
          <w:tcPr>
            <w:tcW w:type="dxa" w:w="28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Creen en el libre albedrío dentro de un patrón estructural.</w:t>
            </w:r>
          </w:p>
        </w:tc>
        <w:tc>
          <w:tcPr>
            <w:tcW w:type="dxa" w:w="38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Abu Oracle computa exactamente eso. Tu mapa tiene forma. Nosotros te la mostramos.</w:t>
            </w:r>
          </w:p>
        </w:tc>
      </w:tr>
      <w:tr>
        <w:tc>
          <w:tcPr>
            <w:tcW w:type="dxa" w:w="24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Escépticos / científicamente orientados</w:t>
            </w:r>
          </w:p>
        </w:tc>
        <w:tc>
          <w:tcPr>
            <w:tcW w:type="dxa" w:w="28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Desconfían de la astrología como pseudociencia.</w:t>
            </w:r>
          </w:p>
        </w:tc>
        <w:tc>
          <w:tcPr>
            <w:tcW w:type="dxa" w:w="38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El sistema es falsable. Hay correlación empírica sobre 527 eventos. El campo global da r=0.155; el campo por dominio da r=0.615. La hipótesis tiene estructura.</w:t>
            </w:r>
          </w:p>
        </w:tc>
      </w:tr>
      <w:tr>
        <w:tc>
          <w:tcPr>
            <w:tcW w:type="dxa" w:w="24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Público general espiritual</w:t>
            </w:r>
          </w:p>
        </w:tc>
        <w:tc>
          <w:tcPr>
            <w:tcW w:type="dxa" w:w="28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Busca sentido y orientación personal.</w:t>
            </w:r>
          </w:p>
        </w:tc>
        <w:tc>
          <w:tcPr>
            <w:tcW w:type="dxa" w:w="38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El campo no te dice qué hacer. Te muestra el terreno. La decisión es tuya.</w:t>
            </w:r>
          </w:p>
        </w:tc>
      </w:tr>
    </w:tbl>
    <w:p/>
    <w:p>
      <w:pPr>
        <w:pStyle w:val="Heading2"/>
        <w:spacing w:before="280" w:after="100"/>
      </w:pPr>
      <w:r>
        <w:rPr>
          <w:rFonts w:ascii="Garamond" w:cs="Garamond" w:eastAsia="Garamond" w:hAnsi="Garamond"/>
          <w:b/>
          <w:bCs/>
          <w:color w:val="8B6F47"/>
          <w:sz w:val="22"/>
          <w:szCs w:val="22"/>
        </w:rPr>
        <w:t xml:space="preserve">7.4 Lo que nunca se dice</w:t>
      </w:r>
    </w:p>
    <w:p>
      <w:pPr>
        <w:pStyle w:val="ListParagraph"/>
        <w:numPr>
          <w:ilvl w:val="0"/>
          <w:numId w:val="3"/>
        </w:numPr>
        <w:spacing w:before="60" w:after="60"/>
      </w:pPr>
      <w:r>
        <w:rPr>
          <w:rFonts w:ascii="Garamond" w:cs="Garamond" w:eastAsia="Garamond" w:hAnsi="Garamond"/>
          <w:color w:val="8B2500"/>
          <w:sz w:val="22"/>
          <w:szCs w:val="22"/>
        </w:rPr>
        <w:t xml:space="preserve">"El HF predice tu futuro."  →  El sistema mapea estructura, no eventos.</w:t>
      </w:r>
    </w:p>
    <w:p>
      <w:pPr>
        <w:pStyle w:val="ListParagraph"/>
        <w:numPr>
          <w:ilvl w:val="0"/>
          <w:numId w:val="3"/>
        </w:numPr>
        <w:spacing w:before="60" w:after="60"/>
      </w:pPr>
      <w:r>
        <w:rPr>
          <w:rFonts w:ascii="Garamond" w:cs="Garamond" w:eastAsia="Garamond" w:hAnsi="Garamond"/>
          <w:color w:val="8B2500"/>
          <w:sz w:val="22"/>
          <w:szCs w:val="22"/>
        </w:rPr>
        <w:t xml:space="preserve">"Mudarte a X ciudad te traerá éxito."  →  El sistema identifica resonancia, no garantías.</w:t>
      </w:r>
    </w:p>
    <w:p>
      <w:pPr>
        <w:pStyle w:val="ListParagraph"/>
        <w:numPr>
          <w:ilvl w:val="0"/>
          <w:numId w:val="3"/>
        </w:numPr>
        <w:spacing w:before="60" w:after="60"/>
      </w:pPr>
      <w:r>
        <w:rPr>
          <w:rFonts w:ascii="Garamond" w:cs="Garamond" w:eastAsia="Garamond" w:hAnsi="Garamond"/>
          <w:color w:val="8B2500"/>
          <w:sz w:val="22"/>
          <w:szCs w:val="22"/>
        </w:rPr>
        <w:t xml:space="preserve">"Integramos todas las tradiciones."  →  El sistema separa tradiciones deliberadamente.</w:t>
      </w:r>
    </w:p>
    <w:p>
      <w:pPr>
        <w:pStyle w:val="ListParagraph"/>
        <w:numPr>
          <w:ilvl w:val="0"/>
          <w:numId w:val="3"/>
        </w:numPr>
        <w:spacing w:before="60" w:after="100"/>
      </w:pPr>
      <w:r>
        <w:rPr>
          <w:rFonts w:ascii="Garamond" w:cs="Garamond" w:eastAsia="Garamond" w:hAnsi="Garamond"/>
          <w:color w:val="8B2500"/>
          <w:sz w:val="22"/>
          <w:szCs w:val="22"/>
        </w:rPr>
        <w:t xml:space="preserve">"Es energía / vibración / frecuencia."  →  El sistema usa geometría y probabilidad, no metáforas energéticas.</w:t>
      </w:r>
    </w:p>
    <w:p>
      <w:r>
        <w:br/>
      </w:r>
    </w:p>
    <w:p>
      <w:pPr>
        <w:pStyle w:val="Heading1"/>
        <w:spacing w:before="360" w:after="120"/>
        <w:jc w:val="center"/>
      </w:pPr>
      <w:r>
        <w:rPr>
          <w:rFonts w:ascii="Garamond" w:cs="Garamond" w:eastAsia="Garamond" w:hAnsi="Garamond"/>
          <w:b/>
          <w:bCs/>
          <w:color w:val="1A1510"/>
          <w:spacing w:val="120"/>
          <w:sz w:val="28"/>
          <w:szCs w:val="28"/>
        </w:rPr>
        <w:t xml:space="preserve">VII-B. EL MAPA DEL AÑO — RETORNO SOLAR CON FIRDARIA</w:t>
      </w:r>
    </w:p>
    <w:p>
      <w:pPr>
        <w:pBdr>
          <w:bottom w:val="single" w:color="C9A96E" w:sz="2" w:space="1"/>
        </w:pBdr>
        <w:spacing w:before="80" w:after="80"/>
      </w:pPr>
    </w:p>
    <w:p>
      <w:pPr>
        <w:spacing w:before="0" w:after="120"/>
        <w:jc w:val="both"/>
      </w:pPr>
      <w:r>
        <w:rPr>
          <w:rFonts w:ascii="Garamond" w:cs="Garamond" w:eastAsia="Garamond" w:hAnsi="Garamond"/>
          <w:color w:val="1A1510"/>
          <w:sz w:val="22"/>
          <w:szCs w:val="22"/>
        </w:rPr>
        <w:t xml:space="preserve">Cada año tiene un planeta que abre tus puertas. El mapa SR te muestra dónde en el mundo ese planeta tiene más fuerza geométrica en el momento de tu cumpleaños. No es supersitición — es aplicar la misma lógica con la que los astrólogos medievales calculaban el retorno en el lugar de residencia, ahora sobre un campo escalar continuo que cubre todo el planeta.</w:t>
      </w:r>
    </w:p>
    <w:p>
      <w:pPr>
        <w:spacing w:before="0" w:after="120"/>
        <w:jc w:val="both"/>
      </w:pPr>
      <w:r>
        <w:rPr>
          <w:rFonts w:ascii="Garamond" w:cs="Garamond" w:eastAsia="Garamond" w:hAnsi="Garamond"/>
          <w:color w:val="1A1510"/>
          <w:sz w:val="22"/>
          <w:szCs w:val="22"/>
        </w:rPr>
        <w:t xml:space="preserve">El instrumento central es la Firdaria — el sistema persa de períodos planetarios que divide la vida en décadas regidas cada una por un planeta distinto. En cada período, un planeta mayor y un planeta menor rigen los asuntos del nativo. Son el operador temporal: convierten la potencialidad natal en evento concreto.</w:t>
      </w:r>
    </w:p>
    <w:p>
      <w:pPr>
        <w:spacing w:before="0" w:after="120"/>
        <w:jc w:val="both"/>
      </w:pPr>
      <w:r>
        <w:rPr>
          <w:rFonts w:ascii="Garamond" w:cs="Garamond" w:eastAsia="Garamond" w:hAnsi="Garamond"/>
          <w:color w:val="1A1510"/>
          <w:sz w:val="22"/>
          <w:szCs w:val="22"/>
        </w:rPr>
        <w:t xml:space="preserve">El HF del Retorno Solar sin Firdaria es matemáticamente válido pero doctrinalmente incompleto. Mezcla todos los planetas indiscriminadamente: con diez planetas y movimiento lento de los exteriores, el campo resultante es casi idéntico al natal. No aporta información nueva. Con Firdaria, el campo SR responde una pregunta específica: dónde en el mundo los planetas de </w:t>
      </w:r>
      <w:r>
        <w:rPr>
          <w:rFonts w:ascii="Garamond" w:cs="Garamond" w:eastAsia="Garamond" w:hAnsi="Garamond"/>
          <w:i/>
          <w:iCs/>
          <w:color w:val="1A1510"/>
          <w:sz w:val="22"/>
          <w:szCs w:val="22"/>
        </w:rPr>
        <w:t xml:space="preserve">este período</w:t>
      </w:r>
      <w:r>
        <w:rPr>
          <w:rFonts w:ascii="Garamond" w:cs="Garamond" w:eastAsia="Garamond" w:hAnsi="Garamond"/>
          <w:color w:val="1A1510"/>
          <w:sz w:val="22"/>
          <w:szCs w:val="22"/>
        </w:rPr>
        <w:t xml:space="preserve"> tienen mayor angularidad local en la fecha de tu cumpleaños.</w:t>
      </w:r>
    </w:p>
    <w:p>
      <w:pPr>
        <w:spacing w:before="0" w:after="120"/>
        <w:jc w:val="both"/>
      </w:pPr>
      <w:r>
        <w:rPr>
          <w:rFonts w:ascii="Garamond" w:cs="Garamond" w:eastAsia="Garamond" w:hAnsi="Garamond"/>
          <w:color w:val="1A1510"/>
          <w:sz w:val="22"/>
          <w:szCs w:val="22"/>
        </w:rPr>
        <w:t xml:space="preserve">El usuario elige además el dominio de vida que le importa — carrera, amor, salud, creatividad. El sistema combina ambas dimensiones: los planetas de Firdaria como operador temporal, el dominio como pregunta semántica. El mapa resultante no es un horoscopo. Es una respuesta específica a una pregunta específica: “¿Dónde paso mi cumpleaños para que este año exprese mejor mi Casa 5?”</w:t>
      </w:r>
    </w:p>
    <w:p>
      <w:r>
        <w:br/>
      </w:r>
    </w:p>
    <w:p>
      <w:pPr>
        <w:pStyle w:val="Heading1"/>
        <w:spacing w:before="360" w:after="120"/>
        <w:jc w:val="center"/>
      </w:pPr>
      <w:r>
        <w:rPr>
          <w:rFonts w:ascii="Garamond" w:cs="Garamond" w:eastAsia="Garamond" w:hAnsi="Garamond"/>
          <w:b/>
          <w:bCs/>
          <w:color w:val="1A1510"/>
          <w:spacing w:val="120"/>
          <w:sz w:val="28"/>
          <w:szCs w:val="28"/>
        </w:rPr>
        <w:t xml:space="preserve">VIII. VALIDACIÓN EMPÍRICA</w:t>
      </w:r>
    </w:p>
    <w:p>
      <w:pPr>
        <w:pBdr>
          <w:bottom w:val="single" w:color="C9A96E" w:sz="2" w:space="1"/>
        </w:pBdr>
        <w:spacing w:before="80" w:after="80"/>
      </w:pPr>
    </w:p>
    <w:p/>
    <w:p>
      <w:pPr>
        <w:spacing w:before="0" w:after="120"/>
        <w:jc w:val="both"/>
      </w:pPr>
      <w:r>
        <w:rPr>
          <w:rFonts w:ascii="Garamond" w:cs="Garamond" w:eastAsia="Garamond" w:hAnsi="Garamond"/>
          <w:color w:val="1A1510"/>
          <w:sz w:val="22"/>
          <w:szCs w:val="22"/>
        </w:rPr>
        <w:t xml:space="preserve">Abu Oracle es el único sistema de relocalización astrológica con validación empírica publicada. Los resultados que siguen son los datos oficiales del sistema a marzo de 2026.</w:t>
      </w:r>
    </w:p>
    <w:p/>
    <w:p>
      <w:pPr>
        <w:pStyle w:val="Heading2"/>
        <w:spacing w:before="280" w:after="100"/>
      </w:pPr>
      <w:r>
        <w:rPr>
          <w:rFonts w:ascii="Garamond" w:cs="Garamond" w:eastAsia="Garamond" w:hAnsi="Garamond"/>
          <w:b/>
          <w:bCs/>
          <w:color w:val="8B6F47"/>
          <w:sz w:val="22"/>
          <w:szCs w:val="22"/>
        </w:rPr>
        <w:t xml:space="preserve">8.1 Dataset</w:t>
      </w:r>
    </w:p>
    <w:p>
      <w:pPr>
        <w:pStyle w:val="ListParagraph"/>
        <w:numPr>
          <w:ilvl w:val="0"/>
          <w:numId w:val="3"/>
        </w:numPr>
        <w:spacing w:before="60" w:after="60"/>
      </w:pPr>
      <w:r>
        <w:rPr>
          <w:rFonts w:ascii="Garamond" w:cs="Garamond" w:eastAsia="Garamond" w:hAnsi="Garamond"/>
          <w:color w:val="1A1510"/>
          <w:sz w:val="22"/>
          <w:szCs w:val="22"/>
        </w:rPr>
        <w:t xml:space="preserve">5,359 cartas natales con Rodden rating AA/A (alta confiabilidad de hora de nacimiento).</w:t>
      </w:r>
    </w:p>
    <w:p>
      <w:pPr>
        <w:pStyle w:val="ListParagraph"/>
        <w:numPr>
          <w:ilvl w:val="0"/>
          <w:numId w:val="3"/>
        </w:numPr>
        <w:spacing w:before="60" w:after="60"/>
      </w:pPr>
      <w:r>
        <w:rPr>
          <w:rFonts w:ascii="Garamond" w:cs="Garamond" w:eastAsia="Garamond" w:hAnsi="Garamond"/>
          <w:color w:val="1A1510"/>
          <w:sz w:val="22"/>
          <w:szCs w:val="22"/>
        </w:rPr>
        <w:t xml:space="preserve">527 eventos biográficos datados con ubicación y valencia (positivo / neutro / negativo).</w:t>
      </w:r>
    </w:p>
    <w:p>
      <w:pPr>
        <w:pStyle w:val="ListParagraph"/>
        <w:numPr>
          <w:ilvl w:val="0"/>
          <w:numId w:val="3"/>
        </w:numPr>
        <w:spacing w:before="60" w:after="100"/>
      </w:pPr>
      <w:r>
        <w:rPr>
          <w:rFonts w:ascii="Garamond" w:cs="Garamond" w:eastAsia="Garamond" w:hAnsi="Garamond"/>
          <w:color w:val="1A1510"/>
          <w:sz w:val="22"/>
          <w:szCs w:val="22"/>
        </w:rPr>
        <w:t xml:space="preserve">9,261 combinaciones de parámetros evaluadas en grid search.</w:t>
      </w:r>
    </w:p>
    <w:p>
      <w:pPr>
        <w:pStyle w:val="Heading2"/>
        <w:spacing w:before="280" w:after="100"/>
      </w:pPr>
      <w:r>
        <w:rPr>
          <w:rFonts w:ascii="Garamond" w:cs="Garamond" w:eastAsia="Garamond" w:hAnsi="Garamond"/>
          <w:b/>
          <w:bCs/>
          <w:color w:val="8B6F47"/>
          <w:sz w:val="22"/>
          <w:szCs w:val="22"/>
        </w:rPr>
        <w:t xml:space="preserve">8.2 Resultado principal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426"/>
      </w:tblGrid>
      <w:tr>
        <w:trPr>
          <w:tblHeader/>
        </w:trPr>
        <w:tc>
          <w:tcPr>
            <w:tcW w:type="dxa" w:w="36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Configuración del campo</w:t>
            </w:r>
          </w:p>
        </w:tc>
        <w:tc>
          <w:tcPr>
            <w:tcW w:type="dxa" w:w="30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Correlación HF ↔ valencia</w:t>
            </w:r>
          </w:p>
        </w:tc>
        <w:tc>
          <w:tcPr>
            <w:tcW w:type="dxa" w:w="2426"/>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Mejora</w:t>
            </w:r>
          </w:p>
        </w:tc>
      </w:tr>
      <w:tr>
        <w:tc>
          <w:tcPr>
            <w:tcW w:type="dxa" w:w="36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HF global (sin filtro de dominio)</w:t>
            </w:r>
          </w:p>
        </w:tc>
        <w:tc>
          <w:tcPr>
            <w:tcW w:type="dxa" w:w="30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alse"/>
                <w:bCs w:val="false"/>
                <w:i w:val="false"/>
                <w:iCs w:val="false"/>
                <w:color w:val="6B5A42"/>
                <w:sz w:val="20"/>
                <w:szCs w:val="20"/>
              </w:rPr>
              <w:t xml:space="preserve">r = 0.155, Cohen's d = 0.441</w:t>
            </w:r>
          </w:p>
        </w:tc>
        <w:tc>
          <w:tcPr>
            <w:tcW w:type="dxa" w:w="24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unction bold() { [native code] }"/>
                <w:bCs w:val="function bold() { [native code] }"/>
                <w:i w:val="function italics() { [native code] }"/>
                <w:iCs w:val="function italics() { [native code] }"/>
                <w:color w:val="1A1510"/>
                <w:sz w:val="20"/>
                <w:szCs w:val="20"/>
              </w:rPr>
              <w:t xml:space="preserve">—</w:t>
            </w:r>
          </w:p>
        </w:tc>
      </w:tr>
      <w:tr>
        <w:tc>
          <w:tcPr>
            <w:tcW w:type="dxa" w:w="36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HF dominio salud (H6/H8)</w:t>
            </w:r>
          </w:p>
        </w:tc>
        <w:tc>
          <w:tcPr>
            <w:tcW w:type="dxa" w:w="30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4A00"/>
                <w:sz w:val="20"/>
                <w:szCs w:val="20"/>
              </w:rPr>
              <w:t xml:space="preserve">r = 0.615</w:t>
            </w:r>
          </w:p>
        </w:tc>
        <w:tc>
          <w:tcPr>
            <w:tcW w:type="dxa" w:w="24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4A00"/>
                <w:sz w:val="20"/>
                <w:szCs w:val="20"/>
              </w:rPr>
              <w:t xml:space="preserve">+0.93 en Cohen's d</w:t>
            </w:r>
          </w:p>
        </w:tc>
      </w:tr>
    </w:tbl>
    <w:p/>
    <w:p>
      <w:pPr>
        <w:pStyle w:val="Heading2"/>
        <w:spacing w:before="280" w:after="100"/>
      </w:pPr>
      <w:r>
        <w:rPr>
          <w:rFonts w:ascii="Garamond" w:cs="Garamond" w:eastAsia="Garamond" w:hAnsi="Garamond"/>
          <w:b/>
          <w:bCs/>
          <w:color w:val="8B6F47"/>
          <w:sz w:val="22"/>
          <w:szCs w:val="22"/>
        </w:rPr>
        <w:t xml:space="preserve">8.3 Interpretación</w:t>
      </w:r>
    </w:p>
    <w:p>
      <w:pPr>
        <w:spacing w:before="0" w:after="120"/>
        <w:jc w:val="both"/>
      </w:pPr>
      <w:r>
        <w:rPr>
          <w:rFonts w:ascii="Garamond" w:cs="Garamond" w:eastAsia="Garamond" w:hAnsi="Garamond"/>
          <w:color w:val="1A1510"/>
          <w:sz w:val="22"/>
          <w:szCs w:val="22"/>
        </w:rPr>
        <w:t xml:space="preserve">El hallazgo confirma el Axioma 8.1 de la Axiomática: la lectura del campo celeste no es homogénea. El campo global no es falso — captura actividad astrológica total. Es sordo a la pregunta específica porque mezcla todas las frecuencias simultáneamente.</w:t>
      </w:r>
    </w:p>
    <w:p>
      <w:pPr>
        <w:spacing w:before="0" w:after="120"/>
        <w:jc w:val="both"/>
      </w:pPr>
      <w:r>
        <w:rPr>
          <w:rFonts w:ascii="Garamond" w:cs="Garamond" w:eastAsia="Garamond" w:hAnsi="Garamond"/>
          <w:color w:val="1A1510"/>
          <w:sz w:val="22"/>
          <w:szCs w:val="22"/>
        </w:rPr>
        <w:t xml:space="preserve">El filtrado por dominio (aplicar solo los significadores de la casa correspondiente) produce una mejora de +0.93 en Cohen's d sobre eventos de salud. Este es el hallazgo empírico fundacional del sistema.</w:t>
      </w:r>
    </w:p>
    <w:p/>
    <w:p>
      <w:pPr>
        <w:spacing w:before="0" w:after="120"/>
        <w:jc w:val="both"/>
      </w:pPr>
      <w:r>
        <w:rPr>
          <w:rFonts w:ascii="Garamond" w:cs="Garamond" w:eastAsia="Garamond" w:hAnsi="Garamond"/>
          <w:color w:val="1A1510"/>
          <w:sz w:val="22"/>
          <w:szCs w:val="22"/>
        </w:rPr>
        <w:t xml:space="preserve">Nota metodológica: para H10 (Carrera) la correlación de Pearson es poco confiable por desequilibrio de clases en el corpus (sesgo hacia figuras célebres). La métrica operativa para ese dominio es Cohen's d.</w:t>
      </w:r>
    </w:p>
    <w:p>
      <w:r>
        <w:br/>
      </w:r>
    </w:p>
    <w:p/>
    <w:p/>
    <w:p/>
    <w:p/>
    <w:p>
      <w:pPr>
        <w:pBdr>
          <w:bottom w:val="single" w:color="8B6F47" w:sz="4" w:space="1"/>
        </w:pBdr>
        <w:spacing w:before="160" w:after="160"/>
      </w:pPr>
    </w:p>
    <w:p>
      <w:pPr>
        <w:spacing w:before="200" w:after="80"/>
        <w:jc w:val="center"/>
      </w:pPr>
      <w:r>
        <w:rPr>
          <w:rFonts w:ascii="Garamond" w:cs="Garamond" w:eastAsia="Garamond" w:hAnsi="Garamond"/>
          <w:color w:val="6B5A42"/>
          <w:sz w:val="20"/>
          <w:szCs w:val="20"/>
        </w:rPr>
        <w:t xml:space="preserve">Abu Oracle Project</w:t>
      </w:r>
    </w:p>
    <w:p>
      <w:pPr>
        <w:spacing w:before="0" w:after="80"/>
        <w:jc w:val="center"/>
      </w:pPr>
      <w:r>
        <w:rPr>
          <w:rFonts w:ascii="Garamond" w:cs="Garamond" w:eastAsia="Garamond" w:hAnsi="Garamond"/>
          <w:i/>
          <w:iCs/>
          <w:color w:val="6B5A42"/>
          <w:sz w:val="18"/>
          <w:szCs w:val="18"/>
        </w:rPr>
        <w:t xml:space="preserve">Cuerpo Canónico de Divulgación v1.0  ·  Marzo 2026</w:t>
      </w:r>
    </w:p>
    <w:p>
      <w:pPr>
        <w:spacing w:before="0" w:after="80"/>
        <w:jc w:val="center"/>
      </w:pPr>
      <w:r>
        <w:rPr>
          <w:rFonts w:ascii="Garamond" w:cs="Garamond" w:eastAsia="Garamond" w:hAnsi="Garamond"/>
          <w:b/>
          <w:bCs/>
          <w:color w:val="1A1510"/>
          <w:sz w:val="22"/>
          <w:szCs w:val="22"/>
        </w:rPr>
        <w:t xml:space="preserve">Creado y fundado por Atilio Guillermo Alberto Siaira</w:t>
      </w:r>
    </w:p>
    <w:p>
      <w:pPr>
        <w:spacing w:before="0" w:after="80"/>
        <w:jc w:val="center"/>
      </w:pPr>
      <w:r>
        <w:rPr>
          <w:rFonts w:ascii="Garamond" w:cs="Garamond" w:eastAsia="Garamond" w:hAnsi="Garamond"/>
          <w:i/>
          <w:iCs/>
          <w:color w:val="8B6F47"/>
          <w:sz w:val="16"/>
          <w:szCs w:val="16"/>
        </w:rPr>
        <w:t xml:space="preserve">Fundado en memoria de Héctor Steinbrun</w:t>
      </w:r>
    </w:p>
    <w:p>
      <w:pPr>
        <w:spacing w:before="0" w:after="80"/>
        <w:jc w:val="center"/>
      </w:pPr>
      <w:r>
        <w:rPr>
          <w:rFonts w:ascii="Garamond" w:cs="Garamond" w:eastAsia="Garamond" w:hAnsi="Garamond"/>
          <w:i/>
          <w:iCs/>
          <w:color w:val="6B5A42"/>
          <w:sz w:val="14"/>
          <w:szCs w:val="14"/>
        </w:rPr>
        <w:t xml:space="preserve">Fuentes: Axiomatics of Heavens v0.4  ·  "On the Geometry of Light" (@trq212)  ·  Evaluación Matriz del Destino  ·  HF Experiment Log</w:t>
      </w:r>
    </w:p>
    <w:p>
      <w:pPr>
        <w:pBdr>
          <w:bottom w:val="single" w:color="8B6F47" w:sz="4" w:space="1"/>
        </w:pBdr>
        <w:spacing w:before="160" w:after="16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96E" w:sz="2" w:space="4"/>
      </w:pBdr>
      <w:jc w:val="center"/>
    </w:pPr>
    <w:r>
      <w:rPr>
        <w:rFonts w:ascii="Garamond" w:cs="Garamond" w:eastAsia="Garamond" w:hAnsi="Garamond"/>
        <w:color w:val="6B5A42"/>
        <w:sz w:val="16"/>
        <w:szCs w:val="16"/>
      </w:rPr>
      <w:t xml:space="preserve">Abu Oracle Project  ·  2026  ·  Página </w:t>
    </w:r>
    <w:r>
      <w:rPr>
        <w:rFonts w:ascii="Garamond" w:cs="Garamond" w:eastAsia="Garamond" w:hAnsi="Garamond"/>
        <w:color w:val="6B5A4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E" w:sz="2" w:space="4"/>
      </w:pBdr>
      <w:jc w:val="right"/>
    </w:pPr>
    <w:r>
      <w:rPr>
        <w:rFonts w:ascii="Garamond" w:cs="Garamond" w:eastAsia="Garamond" w:hAnsi="Garamond"/>
        <w:i/>
        <w:iCs/>
        <w:color w:val="6B5A42"/>
        <w:sz w:val="16"/>
        <w:szCs w:val="16"/>
      </w:rPr>
      <w:t xml:space="preserve">Abu Oracle — Cuerpo Canónico de Divulgación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1A15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Garamond" w:cs="Garamond" w:eastAsia="Garamond" w:hAnsi="Garamond"/>
      <w:b/>
      <w:bCs/>
      <w:color w:val="1A1510"/>
      <w:sz w:val="28"/>
      <w:szCs w:val="28"/>
    </w:rPr>
  </w:style>
  <w:style w:type="paragraph" w:styleId="Heading2">
    <w:name w:val="Heading 2"/>
    <w:basedOn w:val="Normal"/>
    <w:next w:val="Normal"/>
    <w:qFormat/>
    <w:pPr>
      <w:spacing w:before="280" w:after="100"/>
      <w:outlineLvl w:val="1"/>
    </w:pPr>
    <w:rPr>
      <w:rFonts w:ascii="Garamond" w:cs="Garamond" w:eastAsia="Garamond" w:hAnsi="Garamond"/>
      <w:b/>
      <w:bCs/>
      <w:color w:val="8B6F47"/>
      <w:sz w:val="22"/>
      <w:szCs w:val="22"/>
    </w:rPr>
  </w:style>
  <w:style w:type="paragraph" w:styleId="Heading3">
    <w:name w:val="Heading 3"/>
    <w:basedOn w:val="Normal"/>
    <w:next w:val="Normal"/>
    <w:qFormat/>
    <w:pPr>
      <w:spacing w:before="200" w:after="60"/>
      <w:outlineLvl w:val="2"/>
    </w:pPr>
    <w:rPr>
      <w:rFonts w:ascii="Garamond" w:cs="Garamond" w:eastAsia="Garamond" w:hAnsi="Garamond"/>
      <w:b/>
      <w:bCs/>
      <w:color w:val="1A151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2026-03-20T16:14:39.175Z</dcterms:created>
  <dcterms:modified xsi:type="dcterms:W3CDTF">2026-03-20T16:14:39.177Z</dcterms:modified>
</cp:coreProperties>
</file>

<file path=docProps/custom.xml><?xml version="1.0" encoding="utf-8"?>
<Properties xmlns="http://schemas.openxmlformats.org/officeDocument/2006/custom-properties" xmlns:vt="http://schemas.openxmlformats.org/officeDocument/2006/docPropsVTypes"/>
</file>