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
    <w:p/>
    <w:p/>
    <w:p/>
    <w:p/>
    <w:p>
      <w:pPr>
        <w:spacing w:before="0" w:after="80"/>
        <w:jc w:val="center"/>
      </w:pPr>
      <w:r>
        <w:rPr>
          <w:rFonts w:ascii="Garamond" w:cs="Garamond" w:eastAsia="Garamond" w:hAnsi="Garamond"/>
          <w:b/>
          <w:bCs/>
          <w:color w:val="1A1510"/>
          <w:spacing w:val="200"/>
          <w:sz w:val="52"/>
          <w:szCs w:val="52"/>
        </w:rPr>
        <w:t xml:space="preserve">ABU ORACLE</w:t>
      </w:r>
    </w:p>
    <w:p>
      <w:pPr>
        <w:spacing w:before="0" w:after="60"/>
        <w:jc w:val="center"/>
      </w:pPr>
      <w:r>
        <w:rPr>
          <w:rFonts w:ascii="Garamond" w:cs="Garamond" w:eastAsia="Garamond" w:hAnsi="Garamond"/>
          <w:i/>
          <w:iCs/>
          <w:color w:val="8B6F47"/>
          <w:sz w:val="28"/>
          <w:szCs w:val="28"/>
        </w:rPr>
        <w:t xml:space="preserve">Canonical Communication Reference</w:t>
      </w:r>
    </w:p>
    <w:p>
      <w:pPr>
        <w:spacing w:before="0" w:after="400"/>
        <w:jc w:val="center"/>
      </w:pPr>
      <w:r>
        <w:rPr>
          <w:rFonts w:ascii="Garamond" w:cs="Garamond" w:eastAsia="Garamond" w:hAnsi="Garamond"/>
          <w:color w:val="6B5A42"/>
          <w:sz w:val="20"/>
          <w:szCs w:val="20"/>
        </w:rPr>
        <w:t xml:space="preserve">Version 1.0  ·  March 2026</w:t>
      </w:r>
    </w:p>
    <w:p>
      <w:pPr>
        <w:pBdr>
          <w:bottom w:val="single" w:color="8B6F47" w:sz="4" w:space="1"/>
        </w:pBdr>
        <w:spacing w:before="160" w:after="160"/>
      </w:pPr>
    </w:p>
    <w:p>
      <w:pPr>
        <w:spacing w:before="200" w:after="200"/>
        <w:jc w:val="center"/>
      </w:pPr>
      <w:r>
        <w:rPr>
          <w:rFonts w:ascii="Garamond" w:cs="Garamond" w:eastAsia="Garamond" w:hAnsi="Garamond"/>
          <w:i/>
          <w:iCs/>
          <w:color w:val="1A1510"/>
          <w:sz w:val="22"/>
          <w:szCs w:val="22"/>
        </w:rPr>
        <w:t xml:space="preserve">A computational system that reveals the invisible geometry of the celestial field — the terrain of possibility underlying every life trajectory.</w:t>
      </w:r>
    </w:p>
    <w:p>
      <w:pPr>
        <w:pBdr>
          <w:bottom w:val="single" w:color="8B6F47" w:sz="4" w:space="1"/>
        </w:pBdr>
        <w:spacing w:before="160" w:after="160"/>
      </w:pPr>
    </w:p>
    <w:p/>
    <w:p/>
    <w:p/>
    <w:p/>
    <w:p>
      <w:r>
        <w:br/>
      </w:r>
    </w:p>
    <w:p>
      <w:pPr>
        <w:pStyle w:val="Heading1"/>
        <w:spacing w:before="360" w:after="120"/>
        <w:jc w:val="center"/>
      </w:pPr>
      <w:r>
        <w:rPr>
          <w:rFonts w:ascii="Garamond" w:cs="Garamond" w:eastAsia="Garamond" w:hAnsi="Garamond"/>
          <w:b/>
          <w:bCs/>
          <w:color w:val="1A1510"/>
          <w:spacing w:val="120"/>
          <w:sz w:val="28"/>
          <w:szCs w:val="28"/>
        </w:rPr>
        <w:t xml:space="preserve">0. PURPOSE OF THIS DOCUMENT</w:t>
      </w:r>
    </w:p>
    <w:p>
      <w:pPr>
        <w:pBdr>
          <w:bottom w:val="single" w:color="C9A96E" w:sz="2" w:space="1"/>
        </w:pBdr>
        <w:spacing w:before="80" w:after="80"/>
      </w:pPr>
    </w:p>
    <w:p/>
    <w:p>
      <w:pPr>
        <w:spacing w:before="0" w:after="120"/>
        <w:jc w:val="both"/>
      </w:pPr>
      <w:r>
        <w:rPr>
          <w:rFonts w:ascii="Garamond" w:cs="Garamond" w:eastAsia="Garamond" w:hAnsi="Garamond"/>
          <w:color w:val="1A1510"/>
          <w:sz w:val="22"/>
          <w:szCs w:val="22"/>
        </w:rPr>
        <w:t xml:space="preserve">This document is the canonical reference for all public communication about Abu Oracle. It establishes the unified conceptual framework, official terminology, authorised analogies, and system boundaries.</w:t>
      </w:r>
    </w:p>
    <w:p>
      <w:pPr>
        <w:spacing w:before="0" w:after="120"/>
        <w:jc w:val="both"/>
      </w:pPr>
      <w:r>
        <w:rPr>
          <w:rFonts w:ascii="Garamond" w:cs="Garamond" w:eastAsia="Garamond" w:hAnsi="Garamond"/>
          <w:color w:val="1A1510"/>
          <w:sz w:val="22"/>
          <w:szCs w:val="22"/>
        </w:rPr>
        <w:t xml:space="preserve">It is built from three integrated sources:</w:t>
      </w:r>
    </w:p>
    <w:p>
      <w:pPr>
        <w:pStyle w:val="ListParagraph"/>
        <w:numPr>
          <w:ilvl w:val="0"/>
          <w:numId w:val="2"/>
        </w:numPr>
        <w:spacing w:before="60" w:after="60"/>
      </w:pPr>
      <w:r>
        <w:rPr>
          <w:rFonts w:ascii="Garamond" w:cs="Garamond" w:eastAsia="Garamond" w:hAnsi="Garamond"/>
          <w:color w:val="1A1510"/>
          <w:sz w:val="22"/>
          <w:szCs w:val="22"/>
        </w:rPr>
        <w:t xml:space="preserve">The Axiomatics of Heavens v0.4 — the epistemological foundation of the system.</w:t>
      </w:r>
    </w:p>
    <w:p>
      <w:pPr>
        <w:pStyle w:val="ListParagraph"/>
        <w:numPr>
          <w:ilvl w:val="0"/>
          <w:numId w:val="2"/>
        </w:numPr>
        <w:spacing w:before="60" w:after="60"/>
      </w:pPr>
      <w:r>
        <w:rPr>
          <w:rFonts w:ascii="Garamond" w:cs="Garamond" w:eastAsia="Garamond" w:hAnsi="Garamond"/>
          <w:color w:val="1A1510"/>
          <w:sz w:val="22"/>
          <w:szCs w:val="22"/>
        </w:rPr>
        <w:t xml:space="preserve">The geometric analogy of the normals field — a bridge between differential geometry and the celestial field.</w:t>
      </w:r>
    </w:p>
    <w:p>
      <w:pPr>
        <w:pStyle w:val="ListParagraph"/>
        <w:numPr>
          <w:ilvl w:val="0"/>
          <w:numId w:val="2"/>
        </w:numPr>
        <w:spacing w:before="60" w:after="60"/>
      </w:pPr>
      <w:r>
        <w:rPr>
          <w:rFonts w:ascii="Garamond" w:cs="Garamond" w:eastAsia="Garamond" w:hAnsi="Garamond"/>
          <w:color w:val="1A1510"/>
          <w:sz w:val="22"/>
          <w:szCs w:val="22"/>
        </w:rPr>
        <w:t xml:space="preserve">The compatibility analysis with Matriz del Destino — positioning the system relative to adjacent audiences.</w:t>
      </w:r>
    </w:p>
    <w:p/>
    <w:p>
      <w:pPr>
        <w:spacing w:before="0" w:after="120"/>
        <w:jc w:val="both"/>
      </w:pPr>
      <w:r>
        <w:rPr>
          <w:rFonts w:ascii="Garamond" w:cs="Garamond" w:eastAsia="Garamond" w:hAnsi="Garamond"/>
          <w:color w:val="1A1510"/>
          <w:sz w:val="22"/>
          <w:szCs w:val="22"/>
        </w:rPr>
        <w:t xml:space="preserve">All communication materials — Twitter/X threads, Instagram posts, articles, explainer videos — must be consistent with the framework established here.</w:t>
      </w:r>
    </w:p>
    <w:p>
      <w:r>
        <w:br/>
      </w:r>
    </w:p>
    <w:p>
      <w:pPr>
        <w:pStyle w:val="Heading1"/>
        <w:spacing w:before="360" w:after="120"/>
        <w:jc w:val="center"/>
      </w:pPr>
      <w:r>
        <w:rPr>
          <w:rFonts w:ascii="Garamond" w:cs="Garamond" w:eastAsia="Garamond" w:hAnsi="Garamond"/>
          <w:b/>
          <w:bCs/>
          <w:color w:val="1A1510"/>
          <w:spacing w:val="120"/>
          <w:sz w:val="28"/>
          <w:szCs w:val="28"/>
        </w:rPr>
        <w:t xml:space="preserve">I. WHAT ABU ORACLE IS</w:t>
      </w:r>
    </w:p>
    <w:p>
      <w:pPr>
        <w:pBdr>
          <w:bottom w:val="single" w:color="C9A96E" w:sz="2" w:space="1"/>
        </w:pBdr>
        <w:spacing w:before="80" w:after="80"/>
      </w:pPr>
    </w:p>
    <w:p/>
    <w:p>
      <w:pPr>
        <w:pStyle w:val="Heading2"/>
        <w:spacing w:before="280" w:after="100"/>
      </w:pPr>
      <w:r>
        <w:rPr>
          <w:rFonts w:ascii="Garamond" w:cs="Garamond" w:eastAsia="Garamond" w:hAnsi="Garamond"/>
          <w:b/>
          <w:bCs/>
          <w:color w:val="8B6F47"/>
          <w:sz w:val="22"/>
          <w:szCs w:val="22"/>
        </w:rPr>
        <w:t xml:space="preserve">1.1 Core definition</w:t>
      </w:r>
    </w:p>
    <w:p>
      <w:pPr>
        <w:spacing w:before="0" w:after="120"/>
        <w:jc w:val="both"/>
      </w:pPr>
      <w:r>
        <w:rPr>
          <w:rFonts w:ascii="Garamond" w:cs="Garamond" w:eastAsia="Garamond" w:hAnsi="Garamond"/>
          <w:color w:val="1A1510"/>
          <w:sz w:val="22"/>
          <w:szCs w:val="22"/>
        </w:rPr>
        <w:t xml:space="preserve">Abu Oracle is a computational astrology engine that calculates, for any natal chart, a geographic scalar field called the Harmony Field (HF). This field assigns a numerical value to every coordinate on Earth and answers the question: where are the structural conditions most favourable for a specific life domain of this person?</w:t>
      </w:r>
    </w:p>
    <w:p>
      <w:pPr>
        <w:spacing w:before="0" w:after="120"/>
        <w:jc w:val="both"/>
      </w:pPr>
      <w:r>
        <w:rPr>
          <w:rFonts w:ascii="Garamond" w:cs="Garamond" w:eastAsia="Garamond" w:hAnsi="Garamond"/>
          <w:color w:val="1A1510"/>
          <w:sz w:val="22"/>
          <w:szCs w:val="22"/>
        </w:rPr>
        <w:t xml:space="preserve">The system does not predict. It does not divine. It maps terrain — the geometry of the natal potential projected onto the surface of the planet.</w:t>
      </w:r>
    </w:p>
    <w:p>
      <w:pPr>
        <w:pStyle w:val="Heading2"/>
        <w:spacing w:before="280" w:after="100"/>
      </w:pPr>
      <w:r>
        <w:rPr>
          <w:rFonts w:ascii="Garamond" w:cs="Garamond" w:eastAsia="Garamond" w:hAnsi="Garamond"/>
          <w:b/>
          <w:bCs/>
          <w:color w:val="8B6F47"/>
          <w:sz w:val="22"/>
          <w:szCs w:val="22"/>
        </w:rPr>
        <w:t xml:space="preserve">1.2 The name</w:t>
      </w:r>
    </w:p>
    <w:p>
      <w:pPr>
        <w:spacing w:before="0" w:after="120"/>
        <w:jc w:val="both"/>
      </w:pPr>
      <w:r>
        <w:rPr>
          <w:rFonts w:ascii="Garamond" w:cs="Garamond" w:eastAsia="Garamond" w:hAnsi="Garamond"/>
          <w:color w:val="1A1510"/>
          <w:sz w:val="22"/>
          <w:szCs w:val="22"/>
        </w:rPr>
        <w:t xml:space="preserve">Abu Oracle is named after Abu Mashar al-Balkhi (787–886 CE), the Persian medieval astronomer and mathematician who systematised Arab astrology and established its astronomical foundations. The choice signals the intellectual tradition the system inhabits: mathematical rigour applied to the interpretation of the sky.</w:t>
      </w:r>
    </w:p>
    <w:p>
      <w:pPr>
        <w:pStyle w:val="Heading2"/>
        <w:spacing w:before="280" w:after="100"/>
      </w:pPr>
      <w:r>
        <w:rPr>
          <w:rFonts w:ascii="Garamond" w:cs="Garamond" w:eastAsia="Garamond" w:hAnsi="Garamond"/>
          <w:b/>
          <w:bCs/>
          <w:color w:val="8B6F47"/>
          <w:sz w:val="22"/>
          <w:szCs w:val="22"/>
        </w:rPr>
        <w:t xml:space="preserve">1.3 What the system does</w:t>
      </w:r>
    </w:p>
    <w:p>
      <w:pPr>
        <w:pStyle w:val="ListParagraph"/>
        <w:numPr>
          <w:ilvl w:val="0"/>
          <w:numId w:val="3"/>
        </w:numPr>
        <w:spacing w:before="60" w:after="60"/>
      </w:pPr>
      <w:r>
        <w:rPr>
          <w:rFonts w:ascii="Garamond" w:cs="Garamond" w:eastAsia="Garamond" w:hAnsi="Garamond"/>
          <w:color w:val="1A1510"/>
          <w:sz w:val="22"/>
          <w:szCs w:val="22"/>
        </w:rPr>
        <w:t xml:space="preserve">Computes the natal chart with topocentric precision (Swiss Ephemeris DE440s, Placidus houses).</w:t>
      </w:r>
    </w:p>
    <w:p>
      <w:pPr>
        <w:pStyle w:val="ListParagraph"/>
        <w:numPr>
          <w:ilvl w:val="0"/>
          <w:numId w:val="3"/>
        </w:numPr>
        <w:spacing w:before="60" w:after="60"/>
      </w:pPr>
      <w:r>
        <w:rPr>
          <w:rFonts w:ascii="Garamond" w:cs="Garamond" w:eastAsia="Garamond" w:hAnsi="Garamond"/>
          <w:color w:val="1A1510"/>
          <w:sz w:val="22"/>
          <w:szCs w:val="22"/>
        </w:rPr>
        <w:t xml:space="preserve">Generates a scalar HF over a global 5° × 5° grid (~2,400 points).</w:t>
      </w:r>
    </w:p>
    <w:p>
      <w:pPr>
        <w:pStyle w:val="ListParagraph"/>
        <w:numPr>
          <w:ilvl w:val="0"/>
          <w:numId w:val="3"/>
        </w:numPr>
        <w:spacing w:before="60" w:after="60"/>
      </w:pPr>
      <w:r>
        <w:rPr>
          <w:rFonts w:ascii="Garamond" w:cs="Garamond" w:eastAsia="Garamond" w:hAnsi="Garamond"/>
          <w:color w:val="1A1510"/>
          <w:sz w:val="22"/>
          <w:szCs w:val="22"/>
        </w:rPr>
        <w:t xml:space="preserve">Filters that field by life domain using the planetary significators of the corresponding house.</w:t>
      </w:r>
    </w:p>
    <w:p>
      <w:pPr>
        <w:pStyle w:val="ListParagraph"/>
        <w:numPr>
          <w:ilvl w:val="0"/>
          <w:numId w:val="3"/>
        </w:numPr>
        <w:spacing w:before="60" w:after="60"/>
      </w:pPr>
      <w:r>
        <w:rPr>
          <w:rFonts w:ascii="Garamond" w:cs="Garamond" w:eastAsia="Garamond" w:hAnsi="Garamond"/>
          <w:color w:val="1A1510"/>
          <w:sz w:val="22"/>
          <w:szCs w:val="22"/>
        </w:rPr>
        <w:t xml:space="preserve">Renders the result as an interactive geographic heatmap.</w:t>
      </w:r>
    </w:p>
    <w:p>
      <w:pPr>
        <w:pStyle w:val="ListParagraph"/>
        <w:numPr>
          <w:ilvl w:val="0"/>
          <w:numId w:val="3"/>
        </w:numPr>
        <w:spacing w:before="60" w:after="60"/>
      </w:pPr>
      <w:r>
        <w:rPr>
          <w:rFonts w:ascii="Garamond" w:cs="Garamond" w:eastAsia="Garamond" w:hAnsi="Garamond"/>
          <w:color w:val="1A1510"/>
          <w:sz w:val="22"/>
          <w:szCs w:val="22"/>
        </w:rPr>
        <w:t xml:space="preserve">Provides textual interpretation via Lilly, the system's LLM agent.</w:t>
      </w:r>
    </w:p>
    <w:p>
      <w:pPr>
        <w:pStyle w:val="Heading2"/>
        <w:spacing w:before="280" w:after="100"/>
      </w:pPr>
      <w:r>
        <w:rPr>
          <w:rFonts w:ascii="Garamond" w:cs="Garamond" w:eastAsia="Garamond" w:hAnsi="Garamond"/>
          <w:b/>
          <w:bCs/>
          <w:color w:val="8B6F47"/>
          <w:sz w:val="22"/>
          <w:szCs w:val="22"/>
        </w:rPr>
        <w:t xml:space="preserve">1.4 What the system does not do</w:t>
      </w:r>
    </w:p>
    <w:p>
      <w:pPr>
        <w:pStyle w:val="ListParagraph"/>
        <w:numPr>
          <w:ilvl w:val="0"/>
          <w:numId w:val="3"/>
        </w:numPr>
        <w:spacing w:before="60" w:after="60"/>
      </w:pPr>
      <w:r>
        <w:rPr>
          <w:rFonts w:ascii="Garamond" w:cs="Garamond" w:eastAsia="Garamond" w:hAnsi="Garamond"/>
          <w:color w:val="1A1510"/>
          <w:sz w:val="22"/>
          <w:szCs w:val="22"/>
        </w:rPr>
        <w:t xml:space="preserve">Does not predict specific events.</w:t>
      </w:r>
    </w:p>
    <w:p>
      <w:pPr>
        <w:pStyle w:val="ListParagraph"/>
        <w:numPr>
          <w:ilvl w:val="0"/>
          <w:numId w:val="3"/>
        </w:numPr>
        <w:spacing w:before="60" w:after="60"/>
      </w:pPr>
      <w:r>
        <w:rPr>
          <w:rFonts w:ascii="Garamond" w:cs="Garamond" w:eastAsia="Garamond" w:hAnsi="Garamond"/>
          <w:color w:val="1A1510"/>
          <w:sz w:val="22"/>
          <w:szCs w:val="22"/>
        </w:rPr>
        <w:t xml:space="preserve">Does not guarantee outcomes at any location.</w:t>
      </w:r>
    </w:p>
    <w:p>
      <w:pPr>
        <w:pStyle w:val="ListParagraph"/>
        <w:numPr>
          <w:ilvl w:val="0"/>
          <w:numId w:val="3"/>
        </w:numPr>
        <w:spacing w:before="60" w:after="60"/>
      </w:pPr>
      <w:r>
        <w:rPr>
          <w:rFonts w:ascii="Garamond" w:cs="Garamond" w:eastAsia="Garamond" w:hAnsi="Garamond"/>
          <w:color w:val="1A1510"/>
          <w:sz w:val="22"/>
          <w:szCs w:val="22"/>
        </w:rPr>
        <w:t xml:space="preserve">Does not synthesise incompatible astrological traditions.</w:t>
      </w:r>
    </w:p>
    <w:p>
      <w:pPr>
        <w:pBdr>
          <w:top w:val="single" w:color="8B6F47" w:sz="6" w:space="4"/>
          <w:bottom w:val="single" w:color="8B6F47" w:sz="6" w:space="4"/>
        </w:pBdr>
        <w:spacing w:before="200" w:after="200"/>
        <w:ind w:left="1440" w:right="1440"/>
        <w:jc w:val="center"/>
      </w:pPr>
      <w:r>
        <w:rPr>
          <w:rFonts w:ascii="Garamond" w:cs="Garamond" w:eastAsia="Garamond" w:hAnsi="Garamond"/>
          <w:i/>
          <w:iCs/>
          <w:color w:val="1A1510"/>
          <w:sz w:val="24"/>
          <w:szCs w:val="24"/>
        </w:rPr>
        <w:t xml:space="preserve">"The system does not say: you will succeed here. It says: here the principles governing your domain find greater resonance."</w:t>
      </w:r>
    </w:p>
    <w:p>
      <w:pPr>
        <w:spacing w:before="0" w:after="120"/>
        <w:jc w:val="both"/>
      </w:pPr>
      <w:r>
        <w:rPr>
          <w:rFonts w:ascii="Garamond" w:cs="Garamond" w:eastAsia="Garamond" w:hAnsi="Garamond"/>
          <w:i/>
          <w:iCs/>
          <w:color w:val="6B5A42"/>
          <w:sz w:val="22"/>
          <w:szCs w:val="22"/>
        </w:rPr>
        <w:t xml:space="preserve">— Axiomatics of Heavens v0.4, Axiom 9.2</w:t>
      </w:r>
    </w:p>
    <w:p>
      <w:r>
        <w:br/>
      </w:r>
    </w:p>
    <w:p>
      <w:pPr>
        <w:pStyle w:val="Heading1"/>
        <w:spacing w:before="360" w:after="120"/>
        <w:jc w:val="center"/>
      </w:pPr>
      <w:r>
        <w:rPr>
          <w:rFonts w:ascii="Garamond" w:cs="Garamond" w:eastAsia="Garamond" w:hAnsi="Garamond"/>
          <w:b/>
          <w:bCs/>
          <w:color w:val="1A1510"/>
          <w:spacing w:val="120"/>
          <w:sz w:val="28"/>
          <w:szCs w:val="28"/>
        </w:rPr>
        <w:t xml:space="preserve">II. THE GEOMETRY OF THE CELESTIAL FIELD</w:t>
      </w:r>
    </w:p>
    <w:p>
      <w:pPr>
        <w:pBdr>
          <w:bottom w:val="single" w:color="C9A96E" w:sz="2" w:space="1"/>
        </w:pBdr>
        <w:spacing w:before="80" w:after="80"/>
      </w:pPr>
    </w:p>
    <w:p/>
    <w:p>
      <w:pPr>
        <w:spacing w:before="0" w:after="120"/>
        <w:jc w:val="both"/>
      </w:pPr>
      <w:r>
        <w:rPr>
          <w:rFonts w:ascii="Garamond" w:cs="Garamond" w:eastAsia="Garamond" w:hAnsi="Garamond"/>
          <w:color w:val="1A1510"/>
          <w:sz w:val="22"/>
          <w:szCs w:val="22"/>
        </w:rPr>
        <w:t xml:space="preserve">Abu Oracle's conceptual framework is built on an analogy with the differential geometry of illumination. This analogy is not decorative — it is structurally precise.</w:t>
      </w:r>
    </w:p>
    <w:p>
      <w:pPr>
        <w:pStyle w:val="Heading2"/>
        <w:spacing w:before="280" w:after="100"/>
      </w:pPr>
      <w:r>
        <w:rPr>
          <w:rFonts w:ascii="Garamond" w:cs="Garamond" w:eastAsia="Garamond" w:hAnsi="Garamond"/>
          <w:b/>
          <w:bCs/>
          <w:color w:val="8B6F47"/>
          <w:sz w:val="22"/>
          <w:szCs w:val="22"/>
        </w:rPr>
        <w:t xml:space="preserve">2.1 The normals field in optics</w:t>
      </w:r>
    </w:p>
    <w:p>
      <w:pPr>
        <w:spacing w:before="0" w:after="120"/>
        <w:jc w:val="both"/>
      </w:pPr>
      <w:r>
        <w:rPr>
          <w:rFonts w:ascii="Garamond" w:cs="Garamond" w:eastAsia="Garamond" w:hAnsi="Garamond"/>
          <w:color w:val="1A1510"/>
          <w:sz w:val="22"/>
          <w:szCs w:val="22"/>
        </w:rPr>
        <w:t xml:space="preserve">For every surface there exists a field of normals: the vector perpendicular to the surface at each point. This field is invisible to the eye, yet it is the fundamental quantity on which all illumination depends. Light does not interact with shape directly — it interacts with the local orientation of the surface.</w:t>
      </w:r>
    </w:p>
    <w:p>
      <w:pPr>
        <w:spacing w:before="0" w:after="120"/>
        <w:jc w:val="both"/>
      </w:pPr>
      <w:r>
        <w:rPr>
          <w:rFonts w:ascii="Garamond" w:cs="Garamond" w:eastAsia="Garamond" w:hAnsi="Garamond"/>
          <w:color w:val="1A1510"/>
          <w:sz w:val="22"/>
          <w:szCs w:val="22"/>
        </w:rPr>
        <w:t xml:space="preserve">The normals field is recovered computationally as the gradient of the depth field in two orthogonal directions:</w:t>
      </w:r>
    </w:p>
    <w:p>
      <w:pPr>
        <w:spacing w:before="0" w:after="60"/>
      </w:pPr>
      <w:r>
        <w:rPr>
          <w:rFonts w:ascii="Courier New" w:cs="Courier New" w:eastAsia="Courier New" w:hAnsi="Courier New"/>
          <w:color w:val="6B5A42"/>
          <w:spacing w:val="80"/>
          <w:sz w:val="16"/>
          <w:szCs w:val="16"/>
        </w:rPr>
        <w:t xml:space="preserve">GLSL — RECOVERY OF THE NORMALS FIELD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C9A96E" w:sz="4"/>
              <w:left w:val="single" w:color="C9A96E" w:sz="4"/>
              <w:bottom w:val="single" w:color="C9A96E" w:sz="4"/>
              <w:right w:val="single" w:color="C9A96E" w:sz="4"/>
            </w:tcBorders>
            <w:shd w:fill="EDE8DC" w:val="clear"/>
            <w:tcMar>
              <w:top w:type="dxa" w:w="140"/>
              <w:left w:type="dxa" w:w="200"/>
              <w:bottom w:type="dxa" w:w="140"/>
              <w:right w:type="dxa" w:w="200"/>
            </w:tcMar>
          </w:tcPr>
          <w:p>
            <w:pPr>
              <w:spacing w:before="0" w:after="40"/>
            </w:pPr>
            <w:r>
              <w:rPr>
                <w:rFonts w:ascii="Courier New" w:cs="Courier New" w:eastAsia="Courier New" w:hAnsi="Courier New"/>
                <w:color w:val="1A1510"/>
                <w:sz w:val="18"/>
                <w:szCs w:val="18"/>
              </w:rPr>
              <w:t xml:space="preserve">vec3 getNormal(vec2 uv) {</w:t>
            </w:r>
          </w:p>
          <w:p>
            <w:pPr>
              <w:spacing w:before="0" w:after="40"/>
            </w:pPr>
            <w:r>
              <w:rPr>
                <w:rFonts w:ascii="Courier New" w:cs="Courier New" w:eastAsia="Courier New" w:hAnsi="Courier New"/>
                <w:color w:val="1A1510"/>
                <w:sz w:val="18"/>
                <w:szCs w:val="18"/>
              </w:rPr>
              <w:t xml:space="preserve">  vec2 texel = 1.0 / uResolution;</w:t>
            </w:r>
          </w:p>
          <w:p>
            <w:pPr>
              <w:spacing w:before="0" w:after="40"/>
            </w:pPr>
            <w:r>
              <w:rPr>
                <w:rFonts w:ascii="Courier New" w:cs="Courier New" w:eastAsia="Courier New" w:hAnsi="Courier New"/>
                <w:color w:val="1A1510"/>
                <w:sz w:val="18"/>
                <w:szCs w:val="18"/>
              </w:rPr>
              <w:t xml:space="preserve">  float dL = texture2D(depth, uv - vec2(texel.x, 0.0)).r;</w:t>
            </w:r>
          </w:p>
          <w:p>
            <w:pPr>
              <w:spacing w:before="0" w:after="40"/>
            </w:pPr>
            <w:r>
              <w:rPr>
                <w:rFonts w:ascii="Courier New" w:cs="Courier New" w:eastAsia="Courier New" w:hAnsi="Courier New"/>
                <w:color w:val="1A1510"/>
                <w:sz w:val="18"/>
                <w:szCs w:val="18"/>
              </w:rPr>
              <w:t xml:space="preserve">  float dR = texture2D(depth, uv + vec2(texel.x, 0.0)).r;</w:t>
            </w:r>
          </w:p>
          <w:p>
            <w:pPr>
              <w:spacing w:before="0" w:after="40"/>
            </w:pPr>
            <w:r>
              <w:rPr>
                <w:rFonts w:ascii="Courier New" w:cs="Courier New" w:eastAsia="Courier New" w:hAnsi="Courier New"/>
                <w:color w:val="1A1510"/>
                <w:sz w:val="18"/>
                <w:szCs w:val="18"/>
              </w:rPr>
              <w:t xml:space="preserve">  float dD = texture2D(depth, uv - vec2(0.0, texel.y)).r;</w:t>
            </w:r>
          </w:p>
          <w:p>
            <w:pPr>
              <w:spacing w:before="0" w:after="40"/>
            </w:pPr>
            <w:r>
              <w:rPr>
                <w:rFonts w:ascii="Courier New" w:cs="Courier New" w:eastAsia="Courier New" w:hAnsi="Courier New"/>
                <w:color w:val="1A1510"/>
                <w:sz w:val="18"/>
                <w:szCs w:val="18"/>
              </w:rPr>
              <w:t xml:space="preserve">  float dU = texture2D(depth, uv + vec2(0.0, texel.y)).r;</w:t>
            </w:r>
          </w:p>
          <w:p>
            <w:pPr>
              <w:spacing w:before="0" w:after="40"/>
            </w:pPr>
            <w:r>
              <w:rPr>
                <w:rFonts w:ascii="Courier New" w:cs="Courier New" w:eastAsia="Courier New" w:hAnsi="Courier New"/>
                <w:color w:val="1A1510"/>
                <w:sz w:val="18"/>
                <w:szCs w:val="18"/>
              </w:rPr>
              <w:t xml:space="preserve">  return normalize(vec3(</w:t>
            </w:r>
          </w:p>
          <w:p>
            <w:pPr>
              <w:spacing w:before="0" w:after="40"/>
            </w:pPr>
            <w:r>
              <w:rPr>
                <w:rFonts w:ascii="Courier New" w:cs="Courier New" w:eastAsia="Courier New" w:hAnsi="Courier New"/>
                <w:color w:val="1A1510"/>
                <w:sz w:val="18"/>
                <w:szCs w:val="18"/>
              </w:rPr>
              <w:t xml:space="preserve">    (dL - dR) * scale,   // east-west gradient</w:t>
            </w:r>
          </w:p>
          <w:p>
            <w:pPr>
              <w:spacing w:before="0" w:after="40"/>
            </w:pPr>
            <w:r>
              <w:rPr>
                <w:rFonts w:ascii="Courier New" w:cs="Courier New" w:eastAsia="Courier New" w:hAnsi="Courier New"/>
                <w:color w:val="1A1510"/>
                <w:sz w:val="18"/>
                <w:szCs w:val="18"/>
              </w:rPr>
              <w:t xml:space="preserve">    (dD - dU) * scale,   // north-south gradient</w:t>
            </w:r>
          </w:p>
          <w:p>
            <w:pPr>
              <w:spacing w:before="0" w:after="40"/>
            </w:pPr>
            <w:r>
              <w:rPr>
                <w:rFonts w:ascii="Courier New" w:cs="Courier New" w:eastAsia="Courier New" w:hAnsi="Courier New"/>
                <w:color w:val="1A1510"/>
                <w:sz w:val="18"/>
                <w:szCs w:val="18"/>
              </w:rPr>
              <w:t xml:space="preserve">    1.0</w:t>
            </w:r>
          </w:p>
          <w:p>
            <w:pPr>
              <w:spacing w:before="0" w:after="40"/>
            </w:pPr>
            <w:r>
              <w:rPr>
                <w:rFonts w:ascii="Courier New" w:cs="Courier New" w:eastAsia="Courier New" w:hAnsi="Courier New"/>
                <w:color w:val="1A1510"/>
                <w:sz w:val="18"/>
                <w:szCs w:val="18"/>
              </w:rPr>
              <w:t xml:space="preserve">  ));</w:t>
            </w:r>
          </w:p>
          <w:p>
            <w:pPr>
              <w:spacing w:before="0" w:after="40"/>
            </w:pPr>
            <w:r>
              <w:rPr>
                <w:rFonts w:ascii="Courier New" w:cs="Courier New" w:eastAsia="Courier New" w:hAnsi="Courier New"/>
                <w:color w:val="1A1510"/>
                <w:sz w:val="18"/>
                <w:szCs w:val="18"/>
              </w:rPr>
              <w:t xml:space="preserve">}</w:t>
            </w:r>
          </w:p>
        </w:tc>
      </w:tr>
    </w:tbl>
    <w:p>
      <w:pPr>
        <w:pStyle w:val="Heading2"/>
        <w:spacing w:before="280" w:after="100"/>
      </w:pPr>
      <w:r>
        <w:rPr>
          <w:rFonts w:ascii="Garamond" w:cs="Garamond" w:eastAsia="Garamond" w:hAnsi="Garamond"/>
          <w:b/>
          <w:bCs/>
          <w:color w:val="8B6F47"/>
          <w:sz w:val="22"/>
          <w:szCs w:val="22"/>
        </w:rPr>
        <w:t xml:space="preserve">2.2 The natal chart as depth field</w:t>
      </w:r>
    </w:p>
    <w:p>
      <w:pPr>
        <w:spacing w:before="0" w:after="120"/>
        <w:jc w:val="both"/>
      </w:pPr>
      <w:r>
        <w:rPr>
          <w:rFonts w:ascii="Garamond" w:cs="Garamond" w:eastAsia="Garamond" w:hAnsi="Garamond"/>
          <w:color w:val="1A1510"/>
          <w:sz w:val="22"/>
          <w:szCs w:val="22"/>
        </w:rPr>
        <w:t xml:space="preserve">A natal chart is a computable projection of the state of the solar system at the moment and place of birth. Formally, it is a function π : ℋ → ℝⁿ parametrised by the observer's spatiotemporal coordinates.</w:t>
      </w:r>
    </w:p>
    <w:p>
      <w:pPr>
        <w:spacing w:before="0" w:after="120"/>
        <w:jc w:val="both"/>
      </w:pPr>
      <w:r>
        <w:rPr>
          <w:rFonts w:ascii="Garamond" w:cs="Garamond" w:eastAsia="Garamond" w:hAnsi="Garamond"/>
          <w:color w:val="1A1510"/>
          <w:sz w:val="22"/>
          <w:szCs w:val="22"/>
        </w:rPr>
        <w:t xml:space="preserve">But the chart computed at its natal location is only the depth map. It records the scalar value at a single point. It does not yet reveal the field — only one measurement of it.</w:t>
      </w:r>
    </w:p>
    <w:p>
      <w:pPr>
        <w:pStyle w:val="Heading2"/>
        <w:spacing w:before="280" w:after="100"/>
      </w:pPr>
      <w:r>
        <w:rPr>
          <w:rFonts w:ascii="Garamond" w:cs="Garamond" w:eastAsia="Garamond" w:hAnsi="Garamond"/>
          <w:b/>
          <w:bCs/>
          <w:color w:val="8B6F47"/>
          <w:sz w:val="22"/>
          <w:szCs w:val="22"/>
        </w:rPr>
        <w:t xml:space="preserve">2.3 The Harmony Field as the normals field</w:t>
      </w:r>
    </w:p>
    <w:p>
      <w:pPr>
        <w:spacing w:before="0" w:after="120"/>
        <w:jc w:val="both"/>
      </w:pPr>
      <w:r>
        <w:rPr>
          <w:rFonts w:ascii="Garamond" w:cs="Garamond" w:eastAsia="Garamond" w:hAnsi="Garamond"/>
          <w:color w:val="1A1510"/>
          <w:sz w:val="22"/>
          <w:szCs w:val="22"/>
        </w:rPr>
        <w:t xml:space="preserve">Relocation is differentiation. When the observer moves across the Earth's surface, the Ascendant rotates, the Midheaven shifts, the houses reorganise. The natal planets, fixed in position, begin to speak differently at every new horizon. The Harmony Field is the normals field recovered from this process:</w:t>
      </w:r>
    </w:p>
    <w:p>
      <w:pPr>
        <w:spacing w:before="0" w:after="60"/>
      </w:pPr>
      <w:r>
        <w:rPr>
          <w:rFonts w:ascii="Courier New" w:cs="Courier New" w:eastAsia="Courier New" w:hAnsi="Courier New"/>
          <w:color w:val="6B5A42"/>
          <w:spacing w:val="80"/>
          <w:sz w:val="16"/>
          <w:szCs w:val="16"/>
        </w:rPr>
        <w:t xml:space="preserve">HARMONY FIELD — CORE EQUATION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C9A96E" w:sz="4"/>
              <w:left w:val="single" w:color="C9A96E" w:sz="4"/>
              <w:bottom w:val="single" w:color="C9A96E" w:sz="4"/>
              <w:right w:val="single" w:color="C9A96E" w:sz="4"/>
            </w:tcBorders>
            <w:shd w:fill="EDE8DC" w:val="clear"/>
            <w:tcMar>
              <w:top w:type="dxa" w:w="140"/>
              <w:left w:type="dxa" w:w="200"/>
              <w:bottom w:type="dxa" w:w="140"/>
              <w:right w:type="dxa" w:w="200"/>
            </w:tcMar>
          </w:tcPr>
          <w:p>
            <w:pPr>
              <w:spacing w:before="0" w:after="40"/>
            </w:pPr>
            <w:r>
              <w:rPr>
                <w:rFonts w:ascii="Courier New" w:cs="Courier New" w:eastAsia="Courier New" w:hAnsi="Courier New"/>
                <w:color w:val="1A1510"/>
                <w:sz w:val="18"/>
                <w:szCs w:val="18"/>
              </w:rPr>
              <w:t xml:space="preserve">HF(φ, λ) = Σ_{i&lt;j} Σ_a  w_a · exp( -(Δθ_ij - α_a)² / 2σ_a² )</w:t>
            </w:r>
          </w:p>
          <w:p>
            <w:pPr>
              <w:spacing w:before="0" w:after="40"/>
            </w:pPr>
            <w:r>
              <w:rPr>
                <w:rFonts w:ascii="Courier New" w:cs="Courier New" w:eastAsia="Courier New" w:hAnsi="Courier New"/>
                <w:color w:val="1A1510"/>
                <w:sz w:val="18"/>
                <w:szCs w:val="18"/>
              </w:rPr>
              <w:t xml:space="preserve"/>
            </w:r>
          </w:p>
          <w:p>
            <w:pPr>
              <w:spacing w:before="0" w:after="40"/>
            </w:pPr>
            <w:r>
              <w:rPr>
                <w:rFonts w:ascii="Courier New" w:cs="Courier New" w:eastAsia="Courier New" w:hAnsi="Courier New"/>
                <w:color w:val="1A1510"/>
                <w:sz w:val="18"/>
                <w:szCs w:val="18"/>
              </w:rPr>
              <w:t xml:space="preserve">where:</w:t>
            </w:r>
          </w:p>
          <w:p>
            <w:pPr>
              <w:spacing w:before="0" w:after="40"/>
            </w:pPr>
            <w:r>
              <w:rPr>
                <w:rFonts w:ascii="Courier New" w:cs="Courier New" w:eastAsia="Courier New" w:hAnsi="Courier New"/>
                <w:color w:val="1A1510"/>
                <w:sz w:val="18"/>
                <w:szCs w:val="18"/>
              </w:rPr>
              <w:t xml:space="preserve">  Δθ_ij  = minimum angular separation between planets i, j</w:t>
            </w:r>
          </w:p>
          <w:p>
            <w:pPr>
              <w:spacing w:before="0" w:after="40"/>
            </w:pPr>
            <w:r>
              <w:rPr>
                <w:rFonts w:ascii="Courier New" w:cs="Courier New" w:eastAsia="Courier New" w:hAnsi="Courier New"/>
                <w:color w:val="1A1510"/>
                <w:sz w:val="18"/>
                <w:szCs w:val="18"/>
              </w:rPr>
              <w:t xml:space="preserve">  α_a    = central angle of aspect a (0°, 60°, 90°, 120°, 180°)</w:t>
            </w:r>
          </w:p>
          <w:p>
            <w:pPr>
              <w:spacing w:before="0" w:after="40"/>
            </w:pPr>
            <w:r>
              <w:rPr>
                <w:rFonts w:ascii="Courier New" w:cs="Courier New" w:eastAsia="Courier New" w:hAnsi="Courier New"/>
                <w:color w:val="1A1510"/>
                <w:sz w:val="18"/>
                <w:szCs w:val="18"/>
              </w:rPr>
              <w:t xml:space="preserve">  σ_a    = sigma/orb per aspect</w:t>
            </w:r>
          </w:p>
          <w:p>
            <w:pPr>
              <w:spacing w:before="0" w:after="40"/>
            </w:pPr>
            <w:r>
              <w:rPr>
                <w:rFonts w:ascii="Courier New" w:cs="Courier New" w:eastAsia="Courier New" w:hAnsi="Courier New"/>
                <w:color w:val="1A1510"/>
                <w:sz w:val="18"/>
                <w:szCs w:val="18"/>
              </w:rPr>
              <w:t xml:space="preserve">  w_a    = aspect weight</w:t>
            </w:r>
          </w:p>
        </w:tc>
      </w:tr>
    </w:tbl>
    <w:p>
      <w:pPr>
        <w:pBdr>
          <w:top w:val="single" w:color="8B6F47" w:sz="6" w:space="4"/>
          <w:bottom w:val="single" w:color="8B6F47" w:sz="6" w:space="4"/>
        </w:pBdr>
        <w:spacing w:before="200" w:after="200"/>
        <w:ind w:left="1440" w:right="1440"/>
        <w:jc w:val="center"/>
      </w:pPr>
      <w:r>
        <w:rPr>
          <w:rFonts w:ascii="Garamond" w:cs="Garamond" w:eastAsia="Garamond" w:hAnsi="Garamond"/>
          <w:i/>
          <w:iCs/>
          <w:color w:val="1A1510"/>
          <w:sz w:val="24"/>
          <w:szCs w:val="24"/>
        </w:rPr>
        <w:t xml:space="preserve">The field does not predict where good things will happen. It reveals where the surface of a life turns toward the light.</w:t>
      </w:r>
    </w:p>
    <w:p>
      <w:pPr>
        <w:pStyle w:val="Heading2"/>
        <w:spacing w:before="280" w:after="100"/>
      </w:pPr>
      <w:r>
        <w:rPr>
          <w:rFonts w:ascii="Garamond" w:cs="Garamond" w:eastAsia="Garamond" w:hAnsi="Garamond"/>
          <w:b/>
          <w:bCs/>
          <w:color w:val="8B6F47"/>
          <w:sz w:val="22"/>
          <w:szCs w:val="22"/>
        </w:rPr>
        <w:t xml:space="preserve">2.4 The duality table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800"/>
        <w:gridCol w:w="600"/>
        <w:gridCol w:w="4626"/>
      </w:tblGrid>
      <w:tr>
        <w:trPr>
          <w:tblHeader/>
        </w:trPr>
        <w:tc>
          <w:tcPr>
            <w:tcW w:type="dxa" w:w="3800"/>
            <w:tcBorders>
              <w:top w:val="single" w:color="8B6F47" w:sz="4"/>
              <w:left w:val="single" w:color="8B6F47" w:sz="4"/>
              <w:bottom w:val="single" w:color="8B6F47" w:sz="4"/>
              <w:right w:val="single" w:color="8B6F47" w:sz="4"/>
            </w:tcBorders>
            <w:shd w:fill="DDD5C3" w:val="clear"/>
            <w:tcMar>
              <w:top w:type="dxa" w:w="80"/>
              <w:left w:type="dxa" w:w="120"/>
              <w:bottom w:type="dxa" w:w="80"/>
              <w:right w:type="dxa" w:w="120"/>
            </w:tcMar>
          </w:tcPr>
          <w:p>
            <w:r>
              <w:rPr>
                <w:rFonts w:ascii="Garamond" w:cs="Garamond" w:eastAsia="Garamond" w:hAnsi="Garamond"/>
                <w:b/>
                <w:bCs/>
                <w:color w:val="1A1510"/>
                <w:sz w:val="20"/>
                <w:szCs w:val="20"/>
              </w:rPr>
              <w:t xml:space="preserve">Optics / Shader</w:t>
            </w:r>
          </w:p>
        </w:tc>
        <w:tc>
          <w:tcPr>
            <w:tcW w:type="dxa" w:w="600"/>
            <w:tcBorders>
              <w:top w:val="single" w:color="8B6F47" w:sz="4"/>
              <w:left w:val="single" w:color="8B6F47" w:sz="4"/>
              <w:bottom w:val="single" w:color="8B6F47" w:sz="4"/>
              <w:right w:val="single" w:color="8B6F47" w:sz="4"/>
            </w:tcBorders>
            <w:shd w:fill="DDD5C3" w:val="clear"/>
            <w:tcMar>
              <w:top w:type="dxa" w:w="80"/>
              <w:left w:type="dxa" w:w="120"/>
              <w:bottom w:type="dxa" w:w="80"/>
              <w:right w:type="dxa" w:w="120"/>
            </w:tcMar>
          </w:tcPr>
          <w:p>
            <w:r>
              <w:rPr>
                <w:rFonts w:ascii="Garamond" w:cs="Garamond" w:eastAsia="Garamond" w:hAnsi="Garamond"/>
                <w:b/>
                <w:bCs/>
                <w:color w:val="1A1510"/>
                <w:sz w:val="20"/>
                <w:szCs w:val="20"/>
              </w:rPr>
              <w:t xml:space="preserve">↔</w:t>
            </w:r>
          </w:p>
        </w:tc>
        <w:tc>
          <w:tcPr>
            <w:tcW w:type="dxa" w:w="4626"/>
            <w:tcBorders>
              <w:top w:val="single" w:color="8B6F47" w:sz="4"/>
              <w:left w:val="single" w:color="8B6F47" w:sz="4"/>
              <w:bottom w:val="single" w:color="8B6F47" w:sz="4"/>
              <w:right w:val="single" w:color="8B6F47" w:sz="4"/>
            </w:tcBorders>
            <w:shd w:fill="DDD5C3" w:val="clear"/>
            <w:tcMar>
              <w:top w:type="dxa" w:w="80"/>
              <w:left w:type="dxa" w:w="120"/>
              <w:bottom w:type="dxa" w:w="80"/>
              <w:right w:type="dxa" w:w="120"/>
            </w:tcMar>
          </w:tcPr>
          <w:p>
            <w:r>
              <w:rPr>
                <w:rFonts w:ascii="Garamond" w:cs="Garamond" w:eastAsia="Garamond" w:hAnsi="Garamond"/>
                <w:b/>
                <w:bCs/>
                <w:color w:val="1A1510"/>
                <w:sz w:val="20"/>
                <w:szCs w:val="20"/>
              </w:rPr>
              <w:t xml:space="preserve">Abu Oracle</w:t>
            </w:r>
          </w:p>
        </w:tc>
      </w:tr>
      <w:tr>
        <w:tc>
          <w:tcPr>
            <w:tcW w:type="dxa" w:w="3800"/>
            <w:tcBorders>
              <w:top w:val="single" w:color="C9A96E" w:sz="2"/>
              <w:left w:val="single" w:color="C9A96E" w:sz="2"/>
              <w:bottom w:val="single" w:color="C9A96E" w:sz="2"/>
              <w:right w:val="single" w:color="C9A96E" w:sz="2"/>
            </w:tcBorders>
            <w:shd w:fill="F5EFE2" w:val="clear"/>
            <w:tcMar>
              <w:top w:type="dxa" w:w="80"/>
              <w:left w:type="dxa" w:w="120"/>
              <w:bottom w:type="dxa" w:w="80"/>
              <w:right w:type="dxa" w:w="120"/>
            </w:tcMar>
          </w:tcPr>
          <w:p>
            <w:r>
              <w:rPr>
                <w:rFonts w:ascii="Garamond" w:cs="Garamond" w:eastAsia="Garamond" w:hAnsi="Garamond"/>
                <w:b/>
                <w:bCs/>
                <w:i/>
                <w:iCs/>
                <w:color w:val="1A1510"/>
                <w:sz w:val="20"/>
                <w:szCs w:val="20"/>
              </w:rPr>
              <w:t xml:space="preserve">Depth field d(u,v)</w:t>
            </w:r>
          </w:p>
        </w:tc>
        <w:tc>
          <w:tcPr>
            <w:tcW w:type="dxa" w:w="600"/>
            <w:tcBorders>
              <w:top w:val="single" w:color="C9A96E" w:sz="2"/>
              <w:left w:val="single" w:color="C9A96E" w:sz="2"/>
              <w:bottom w:val="single" w:color="C9A96E" w:sz="2"/>
              <w:right w:val="single" w:color="C9A96E" w:sz="2"/>
            </w:tcBorders>
            <w:shd w:fill="F5EFE2" w:val="clear"/>
            <w:tcMar>
              <w:top w:type="dxa" w:w="80"/>
              <w:left w:type="dxa" w:w="120"/>
              <w:bottom w:type="dxa" w:w="80"/>
              <w:right w:type="dxa" w:w="120"/>
            </w:tcMar>
          </w:tcPr>
          <w:p>
            <w:r>
              <w:rPr>
                <w:rFonts w:ascii="Garamond" w:cs="Garamond" w:eastAsia="Garamond" w:hAnsi="Garamond"/>
                <w:b/>
                <w:bCs/>
                <w:i/>
                <w:iCs/>
                <w:color w:val="1A1510"/>
                <w:sz w:val="20"/>
                <w:szCs w:val="20"/>
              </w:rPr>
              <w:t xml:space="preserve">≡</w:t>
            </w:r>
          </w:p>
        </w:tc>
        <w:tc>
          <w:tcPr>
            <w:tcW w:type="dxa" w:w="4626"/>
            <w:tcBorders>
              <w:top w:val="single" w:color="C9A96E" w:sz="2"/>
              <w:left w:val="single" w:color="C9A96E" w:sz="2"/>
              <w:bottom w:val="single" w:color="C9A96E" w:sz="2"/>
              <w:right w:val="single" w:color="C9A96E" w:sz="2"/>
            </w:tcBorders>
            <w:shd w:fill="F5EFE2" w:val="clear"/>
            <w:tcMar>
              <w:top w:type="dxa" w:w="80"/>
              <w:left w:type="dxa" w:w="120"/>
              <w:bottom w:type="dxa" w:w="80"/>
              <w:right w:type="dxa" w:w="120"/>
            </w:tcMar>
          </w:tcPr>
          <w:p>
            <w:r>
              <w:rPr>
                <w:rFonts w:ascii="Garamond" w:cs="Garamond" w:eastAsia="Garamond" w:hAnsi="Garamond"/>
                <w:b/>
                <w:bCs/>
                <w:i/>
                <w:iCs/>
                <w:color w:val="1A1510"/>
                <w:sz w:val="20"/>
                <w:szCs w:val="20"/>
              </w:rPr>
              <w:t xml:space="preserve">Natal chart — fixed potential</w:t>
            </w:r>
          </w:p>
        </w:tc>
      </w:tr>
      <w:tr>
        <w:tc>
          <w:tcPr>
            <w:tcW w:type="dxa" w:w="3800"/>
            <w:tcBorders>
              <w:top w:val="single" w:color="C9A96E" w:sz="2"/>
              <w:left w:val="single" w:color="C9A96E" w:sz="2"/>
              <w:bottom w:val="single" w:color="C9A96E" w:sz="2"/>
              <w:right w:val="single" w:color="C9A96E" w:sz="2"/>
            </w:tcBorders>
            <w:shd w:fill="EDE8DC" w:val="clear"/>
            <w:tcMar>
              <w:top w:type="dxa" w:w="80"/>
              <w:left w:type="dxa" w:w="120"/>
              <w:bottom w:type="dxa" w:w="80"/>
              <w:right w:type="dxa" w:w="120"/>
            </w:tcMar>
          </w:tcPr>
          <w:p>
            <w:r>
              <w:rPr>
                <w:rFonts w:ascii="Garamond" w:cs="Garamond" w:eastAsia="Garamond" w:hAnsi="Garamond"/>
                <w:b/>
                <w:bCs/>
                <w:i/>
                <w:iCs/>
                <w:color w:val="1A1510"/>
                <w:sz w:val="20"/>
                <w:szCs w:val="20"/>
              </w:rPr>
              <w:t xml:space="preserve">Normals field n(u,v)</w:t>
            </w:r>
          </w:p>
        </w:tc>
        <w:tc>
          <w:tcPr>
            <w:tcW w:type="dxa" w:w="600"/>
            <w:tcBorders>
              <w:top w:val="single" w:color="C9A96E" w:sz="2"/>
              <w:left w:val="single" w:color="C9A96E" w:sz="2"/>
              <w:bottom w:val="single" w:color="C9A96E" w:sz="2"/>
              <w:right w:val="single" w:color="C9A96E" w:sz="2"/>
            </w:tcBorders>
            <w:shd w:fill="EDE8DC" w:val="clear"/>
            <w:tcMar>
              <w:top w:type="dxa" w:w="80"/>
              <w:left w:type="dxa" w:w="120"/>
              <w:bottom w:type="dxa" w:w="80"/>
              <w:right w:type="dxa" w:w="120"/>
            </w:tcMar>
          </w:tcPr>
          <w:p>
            <w:r>
              <w:rPr>
                <w:rFonts w:ascii="Garamond" w:cs="Garamond" w:eastAsia="Garamond" w:hAnsi="Garamond"/>
                <w:b/>
                <w:bCs/>
                <w:i/>
                <w:iCs/>
                <w:color w:val="1A1510"/>
                <w:sz w:val="20"/>
                <w:szCs w:val="20"/>
              </w:rPr>
              <w:t xml:space="preserve">≡</w:t>
            </w:r>
          </w:p>
        </w:tc>
        <w:tc>
          <w:tcPr>
            <w:tcW w:type="dxa" w:w="4626"/>
            <w:tcBorders>
              <w:top w:val="single" w:color="C9A96E" w:sz="2"/>
              <w:left w:val="single" w:color="C9A96E" w:sz="2"/>
              <w:bottom w:val="single" w:color="C9A96E" w:sz="2"/>
              <w:right w:val="single" w:color="C9A96E" w:sz="2"/>
            </w:tcBorders>
            <w:shd w:fill="EDE8DC" w:val="clear"/>
            <w:tcMar>
              <w:top w:type="dxa" w:w="80"/>
              <w:left w:type="dxa" w:w="120"/>
              <w:bottom w:type="dxa" w:w="80"/>
              <w:right w:type="dxa" w:w="120"/>
            </w:tcMar>
          </w:tcPr>
          <w:p>
            <w:r>
              <w:rPr>
                <w:rFonts w:ascii="Garamond" w:cs="Garamond" w:eastAsia="Garamond" w:hAnsi="Garamond"/>
                <w:b w:val="false"/>
                <w:bCs w:val="false"/>
                <w:i/>
                <w:iCs/>
                <w:color w:val="1A1510"/>
                <w:sz w:val="20"/>
                <w:szCs w:val="20"/>
              </w:rPr>
              <w:t xml:space="preserve">Harmony Field HF(φ,λ)</w:t>
            </w:r>
          </w:p>
        </w:tc>
      </w:tr>
      <w:tr>
        <w:tc>
          <w:tcPr>
            <w:tcW w:type="dxa" w:w="3800"/>
            <w:tcBorders>
              <w:top w:val="single" w:color="C9A96E" w:sz="2"/>
              <w:left w:val="single" w:color="C9A96E" w:sz="2"/>
              <w:bottom w:val="single" w:color="C9A96E" w:sz="2"/>
              <w:right w:val="single" w:color="C9A96E" w:sz="2"/>
            </w:tcBorders>
            <w:shd w:fill="F5EFE2" w:val="clear"/>
            <w:tcMar>
              <w:top w:type="dxa" w:w="80"/>
              <w:left w:type="dxa" w:w="120"/>
              <w:bottom w:type="dxa" w:w="80"/>
              <w:right w:type="dxa" w:w="120"/>
            </w:tcMar>
          </w:tcPr>
          <w:p>
            <w:r>
              <w:rPr>
                <w:rFonts w:ascii="Garamond" w:cs="Garamond" w:eastAsia="Garamond" w:hAnsi="Garamond"/>
                <w:b/>
                <w:bCs/>
                <w:i/>
                <w:iCs/>
                <w:color w:val="1A1510"/>
                <w:sz w:val="20"/>
                <w:szCs w:val="20"/>
              </w:rPr>
              <w:t xml:space="preserve">Horizontal gradient dL − dR</w:t>
            </w:r>
          </w:p>
        </w:tc>
        <w:tc>
          <w:tcPr>
            <w:tcW w:type="dxa" w:w="600"/>
            <w:tcBorders>
              <w:top w:val="single" w:color="C9A96E" w:sz="2"/>
              <w:left w:val="single" w:color="C9A96E" w:sz="2"/>
              <w:bottom w:val="single" w:color="C9A96E" w:sz="2"/>
              <w:right w:val="single" w:color="C9A96E" w:sz="2"/>
            </w:tcBorders>
            <w:shd w:fill="F5EFE2" w:val="clear"/>
            <w:tcMar>
              <w:top w:type="dxa" w:w="80"/>
              <w:left w:type="dxa" w:w="120"/>
              <w:bottom w:type="dxa" w:w="80"/>
              <w:right w:type="dxa" w:w="120"/>
            </w:tcMar>
          </w:tcPr>
          <w:p>
            <w:r>
              <w:rPr>
                <w:rFonts w:ascii="Garamond" w:cs="Garamond" w:eastAsia="Garamond" w:hAnsi="Garamond"/>
                <w:b/>
                <w:bCs/>
                <w:i/>
                <w:iCs/>
                <w:color w:val="1A1510"/>
                <w:sz w:val="20"/>
                <w:szCs w:val="20"/>
              </w:rPr>
              <w:t xml:space="preserve">≡</w:t>
            </w:r>
          </w:p>
        </w:tc>
        <w:tc>
          <w:tcPr>
            <w:tcW w:type="dxa" w:w="4626"/>
            <w:tcBorders>
              <w:top w:val="single" w:color="C9A96E" w:sz="2"/>
              <w:left w:val="single" w:color="C9A96E" w:sz="2"/>
              <w:bottom w:val="single" w:color="C9A96E" w:sz="2"/>
              <w:right w:val="single" w:color="C9A96E" w:sz="2"/>
            </w:tcBorders>
            <w:shd w:fill="F5EFE2" w:val="clear"/>
            <w:tcMar>
              <w:top w:type="dxa" w:w="80"/>
              <w:left w:type="dxa" w:w="120"/>
              <w:bottom w:type="dxa" w:w="80"/>
              <w:right w:type="dxa" w:w="120"/>
            </w:tcMar>
          </w:tcPr>
          <w:p>
            <w:r>
              <w:rPr>
                <w:rFonts w:ascii="Garamond" w:cs="Garamond" w:eastAsia="Garamond" w:hAnsi="Garamond"/>
                <w:b/>
                <w:bCs/>
                <w:i/>
                <w:iCs/>
                <w:color w:val="1A1510"/>
                <w:sz w:val="20"/>
                <w:szCs w:val="20"/>
              </w:rPr>
              <w:t xml:space="preserve">Geographic displacement (relocation)</w:t>
            </w:r>
          </w:p>
        </w:tc>
      </w:tr>
      <w:tr>
        <w:tc>
          <w:tcPr>
            <w:tcW w:type="dxa" w:w="3800"/>
            <w:tcBorders>
              <w:top w:val="single" w:color="C9A96E" w:sz="2"/>
              <w:left w:val="single" w:color="C9A96E" w:sz="2"/>
              <w:bottom w:val="single" w:color="C9A96E" w:sz="2"/>
              <w:right w:val="single" w:color="C9A96E" w:sz="2"/>
            </w:tcBorders>
            <w:shd w:fill="EDE8DC" w:val="clear"/>
            <w:tcMar>
              <w:top w:type="dxa" w:w="80"/>
              <w:left w:type="dxa" w:w="120"/>
              <w:bottom w:type="dxa" w:w="80"/>
              <w:right w:type="dxa" w:w="120"/>
            </w:tcMar>
          </w:tcPr>
          <w:p>
            <w:r>
              <w:rPr>
                <w:rFonts w:ascii="Garamond" w:cs="Garamond" w:eastAsia="Garamond" w:hAnsi="Garamond"/>
                <w:b/>
                <w:bCs/>
                <w:i/>
                <w:iCs/>
                <w:color w:val="1A1510"/>
                <w:sz w:val="20"/>
                <w:szCs w:val="20"/>
              </w:rPr>
              <w:t xml:space="preserve">Vertical gradient dD − dU</w:t>
            </w:r>
          </w:p>
        </w:tc>
        <w:tc>
          <w:tcPr>
            <w:tcW w:type="dxa" w:w="600"/>
            <w:tcBorders>
              <w:top w:val="single" w:color="C9A96E" w:sz="2"/>
              <w:left w:val="single" w:color="C9A96E" w:sz="2"/>
              <w:bottom w:val="single" w:color="C9A96E" w:sz="2"/>
              <w:right w:val="single" w:color="C9A96E" w:sz="2"/>
            </w:tcBorders>
            <w:shd w:fill="EDE8DC" w:val="clear"/>
            <w:tcMar>
              <w:top w:type="dxa" w:w="80"/>
              <w:left w:type="dxa" w:w="120"/>
              <w:bottom w:type="dxa" w:w="80"/>
              <w:right w:type="dxa" w:w="120"/>
            </w:tcMar>
          </w:tcPr>
          <w:p>
            <w:r>
              <w:rPr>
                <w:rFonts w:ascii="Garamond" w:cs="Garamond" w:eastAsia="Garamond" w:hAnsi="Garamond"/>
                <w:b/>
                <w:bCs/>
                <w:i/>
                <w:iCs/>
                <w:color w:val="1A1510"/>
                <w:sz w:val="20"/>
                <w:szCs w:val="20"/>
              </w:rPr>
              <w:t xml:space="preserve">≡</w:t>
            </w:r>
          </w:p>
        </w:tc>
        <w:tc>
          <w:tcPr>
            <w:tcW w:type="dxa" w:w="4626"/>
            <w:tcBorders>
              <w:top w:val="single" w:color="C9A96E" w:sz="2"/>
              <w:left w:val="single" w:color="C9A96E" w:sz="2"/>
              <w:bottom w:val="single" w:color="C9A96E" w:sz="2"/>
              <w:right w:val="single" w:color="C9A96E" w:sz="2"/>
            </w:tcBorders>
            <w:shd w:fill="EDE8DC" w:val="clear"/>
            <w:tcMar>
              <w:top w:type="dxa" w:w="80"/>
              <w:left w:type="dxa" w:w="120"/>
              <w:bottom w:type="dxa" w:w="80"/>
              <w:right w:type="dxa" w:w="120"/>
            </w:tcMar>
          </w:tcPr>
          <w:p>
            <w:r>
              <w:rPr>
                <w:rFonts w:ascii="Garamond" w:cs="Garamond" w:eastAsia="Garamond" w:hAnsi="Garamond"/>
                <w:b/>
                <w:bCs/>
                <w:i/>
                <w:iCs/>
                <w:color w:val="1A1510"/>
                <w:sz w:val="20"/>
                <w:szCs w:val="20"/>
              </w:rPr>
              <w:t xml:space="preserve">Temporal displacement (dasha / transit)</w:t>
            </w:r>
          </w:p>
        </w:tc>
      </w:tr>
      <w:tr>
        <w:tc>
          <w:tcPr>
            <w:tcW w:type="dxa" w:w="3800"/>
            <w:tcBorders>
              <w:top w:val="single" w:color="C9A96E" w:sz="2"/>
              <w:left w:val="single" w:color="C9A96E" w:sz="2"/>
              <w:bottom w:val="single" w:color="C9A96E" w:sz="2"/>
              <w:right w:val="single" w:color="C9A96E" w:sz="2"/>
            </w:tcBorders>
            <w:shd w:fill="F5EFE2" w:val="clear"/>
            <w:tcMar>
              <w:top w:type="dxa" w:w="80"/>
              <w:left w:type="dxa" w:w="120"/>
              <w:bottom w:type="dxa" w:w="80"/>
              <w:right w:type="dxa" w:w="120"/>
            </w:tcMar>
          </w:tcPr>
          <w:p>
            <w:r>
              <w:rPr>
                <w:rFonts w:ascii="Garamond" w:cs="Garamond" w:eastAsia="Garamond" w:hAnsi="Garamond"/>
                <w:b/>
                <w:bCs/>
                <w:i/>
                <w:iCs/>
                <w:color w:val="1A1510"/>
                <w:sz w:val="20"/>
                <w:szCs w:val="20"/>
              </w:rPr>
              <w:t xml:space="preserve">Light source direction</w:t>
            </w:r>
          </w:p>
        </w:tc>
        <w:tc>
          <w:tcPr>
            <w:tcW w:type="dxa" w:w="600"/>
            <w:tcBorders>
              <w:top w:val="single" w:color="C9A96E" w:sz="2"/>
              <w:left w:val="single" w:color="C9A96E" w:sz="2"/>
              <w:bottom w:val="single" w:color="C9A96E" w:sz="2"/>
              <w:right w:val="single" w:color="C9A96E" w:sz="2"/>
            </w:tcBorders>
            <w:shd w:fill="F5EFE2" w:val="clear"/>
            <w:tcMar>
              <w:top w:type="dxa" w:w="80"/>
              <w:left w:type="dxa" w:w="120"/>
              <w:bottom w:type="dxa" w:w="80"/>
              <w:right w:type="dxa" w:w="120"/>
            </w:tcMar>
          </w:tcPr>
          <w:p>
            <w:r>
              <w:rPr>
                <w:rFonts w:ascii="Garamond" w:cs="Garamond" w:eastAsia="Garamond" w:hAnsi="Garamond"/>
                <w:b/>
                <w:bCs/>
                <w:i/>
                <w:iCs/>
                <w:color w:val="1A1510"/>
                <w:sz w:val="20"/>
                <w:szCs w:val="20"/>
              </w:rPr>
              <w:t xml:space="preserve">≡</w:t>
            </w:r>
          </w:p>
        </w:tc>
        <w:tc>
          <w:tcPr>
            <w:tcW w:type="dxa" w:w="4626"/>
            <w:tcBorders>
              <w:top w:val="single" w:color="C9A96E" w:sz="2"/>
              <w:left w:val="single" w:color="C9A96E" w:sz="2"/>
              <w:bottom w:val="single" w:color="C9A96E" w:sz="2"/>
              <w:right w:val="single" w:color="C9A96E" w:sz="2"/>
            </w:tcBorders>
            <w:shd w:fill="F5EFE2" w:val="clear"/>
            <w:tcMar>
              <w:top w:type="dxa" w:w="80"/>
              <w:left w:type="dxa" w:w="120"/>
              <w:bottom w:type="dxa" w:w="80"/>
              <w:right w:type="dxa" w:w="120"/>
            </w:tcMar>
          </w:tcPr>
          <w:p>
            <w:r>
              <w:rPr>
                <w:rFonts w:ascii="Garamond" w:cs="Garamond" w:eastAsia="Garamond" w:hAnsi="Garamond"/>
                <w:b/>
                <w:bCs/>
                <w:i/>
                <w:iCs/>
                <w:color w:val="1A1510"/>
                <w:sz w:val="20"/>
                <w:szCs w:val="20"/>
              </w:rPr>
              <w:t xml:space="preserve">Domain of inquiry (career, health, love)</w:t>
            </w:r>
          </w:p>
        </w:tc>
      </w:tr>
      <w:tr>
        <w:tc>
          <w:tcPr>
            <w:tcW w:type="dxa" w:w="3800"/>
            <w:tcBorders>
              <w:top w:val="single" w:color="C9A96E" w:sz="2"/>
              <w:left w:val="single" w:color="C9A96E" w:sz="2"/>
              <w:bottom w:val="single" w:color="C9A96E" w:sz="2"/>
              <w:right w:val="single" w:color="C9A96E" w:sz="2"/>
            </w:tcBorders>
            <w:shd w:fill="EDE8DC" w:val="clear"/>
            <w:tcMar>
              <w:top w:type="dxa" w:w="80"/>
              <w:left w:type="dxa" w:w="120"/>
              <w:bottom w:type="dxa" w:w="80"/>
              <w:right w:type="dxa" w:w="120"/>
            </w:tcMar>
          </w:tcPr>
          <w:p>
            <w:r>
              <w:rPr>
                <w:rFonts w:ascii="Garamond" w:cs="Garamond" w:eastAsia="Garamond" w:hAnsi="Garamond"/>
                <w:b/>
                <w:bCs/>
                <w:i/>
                <w:iCs/>
                <w:color w:val="1A1510"/>
                <w:sz w:val="20"/>
                <w:szCs w:val="20"/>
              </w:rPr>
              <w:t xml:space="preserve">Surface illumination</w:t>
            </w:r>
          </w:p>
        </w:tc>
        <w:tc>
          <w:tcPr>
            <w:tcW w:type="dxa" w:w="600"/>
            <w:tcBorders>
              <w:top w:val="single" w:color="C9A96E" w:sz="2"/>
              <w:left w:val="single" w:color="C9A96E" w:sz="2"/>
              <w:bottom w:val="single" w:color="C9A96E" w:sz="2"/>
              <w:right w:val="single" w:color="C9A96E" w:sz="2"/>
            </w:tcBorders>
            <w:shd w:fill="EDE8DC" w:val="clear"/>
            <w:tcMar>
              <w:top w:type="dxa" w:w="80"/>
              <w:left w:type="dxa" w:w="120"/>
              <w:bottom w:type="dxa" w:w="80"/>
              <w:right w:type="dxa" w:w="120"/>
            </w:tcMar>
          </w:tcPr>
          <w:p>
            <w:r>
              <w:rPr>
                <w:rFonts w:ascii="Garamond" w:cs="Garamond" w:eastAsia="Garamond" w:hAnsi="Garamond"/>
                <w:b/>
                <w:bCs/>
                <w:i/>
                <w:iCs/>
                <w:color w:val="1A1510"/>
                <w:sz w:val="20"/>
                <w:szCs w:val="20"/>
              </w:rPr>
              <w:t xml:space="preserve">≡</w:t>
            </w:r>
          </w:p>
        </w:tc>
        <w:tc>
          <w:tcPr>
            <w:tcW w:type="dxa" w:w="4626"/>
            <w:tcBorders>
              <w:top w:val="single" w:color="C9A96E" w:sz="2"/>
              <w:left w:val="single" w:color="C9A96E" w:sz="2"/>
              <w:bottom w:val="single" w:color="C9A96E" w:sz="2"/>
              <w:right w:val="single" w:color="C9A96E" w:sz="2"/>
            </w:tcBorders>
            <w:shd w:fill="EDE8DC" w:val="clear"/>
            <w:tcMar>
              <w:top w:type="dxa" w:w="80"/>
              <w:left w:type="dxa" w:w="120"/>
              <w:bottom w:type="dxa" w:w="80"/>
              <w:right w:type="dxa" w:w="120"/>
            </w:tcMar>
          </w:tcPr>
          <w:p>
            <w:r>
              <w:rPr>
                <w:rFonts w:ascii="Garamond" w:cs="Garamond" w:eastAsia="Garamond" w:hAnsi="Garamond"/>
                <w:b/>
                <w:bCs/>
                <w:i/>
                <w:iCs/>
                <w:color w:val="1A1510"/>
                <w:sz w:val="20"/>
                <w:szCs w:val="20"/>
              </w:rPr>
              <w:t xml:space="preserve">Biographical outcome at location × time</w:t>
            </w:r>
          </w:p>
        </w:tc>
      </w:tr>
    </w:tbl>
    <w:p>
      <w:r>
        <w:br/>
      </w:r>
    </w:p>
    <w:p>
      <w:pPr>
        <w:pStyle w:val="Heading1"/>
        <w:spacing w:before="360" w:after="120"/>
        <w:jc w:val="center"/>
      </w:pPr>
      <w:r>
        <w:rPr>
          <w:rFonts w:ascii="Garamond" w:cs="Garamond" w:eastAsia="Garamond" w:hAnsi="Garamond"/>
          <w:b/>
          <w:bCs/>
          <w:color w:val="1A1510"/>
          <w:spacing w:val="120"/>
          <w:sz w:val="28"/>
          <w:szCs w:val="28"/>
        </w:rPr>
        <w:t xml:space="preserve">III. DOMAIN SPECIFICITY</w:t>
      </w:r>
    </w:p>
    <w:p>
      <w:pPr>
        <w:pBdr>
          <w:bottom w:val="single" w:color="C9A96E" w:sz="2" w:space="1"/>
        </w:pBdr>
        <w:spacing w:before="80" w:after="80"/>
      </w:pPr>
    </w:p>
    <w:p/>
    <w:p>
      <w:pPr>
        <w:pStyle w:val="Heading2"/>
        <w:spacing w:before="280" w:after="100"/>
      </w:pPr>
      <w:r>
        <w:rPr>
          <w:rFonts w:ascii="Garamond" w:cs="Garamond" w:eastAsia="Garamond" w:hAnsi="Garamond"/>
          <w:b/>
          <w:bCs/>
          <w:color w:val="8B6F47"/>
          <w:sz w:val="22"/>
          <w:szCs w:val="22"/>
        </w:rPr>
        <w:t xml:space="preserve">3.1 The problem with the global field</w:t>
      </w:r>
    </w:p>
    <w:p>
      <w:pPr>
        <w:spacing w:before="0" w:after="120"/>
        <w:jc w:val="both"/>
      </w:pPr>
      <w:r>
        <w:rPr>
          <w:rFonts w:ascii="Garamond" w:cs="Garamond" w:eastAsia="Garamond" w:hAnsi="Garamond"/>
          <w:color w:val="1A1510"/>
          <w:sz w:val="22"/>
          <w:szCs w:val="22"/>
        </w:rPr>
        <w:t xml:space="preserve">A field computed over all planets simultaneously is a field of total astrological activity, not of specific harmony for any particular life domain. It illuminates the surface from all directions at once: it shows everything and therefore reveals nothing clearly. Empirical validation confirms this over 527 biographical events: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200"/>
        <w:gridCol w:w="2800"/>
        <w:gridCol w:w="2026"/>
      </w:tblGrid>
      <w:tr>
        <w:trPr>
          <w:tblHeader/>
        </w:trPr>
        <w:tc>
          <w:tcPr>
            <w:tcW w:type="dxa" w:w="4200"/>
            <w:tcBorders>
              <w:top w:val="single" w:color="8B6F47" w:sz="4"/>
              <w:left w:val="single" w:color="8B6F47" w:sz="4"/>
              <w:bottom w:val="single" w:color="8B6F47" w:sz="4"/>
              <w:right w:val="single" w:color="8B6F47" w:sz="4"/>
            </w:tcBorders>
            <w:shd w:fill="DDD5C3" w:val="clear"/>
            <w:tcMar>
              <w:top w:type="dxa" w:w="80"/>
              <w:left w:type="dxa" w:w="120"/>
              <w:bottom w:type="dxa" w:w="80"/>
              <w:right w:type="dxa" w:w="120"/>
            </w:tcMar>
          </w:tcPr>
          <w:p>
            <w:r>
              <w:rPr>
                <w:rFonts w:ascii="Garamond" w:cs="Garamond" w:eastAsia="Garamond" w:hAnsi="Garamond"/>
                <w:b/>
                <w:bCs/>
                <w:color w:val="1A1510"/>
                <w:sz w:val="20"/>
                <w:szCs w:val="20"/>
              </w:rPr>
              <w:t xml:space="preserve">Field</w:t>
            </w:r>
          </w:p>
        </w:tc>
        <w:tc>
          <w:tcPr>
            <w:tcW w:type="dxa" w:w="2800"/>
            <w:tcBorders>
              <w:top w:val="single" w:color="8B6F47" w:sz="4"/>
              <w:left w:val="single" w:color="8B6F47" w:sz="4"/>
              <w:bottom w:val="single" w:color="8B6F47" w:sz="4"/>
              <w:right w:val="single" w:color="8B6F47" w:sz="4"/>
            </w:tcBorders>
            <w:shd w:fill="DDD5C3" w:val="clear"/>
            <w:tcMar>
              <w:top w:type="dxa" w:w="80"/>
              <w:left w:type="dxa" w:w="120"/>
              <w:bottom w:type="dxa" w:w="80"/>
              <w:right w:type="dxa" w:w="120"/>
            </w:tcMar>
          </w:tcPr>
          <w:p>
            <w:r>
              <w:rPr>
                <w:rFonts w:ascii="Garamond" w:cs="Garamond" w:eastAsia="Garamond" w:hAnsi="Garamond"/>
                <w:b/>
                <w:bCs/>
                <w:color w:val="1A1510"/>
                <w:sz w:val="20"/>
                <w:szCs w:val="20"/>
              </w:rPr>
              <w:t xml:space="preserve">Correlation with biographical valence</w:t>
            </w:r>
          </w:p>
        </w:tc>
        <w:tc>
          <w:tcPr>
            <w:tcW w:type="dxa" w:w="2026"/>
            <w:tcBorders>
              <w:top w:val="single" w:color="8B6F47" w:sz="4"/>
              <w:left w:val="single" w:color="8B6F47" w:sz="4"/>
              <w:bottom w:val="single" w:color="8B6F47" w:sz="4"/>
              <w:right w:val="single" w:color="8B6F47" w:sz="4"/>
            </w:tcBorders>
            <w:shd w:fill="DDD5C3" w:val="clear"/>
            <w:tcMar>
              <w:top w:type="dxa" w:w="80"/>
              <w:left w:type="dxa" w:w="120"/>
              <w:bottom w:type="dxa" w:w="80"/>
              <w:right w:type="dxa" w:w="120"/>
            </w:tcMar>
          </w:tcPr>
          <w:p>
            <w:r>
              <w:rPr>
                <w:rFonts w:ascii="Garamond" w:cs="Garamond" w:eastAsia="Garamond" w:hAnsi="Garamond"/>
                <w:b/>
                <w:bCs/>
                <w:color w:val="1A1510"/>
                <w:sz w:val="20"/>
                <w:szCs w:val="20"/>
              </w:rPr>
              <w:t xml:space="preserve">Cohen's d</w:t>
            </w:r>
          </w:p>
        </w:tc>
      </w:tr>
      <w:tr>
        <w:tc>
          <w:tcPr>
            <w:tcW w:type="dxa" w:w="4200"/>
            <w:tcBorders>
              <w:top w:val="single" w:color="C9A96E" w:sz="2"/>
              <w:left w:val="single" w:color="C9A96E" w:sz="2"/>
              <w:bottom w:val="single" w:color="C9A96E" w:sz="2"/>
              <w:right w:val="single" w:color="C9A96E" w:sz="2"/>
            </w:tcBorders>
            <w:shd w:fill="F5EFE2" w:val="clear"/>
            <w:tcMar>
              <w:top w:type="dxa" w:w="80"/>
              <w:left w:type="dxa" w:w="120"/>
              <w:bottom w:type="dxa" w:w="80"/>
              <w:right w:type="dxa" w:w="120"/>
            </w:tcMar>
          </w:tcPr>
          <w:p>
            <w:r>
              <w:rPr>
                <w:rFonts w:ascii="Garamond" w:cs="Garamond" w:eastAsia="Garamond" w:hAnsi="Garamond"/>
                <w:b/>
                <w:bCs/>
                <w:i/>
                <w:iCs/>
                <w:color w:val="1A1510"/>
                <w:sz w:val="20"/>
                <w:szCs w:val="20"/>
              </w:rPr>
              <w:t xml:space="preserve">HF global (all planets)</w:t>
            </w:r>
          </w:p>
        </w:tc>
        <w:tc>
          <w:tcPr>
            <w:tcW w:type="dxa" w:w="2800"/>
            <w:tcBorders>
              <w:top w:val="single" w:color="C9A96E" w:sz="2"/>
              <w:left w:val="single" w:color="C9A96E" w:sz="2"/>
              <w:bottom w:val="single" w:color="C9A96E" w:sz="2"/>
              <w:right w:val="single" w:color="C9A96E" w:sz="2"/>
            </w:tcBorders>
            <w:shd w:fill="F5EFE2" w:val="clear"/>
            <w:tcMar>
              <w:top w:type="dxa" w:w="80"/>
              <w:left w:type="dxa" w:w="120"/>
              <w:bottom w:type="dxa" w:w="80"/>
              <w:right w:type="dxa" w:w="120"/>
            </w:tcMar>
          </w:tcPr>
          <w:p>
            <w:r>
              <w:rPr>
                <w:rFonts w:ascii="Garamond" w:cs="Garamond" w:eastAsia="Garamond" w:hAnsi="Garamond"/>
                <w:b w:val="false"/>
                <w:bCs w:val="false"/>
                <w:i w:val="false"/>
                <w:iCs w:val="false"/>
                <w:color w:val="6B5A42"/>
                <w:sz w:val="20"/>
                <w:szCs w:val="20"/>
              </w:rPr>
              <w:t xml:space="preserve">r = 0.155</w:t>
            </w:r>
          </w:p>
        </w:tc>
        <w:tc>
          <w:tcPr>
            <w:tcW w:type="dxa" w:w="2026"/>
            <w:tcBorders>
              <w:top w:val="single" w:color="C9A96E" w:sz="2"/>
              <w:left w:val="single" w:color="C9A96E" w:sz="2"/>
              <w:bottom w:val="single" w:color="C9A96E" w:sz="2"/>
              <w:right w:val="single" w:color="C9A96E" w:sz="2"/>
            </w:tcBorders>
            <w:shd w:fill="F5EFE2" w:val="clear"/>
            <w:tcMar>
              <w:top w:type="dxa" w:w="80"/>
              <w:left w:type="dxa" w:w="120"/>
              <w:bottom w:type="dxa" w:w="80"/>
              <w:right w:type="dxa" w:w="120"/>
            </w:tcMar>
          </w:tcPr>
          <w:p>
            <w:r>
              <w:rPr>
                <w:rFonts w:ascii="Garamond" w:cs="Garamond" w:eastAsia="Garamond" w:hAnsi="Garamond"/>
                <w:b/>
                <w:bCs/>
                <w:i/>
                <w:iCs/>
                <w:color w:val="1A1510"/>
                <w:sz w:val="20"/>
                <w:szCs w:val="20"/>
              </w:rPr>
              <w:t xml:space="preserve">0.441</w:t>
            </w:r>
          </w:p>
        </w:tc>
      </w:tr>
      <w:tr>
        <w:tc>
          <w:tcPr>
            <w:tcW w:type="dxa" w:w="4200"/>
            <w:tcBorders>
              <w:top w:val="single" w:color="C9A96E" w:sz="2"/>
              <w:left w:val="single" w:color="C9A96E" w:sz="2"/>
              <w:bottom w:val="single" w:color="C9A96E" w:sz="2"/>
              <w:right w:val="single" w:color="C9A96E" w:sz="2"/>
            </w:tcBorders>
            <w:shd w:fill="EDE8DC" w:val="clear"/>
            <w:tcMar>
              <w:top w:type="dxa" w:w="80"/>
              <w:left w:type="dxa" w:w="120"/>
              <w:bottom w:type="dxa" w:w="80"/>
              <w:right w:type="dxa" w:w="120"/>
            </w:tcMar>
          </w:tcPr>
          <w:p>
            <w:r>
              <w:rPr>
                <w:rFonts w:ascii="Garamond" w:cs="Garamond" w:eastAsia="Garamond" w:hAnsi="Garamond"/>
                <w:b/>
                <w:bCs/>
                <w:i w:val="false"/>
                <w:iCs w:val="false"/>
                <w:color w:val="1A1510"/>
                <w:sz w:val="20"/>
                <w:szCs w:val="20"/>
              </w:rPr>
              <w:t xml:space="preserve">HF health domain (H6/H8 significators)</w:t>
            </w:r>
          </w:p>
        </w:tc>
        <w:tc>
          <w:tcPr>
            <w:tcW w:type="dxa" w:w="2800"/>
            <w:tcBorders>
              <w:top w:val="single" w:color="C9A96E" w:sz="2"/>
              <w:left w:val="single" w:color="C9A96E" w:sz="2"/>
              <w:bottom w:val="single" w:color="C9A96E" w:sz="2"/>
              <w:right w:val="single" w:color="C9A96E" w:sz="2"/>
            </w:tcBorders>
            <w:shd w:fill="EDE8DC" w:val="clear"/>
            <w:tcMar>
              <w:top w:type="dxa" w:w="80"/>
              <w:left w:type="dxa" w:w="120"/>
              <w:bottom w:type="dxa" w:w="80"/>
              <w:right w:type="dxa" w:w="120"/>
            </w:tcMar>
          </w:tcPr>
          <w:p>
            <w:r>
              <w:rPr>
                <w:rFonts w:ascii="Garamond" w:cs="Garamond" w:eastAsia="Garamond" w:hAnsi="Garamond"/>
                <w:b/>
                <w:bCs/>
                <w:i w:val="false"/>
                <w:iCs w:val="false"/>
                <w:color w:val="1A4A00"/>
                <w:sz w:val="20"/>
                <w:szCs w:val="20"/>
              </w:rPr>
              <w:t xml:space="preserve">r = 0.615</w:t>
            </w:r>
          </w:p>
        </w:tc>
        <w:tc>
          <w:tcPr>
            <w:tcW w:type="dxa" w:w="2026"/>
            <w:tcBorders>
              <w:top w:val="single" w:color="C9A96E" w:sz="2"/>
              <w:left w:val="single" w:color="C9A96E" w:sz="2"/>
              <w:bottom w:val="single" w:color="C9A96E" w:sz="2"/>
              <w:right w:val="single" w:color="C9A96E" w:sz="2"/>
            </w:tcBorders>
            <w:shd w:fill="EDE8DC" w:val="clear"/>
            <w:tcMar>
              <w:top w:type="dxa" w:w="80"/>
              <w:left w:type="dxa" w:w="120"/>
              <w:bottom w:type="dxa" w:w="80"/>
              <w:right w:type="dxa" w:w="120"/>
            </w:tcMar>
          </w:tcPr>
          <w:p>
            <w:r>
              <w:rPr>
                <w:rFonts w:ascii="Garamond" w:cs="Garamond" w:eastAsia="Garamond" w:hAnsi="Garamond"/>
                <w:b/>
                <w:bCs/>
                <w:i w:val="false"/>
                <w:iCs w:val="false"/>
                <w:color w:val="1A4A00"/>
                <w:sz w:val="20"/>
                <w:szCs w:val="20"/>
              </w:rPr>
              <w:t xml:space="preserve">+0.93 vs global</w:t>
            </w:r>
          </w:p>
        </w:tc>
      </w:tr>
    </w:tbl>
    <w:p>
      <w:pPr>
        <w:pStyle w:val="Heading2"/>
        <w:spacing w:before="280" w:after="100"/>
      </w:pPr>
      <w:r>
        <w:rPr>
          <w:rFonts w:ascii="Garamond" w:cs="Garamond" w:eastAsia="Garamond" w:hAnsi="Garamond"/>
          <w:b/>
          <w:bCs/>
          <w:color w:val="8B6F47"/>
          <w:sz w:val="22"/>
          <w:szCs w:val="22"/>
        </w:rPr>
        <w:t xml:space="preserve">3.2 The planet subset as the question</w:t>
      </w:r>
    </w:p>
    <w:p>
      <w:pPr>
        <w:spacing w:before="0" w:after="120"/>
        <w:jc w:val="both"/>
      </w:pPr>
      <w:r>
        <w:rPr>
          <w:rFonts w:ascii="Garamond" w:cs="Garamond" w:eastAsia="Garamond" w:hAnsi="Garamond"/>
          <w:color w:val="1A1510"/>
          <w:sz w:val="22"/>
          <w:szCs w:val="22"/>
        </w:rPr>
        <w:t xml:space="preserve">For the field to be interpretable, it must be filtered by the domain of the query. Each life domain is governed by a specific subset of planets: the significators of the corresponding house.</w:t>
      </w:r>
    </w:p>
    <w:p>
      <w:pPr>
        <w:spacing w:before="0" w:after="60"/>
      </w:pPr>
      <w:r>
        <w:rPr>
          <w:rFonts w:ascii="Courier New" w:cs="Courier New" w:eastAsia="Courier New" w:hAnsi="Courier New"/>
          <w:color w:val="6B5A42"/>
          <w:spacing w:val="80"/>
          <w:sz w:val="16"/>
          <w:szCs w:val="16"/>
        </w:rPr>
        <w:t xml:space="preserve">PYTHON — DOMAIN-SPECIFIC FIELD EXTRACTION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C9A96E" w:sz="4"/>
              <w:left w:val="single" w:color="C9A96E" w:sz="4"/>
              <w:bottom w:val="single" w:color="C9A96E" w:sz="4"/>
              <w:right w:val="single" w:color="C9A96E" w:sz="4"/>
            </w:tcBorders>
            <w:shd w:fill="EDE8DC" w:val="clear"/>
            <w:tcMar>
              <w:top w:type="dxa" w:w="140"/>
              <w:left w:type="dxa" w:w="200"/>
              <w:bottom w:type="dxa" w:w="140"/>
              <w:right w:type="dxa" w:w="200"/>
            </w:tcMar>
          </w:tcPr>
          <w:p>
            <w:pPr>
              <w:spacing w:before="0" w:after="40"/>
            </w:pPr>
            <w:r>
              <w:rPr>
                <w:rFonts w:ascii="Courier New" w:cs="Courier New" w:eastAsia="Courier New" w:hAnsi="Courier New"/>
                <w:color w:val="1A1510"/>
                <w:sz w:val="18"/>
                <w:szCs w:val="18"/>
              </w:rPr>
              <w:t xml:space="preserve">planet_subset = house_significators(natal, house=k)</w:t>
            </w:r>
          </w:p>
          <w:p>
            <w:pPr>
              <w:spacing w:before="0" w:after="40"/>
            </w:pPr>
            <w:r>
              <w:rPr>
                <w:rFonts w:ascii="Courier New" w:cs="Courier New" w:eastAsia="Courier New" w:hAnsi="Courier New"/>
                <w:color w:val="1A1510"/>
                <w:sz w:val="18"/>
                <w:szCs w:val="18"/>
              </w:rPr>
              <w:t xml:space="preserve"/>
            </w:r>
          </w:p>
          <w:p>
            <w:pPr>
              <w:spacing w:before="0" w:after="40"/>
            </w:pPr>
            <w:r>
              <w:rPr>
                <w:rFonts w:ascii="Courier New" w:cs="Courier New" w:eastAsia="Courier New" w:hAnsi="Courier New"/>
                <w:color w:val="1A1510"/>
                <w:sz w:val="18"/>
                <w:szCs w:val="18"/>
              </w:rPr>
              <w:t xml:space="preserve">HF_domain = harmony_field(</w:t>
            </w:r>
          </w:p>
          <w:p>
            <w:pPr>
              <w:spacing w:before="0" w:after="40"/>
            </w:pPr>
            <w:r>
              <w:rPr>
                <w:rFonts w:ascii="Courier New" w:cs="Courier New" w:eastAsia="Courier New" w:hAnsi="Courier New"/>
                <w:color w:val="1A1510"/>
                <w:sz w:val="18"/>
                <w:szCs w:val="18"/>
              </w:rPr>
              <w:t xml:space="preserve">    natal    = natal_chart,</w:t>
            </w:r>
          </w:p>
          <w:p>
            <w:pPr>
              <w:spacing w:before="0" w:after="40"/>
            </w:pPr>
            <w:r>
              <w:rPr>
                <w:rFonts w:ascii="Courier New" w:cs="Courier New" w:eastAsia="Courier New" w:hAnsi="Courier New"/>
                <w:color w:val="1A1510"/>
                <w:sz w:val="18"/>
                <w:szCs w:val="18"/>
              </w:rPr>
              <w:t xml:space="preserve">    grid     = global_grid_5deg,</w:t>
            </w:r>
          </w:p>
          <w:p>
            <w:pPr>
              <w:spacing w:before="0" w:after="40"/>
            </w:pPr>
            <w:r>
              <w:rPr>
                <w:rFonts w:ascii="Courier New" w:cs="Courier New" w:eastAsia="Courier New" w:hAnsi="Courier New"/>
                <w:color w:val="1A1510"/>
                <w:sz w:val="18"/>
                <w:szCs w:val="18"/>
              </w:rPr>
              <w:t xml:space="preserve">    planets  = planet_subset,   # ← the question</w:t>
            </w:r>
          </w:p>
          <w:p>
            <w:pPr>
              <w:spacing w:before="0" w:after="40"/>
            </w:pPr>
            <w:r>
              <w:rPr>
                <w:rFonts w:ascii="Courier New" w:cs="Courier New" w:eastAsia="Courier New" w:hAnsi="Courier New"/>
                <w:color w:val="1A1510"/>
                <w:sz w:val="18"/>
                <w:szCs w:val="18"/>
              </w:rPr>
              <w:t xml:space="preserve">    house    = k,</w:t>
            </w:r>
          </w:p>
          <w:p>
            <w:pPr>
              <w:spacing w:before="0" w:after="40"/>
            </w:pPr>
            <w:r>
              <w:rPr>
                <w:rFonts w:ascii="Courier New" w:cs="Courier New" w:eastAsia="Courier New" w:hAnsi="Courier New"/>
                <w:color w:val="1A1510"/>
                <w:sz w:val="18"/>
                <w:szCs w:val="18"/>
              </w:rPr>
              <w:t xml:space="preserve">)</w:t>
            </w:r>
          </w:p>
        </w:tc>
      </w:tr>
    </w:tbl>
    <w:p>
      <w:pPr>
        <w:pStyle w:val="Heading2"/>
        <w:spacing w:before="280" w:after="100"/>
      </w:pPr>
      <w:r>
        <w:rPr>
          <w:rFonts w:ascii="Garamond" w:cs="Garamond" w:eastAsia="Garamond" w:hAnsi="Garamond"/>
          <w:b/>
          <w:bCs/>
          <w:color w:val="8B6F47"/>
          <w:sz w:val="22"/>
          <w:szCs w:val="22"/>
        </w:rPr>
        <w:t xml:space="preserve">3.3 The domain selector as an epistemic requirement</w:t>
      </w:r>
    </w:p>
    <w:p>
      <w:pPr>
        <w:pBdr>
          <w:top w:val="single" w:color="8B6F47" w:sz="6" w:space="4"/>
          <w:bottom w:val="single" w:color="8B6F47" w:sz="6" w:space="4"/>
        </w:pBdr>
        <w:spacing w:before="200" w:after="200"/>
        <w:ind w:left="1440" w:right="1440"/>
        <w:jc w:val="center"/>
      </w:pPr>
      <w:r>
        <w:rPr>
          <w:rFonts w:ascii="Garamond" w:cs="Garamond" w:eastAsia="Garamond" w:hAnsi="Garamond"/>
          <w:i/>
          <w:iCs/>
          <w:color w:val="1A1510"/>
          <w:sz w:val="24"/>
          <w:szCs w:val="24"/>
        </w:rPr>
        <w:t xml:space="preserve">"The system cannot answer 'where does my career thrive?' if the question asked is 'where is everything better?'. A well-formed question activates a subset."</w:t>
      </w:r>
    </w:p>
    <w:p>
      <w:pPr>
        <w:spacing w:before="0" w:after="120"/>
        <w:jc w:val="both"/>
      </w:pPr>
      <w:r>
        <w:rPr>
          <w:rFonts w:ascii="Garamond" w:cs="Garamond" w:eastAsia="Garamond" w:hAnsi="Garamond"/>
          <w:i/>
          <w:iCs/>
          <w:color w:val="6B5A42"/>
          <w:sz w:val="22"/>
          <w:szCs w:val="22"/>
        </w:rPr>
        <w:t xml:space="preserve">— Axiomatics of Heavens v0.4, Axiom 8.3</w:t>
      </w:r>
    </w:p>
    <w:p>
      <w:r>
        <w:br/>
      </w:r>
    </w:p>
    <w:p>
      <w:pPr>
        <w:pStyle w:val="Heading1"/>
        <w:spacing w:before="360" w:after="120"/>
        <w:jc w:val="center"/>
      </w:pPr>
      <w:r>
        <w:rPr>
          <w:rFonts w:ascii="Garamond" w:cs="Garamond" w:eastAsia="Garamond" w:hAnsi="Garamond"/>
          <w:b/>
          <w:bCs/>
          <w:color w:val="1A1510"/>
          <w:spacing w:val="120"/>
          <w:sz w:val="28"/>
          <w:szCs w:val="28"/>
        </w:rPr>
        <w:t xml:space="preserve">IV. THE TWO COORDINATES OF MANIFESTATION</w:t>
      </w:r>
    </w:p>
    <w:p>
      <w:pPr>
        <w:pBdr>
          <w:bottom w:val="single" w:color="C9A96E" w:sz="2" w:space="1"/>
        </w:pBdr>
        <w:spacing w:before="80" w:after="80"/>
      </w:pPr>
    </w:p>
    <w:p/>
    <w:p>
      <w:pPr>
        <w:spacing w:before="0" w:after="120"/>
        <w:jc w:val="both"/>
      </w:pPr>
      <w:r>
        <w:rPr>
          <w:rFonts w:ascii="Garamond" w:cs="Garamond" w:eastAsia="Garamond" w:hAnsi="Garamond"/>
          <w:color w:val="1A1510"/>
          <w:sz w:val="22"/>
          <w:szCs w:val="22"/>
        </w:rPr>
        <w:t xml:space="preserve">The geographic field is one dimension of a wider space. For a life domain to fully activate, three concurrent conditions are required: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4500"/>
        <w:gridCol w:w="2026"/>
      </w:tblGrid>
      <w:tr>
        <w:trPr>
          <w:tblHeader/>
        </w:trPr>
        <w:tc>
          <w:tcPr>
            <w:tcW w:type="dxa" w:w="2500"/>
            <w:tcBorders>
              <w:top w:val="single" w:color="8B6F47" w:sz="4"/>
              <w:left w:val="single" w:color="8B6F47" w:sz="4"/>
              <w:bottom w:val="single" w:color="8B6F47" w:sz="4"/>
              <w:right w:val="single" w:color="8B6F47" w:sz="4"/>
            </w:tcBorders>
            <w:shd w:fill="DDD5C3" w:val="clear"/>
            <w:tcMar>
              <w:top w:type="dxa" w:w="80"/>
              <w:left w:type="dxa" w:w="120"/>
              <w:bottom w:type="dxa" w:w="80"/>
              <w:right w:type="dxa" w:w="120"/>
            </w:tcMar>
          </w:tcPr>
          <w:p>
            <w:r>
              <w:rPr>
                <w:rFonts w:ascii="Garamond" w:cs="Garamond" w:eastAsia="Garamond" w:hAnsi="Garamond"/>
                <w:b/>
                <w:bCs/>
                <w:color w:val="1A1510"/>
                <w:sz w:val="20"/>
                <w:szCs w:val="20"/>
              </w:rPr>
              <w:t xml:space="preserve">Condition</w:t>
            </w:r>
          </w:p>
        </w:tc>
        <w:tc>
          <w:tcPr>
            <w:tcW w:type="dxa" w:w="4500"/>
            <w:tcBorders>
              <w:top w:val="single" w:color="8B6F47" w:sz="4"/>
              <w:left w:val="single" w:color="8B6F47" w:sz="4"/>
              <w:bottom w:val="single" w:color="8B6F47" w:sz="4"/>
              <w:right w:val="single" w:color="8B6F47" w:sz="4"/>
            </w:tcBorders>
            <w:shd w:fill="DDD5C3" w:val="clear"/>
            <w:tcMar>
              <w:top w:type="dxa" w:w="80"/>
              <w:left w:type="dxa" w:w="120"/>
              <w:bottom w:type="dxa" w:w="80"/>
              <w:right w:type="dxa" w:w="120"/>
            </w:tcMar>
          </w:tcPr>
          <w:p>
            <w:r>
              <w:rPr>
                <w:rFonts w:ascii="Garamond" w:cs="Garamond" w:eastAsia="Garamond" w:hAnsi="Garamond"/>
                <w:b/>
                <w:bCs/>
                <w:color w:val="1A1510"/>
                <w:sz w:val="20"/>
                <w:szCs w:val="20"/>
              </w:rPr>
              <w:t xml:space="preserve">Description</w:t>
            </w:r>
          </w:p>
        </w:tc>
        <w:tc>
          <w:tcPr>
            <w:tcW w:type="dxa" w:w="2026"/>
            <w:tcBorders>
              <w:top w:val="single" w:color="8B6F47" w:sz="4"/>
              <w:left w:val="single" w:color="8B6F47" w:sz="4"/>
              <w:bottom w:val="single" w:color="8B6F47" w:sz="4"/>
              <w:right w:val="single" w:color="8B6F47" w:sz="4"/>
            </w:tcBorders>
            <w:shd w:fill="DDD5C3" w:val="clear"/>
            <w:tcMar>
              <w:top w:type="dxa" w:w="80"/>
              <w:left w:type="dxa" w:w="120"/>
              <w:bottom w:type="dxa" w:w="80"/>
              <w:right w:type="dxa" w:w="120"/>
            </w:tcMar>
          </w:tcPr>
          <w:p>
            <w:r>
              <w:rPr>
                <w:rFonts w:ascii="Garamond" w:cs="Garamond" w:eastAsia="Garamond" w:hAnsi="Garamond"/>
                <w:b/>
                <w:bCs/>
                <w:color w:val="1A1510"/>
                <w:sz w:val="20"/>
                <w:szCs w:val="20"/>
              </w:rPr>
              <w:t xml:space="preserve">Status</w:t>
            </w:r>
          </w:p>
        </w:tc>
      </w:tr>
      <w:tr>
        <w:tc>
          <w:tcPr>
            <w:tcW w:type="dxa" w:w="2500"/>
            <w:tcBorders>
              <w:top w:val="single" w:color="C9A96E" w:sz="2"/>
              <w:left w:val="single" w:color="C9A96E" w:sz="2"/>
              <w:bottom w:val="single" w:color="C9A96E" w:sz="2"/>
              <w:right w:val="single" w:color="C9A96E" w:sz="2"/>
            </w:tcBorders>
            <w:shd w:fill="F5EFE2" w:val="clear"/>
            <w:tcMar>
              <w:top w:type="dxa" w:w="80"/>
              <w:left w:type="dxa" w:w="120"/>
              <w:bottom w:type="dxa" w:w="80"/>
              <w:right w:type="dxa" w:w="120"/>
            </w:tcMar>
          </w:tcPr>
          <w:p>
            <w:r>
              <w:rPr>
                <w:rFonts w:ascii="Garamond" w:cs="Garamond" w:eastAsia="Garamond" w:hAnsi="Garamond"/>
                <w:b/>
                <w:bCs/>
                <w:i w:val="false"/>
                <w:iCs w:val="false"/>
                <w:color w:val="1A1510"/>
                <w:sz w:val="20"/>
                <w:szCs w:val="20"/>
              </w:rPr>
              <w:t xml:space="preserve">1. Natal potential</w:t>
            </w:r>
          </w:p>
        </w:tc>
        <w:tc>
          <w:tcPr>
            <w:tcW w:type="dxa" w:w="4500"/>
            <w:tcBorders>
              <w:top w:val="single" w:color="C9A96E" w:sz="2"/>
              <w:left w:val="single" w:color="C9A96E" w:sz="2"/>
              <w:bottom w:val="single" w:color="C9A96E" w:sz="2"/>
              <w:right w:val="single" w:color="C9A96E" w:sz="2"/>
            </w:tcBorders>
            <w:shd w:fill="F5EFE2" w:val="clear"/>
            <w:tcMar>
              <w:top w:type="dxa" w:w="80"/>
              <w:left w:type="dxa" w:w="120"/>
              <w:bottom w:type="dxa" w:w="80"/>
              <w:right w:type="dxa" w:w="120"/>
            </w:tcMar>
          </w:tcPr>
          <w:p>
            <w:r>
              <w:rPr>
                <w:rFonts w:ascii="Garamond" w:cs="Garamond" w:eastAsia="Garamond" w:hAnsi="Garamond"/>
                <w:b/>
                <w:bCs/>
                <w:i/>
                <w:iCs/>
                <w:color w:val="1A1510"/>
                <w:sz w:val="20"/>
                <w:szCs w:val="20"/>
              </w:rPr>
              <w:t xml:space="preserve">Significators are well-disposed in the natal chart.</w:t>
            </w:r>
          </w:p>
        </w:tc>
        <w:tc>
          <w:tcPr>
            <w:tcW w:type="dxa" w:w="2026"/>
            <w:tcBorders>
              <w:top w:val="single" w:color="C9A96E" w:sz="2"/>
              <w:left w:val="single" w:color="C9A96E" w:sz="2"/>
              <w:bottom w:val="single" w:color="C9A96E" w:sz="2"/>
              <w:right w:val="single" w:color="C9A96E" w:sz="2"/>
            </w:tcBorders>
            <w:shd w:fill="F5EFE2" w:val="clear"/>
            <w:tcMar>
              <w:top w:type="dxa" w:w="80"/>
              <w:left w:type="dxa" w:w="120"/>
              <w:bottom w:type="dxa" w:w="80"/>
              <w:right w:type="dxa" w:w="120"/>
            </w:tcMar>
          </w:tcPr>
          <w:p>
            <w:r>
              <w:rPr>
                <w:rFonts w:ascii="Garamond" w:cs="Garamond" w:eastAsia="Garamond" w:hAnsi="Garamond"/>
                <w:b/>
                <w:bCs/>
                <w:i w:val="false"/>
                <w:iCs w:val="false"/>
                <w:color w:val="1A4A00"/>
                <w:sz w:val="20"/>
                <w:szCs w:val="20"/>
              </w:rPr>
              <w:t xml:space="preserve">Implemented</w:t>
            </w:r>
          </w:p>
        </w:tc>
      </w:tr>
      <w:tr>
        <w:tc>
          <w:tcPr>
            <w:tcW w:type="dxa" w:w="2500"/>
            <w:tcBorders>
              <w:top w:val="single" w:color="C9A96E" w:sz="2"/>
              <w:left w:val="single" w:color="C9A96E" w:sz="2"/>
              <w:bottom w:val="single" w:color="C9A96E" w:sz="2"/>
              <w:right w:val="single" w:color="C9A96E" w:sz="2"/>
            </w:tcBorders>
            <w:shd w:fill="EDE8DC" w:val="clear"/>
            <w:tcMar>
              <w:top w:type="dxa" w:w="80"/>
              <w:left w:type="dxa" w:w="120"/>
              <w:bottom w:type="dxa" w:w="80"/>
              <w:right w:type="dxa" w:w="120"/>
            </w:tcMar>
          </w:tcPr>
          <w:p>
            <w:r>
              <w:rPr>
                <w:rFonts w:ascii="Garamond" w:cs="Garamond" w:eastAsia="Garamond" w:hAnsi="Garamond"/>
                <w:b/>
                <w:bCs/>
                <w:i w:val="false"/>
                <w:iCs w:val="false"/>
                <w:color w:val="1A1510"/>
                <w:sz w:val="20"/>
                <w:szCs w:val="20"/>
              </w:rPr>
              <w:t xml:space="preserve">2. Geographic resonance</w:t>
            </w:r>
          </w:p>
        </w:tc>
        <w:tc>
          <w:tcPr>
            <w:tcW w:type="dxa" w:w="4500"/>
            <w:tcBorders>
              <w:top w:val="single" w:color="C9A96E" w:sz="2"/>
              <w:left w:val="single" w:color="C9A96E" w:sz="2"/>
              <w:bottom w:val="single" w:color="C9A96E" w:sz="2"/>
              <w:right w:val="single" w:color="C9A96E" w:sz="2"/>
            </w:tcBorders>
            <w:shd w:fill="EDE8DC" w:val="clear"/>
            <w:tcMar>
              <w:top w:type="dxa" w:w="80"/>
              <w:left w:type="dxa" w:w="120"/>
              <w:bottom w:type="dxa" w:w="80"/>
              <w:right w:type="dxa" w:w="120"/>
            </w:tcMar>
          </w:tcPr>
          <w:p>
            <w:r>
              <w:rPr>
                <w:rFonts w:ascii="Garamond" w:cs="Garamond" w:eastAsia="Garamond" w:hAnsi="Garamond"/>
                <w:b/>
                <w:bCs/>
                <w:i/>
                <w:iCs/>
                <w:color w:val="1A1510"/>
                <w:sz w:val="20"/>
                <w:szCs w:val="20"/>
              </w:rPr>
              <w:t xml:space="preserve">The domain HF is favourable at the location.</w:t>
            </w:r>
          </w:p>
        </w:tc>
        <w:tc>
          <w:tcPr>
            <w:tcW w:type="dxa" w:w="2026"/>
            <w:tcBorders>
              <w:top w:val="single" w:color="C9A96E" w:sz="2"/>
              <w:left w:val="single" w:color="C9A96E" w:sz="2"/>
              <w:bottom w:val="single" w:color="C9A96E" w:sz="2"/>
              <w:right w:val="single" w:color="C9A96E" w:sz="2"/>
            </w:tcBorders>
            <w:shd w:fill="EDE8DC" w:val="clear"/>
            <w:tcMar>
              <w:top w:type="dxa" w:w="80"/>
              <w:left w:type="dxa" w:w="120"/>
              <w:bottom w:type="dxa" w:w="80"/>
              <w:right w:type="dxa" w:w="120"/>
            </w:tcMar>
          </w:tcPr>
          <w:p>
            <w:r>
              <w:rPr>
                <w:rFonts w:ascii="Garamond" w:cs="Garamond" w:eastAsia="Garamond" w:hAnsi="Garamond"/>
                <w:b/>
                <w:bCs/>
                <w:i w:val="false"/>
                <w:iCs w:val="false"/>
                <w:color w:val="1A4A00"/>
                <w:sz w:val="20"/>
                <w:szCs w:val="20"/>
              </w:rPr>
              <w:t xml:space="preserve">Implemented</w:t>
            </w:r>
          </w:p>
        </w:tc>
      </w:tr>
      <w:tr>
        <w:tc>
          <w:tcPr>
            <w:tcW w:type="dxa" w:w="2500"/>
            <w:tcBorders>
              <w:top w:val="single" w:color="C9A96E" w:sz="2"/>
              <w:left w:val="single" w:color="C9A96E" w:sz="2"/>
              <w:bottom w:val="single" w:color="C9A96E" w:sz="2"/>
              <w:right w:val="single" w:color="C9A96E" w:sz="2"/>
            </w:tcBorders>
            <w:shd w:fill="F5EFE2" w:val="clear"/>
            <w:tcMar>
              <w:top w:type="dxa" w:w="80"/>
              <w:left w:type="dxa" w:w="120"/>
              <w:bottom w:type="dxa" w:w="80"/>
              <w:right w:type="dxa" w:w="120"/>
            </w:tcMar>
          </w:tcPr>
          <w:p>
            <w:r>
              <w:rPr>
                <w:rFonts w:ascii="Garamond" w:cs="Garamond" w:eastAsia="Garamond" w:hAnsi="Garamond"/>
                <w:b/>
                <w:bCs/>
                <w:i w:val="false"/>
                <w:iCs w:val="false"/>
                <w:color w:val="1A1510"/>
                <w:sz w:val="20"/>
                <w:szCs w:val="20"/>
              </w:rPr>
              <w:t xml:space="preserve">3. Temporal activation</w:t>
            </w:r>
          </w:p>
        </w:tc>
        <w:tc>
          <w:tcPr>
            <w:tcW w:type="dxa" w:w="4500"/>
            <w:tcBorders>
              <w:top w:val="single" w:color="C9A96E" w:sz="2"/>
              <w:left w:val="single" w:color="C9A96E" w:sz="2"/>
              <w:bottom w:val="single" w:color="C9A96E" w:sz="2"/>
              <w:right w:val="single" w:color="C9A96E" w:sz="2"/>
            </w:tcBorders>
            <w:shd w:fill="F5EFE2" w:val="clear"/>
            <w:tcMar>
              <w:top w:type="dxa" w:w="80"/>
              <w:left w:type="dxa" w:w="120"/>
              <w:bottom w:type="dxa" w:w="80"/>
              <w:right w:type="dxa" w:w="120"/>
            </w:tcMar>
          </w:tcPr>
          <w:p>
            <w:r>
              <w:rPr>
                <w:rFonts w:ascii="Garamond" w:cs="Garamond" w:eastAsia="Garamond" w:hAnsi="Garamond"/>
                <w:b/>
                <w:bCs/>
                <w:i/>
                <w:iCs/>
                <w:color w:val="1A1510"/>
                <w:sz w:val="20"/>
                <w:szCs w:val="20"/>
              </w:rPr>
              <w:t xml:space="preserve">The planetary period activates the same significators.</w:t>
            </w:r>
          </w:p>
        </w:tc>
        <w:tc>
          <w:tcPr>
            <w:tcW w:type="dxa" w:w="2026"/>
            <w:tcBorders>
              <w:top w:val="single" w:color="C9A96E" w:sz="2"/>
              <w:left w:val="single" w:color="C9A96E" w:sz="2"/>
              <w:bottom w:val="single" w:color="C9A96E" w:sz="2"/>
              <w:right w:val="single" w:color="C9A96E" w:sz="2"/>
            </w:tcBorders>
            <w:shd w:fill="F5EFE2" w:val="clear"/>
            <w:tcMar>
              <w:top w:type="dxa" w:w="80"/>
              <w:left w:type="dxa" w:w="120"/>
              <w:bottom w:type="dxa" w:w="80"/>
              <w:right w:type="dxa" w:w="120"/>
            </w:tcMar>
          </w:tcPr>
          <w:p>
            <w:r>
              <w:rPr>
                <w:rFonts w:ascii="Garamond" w:cs="Garamond" w:eastAsia="Garamond" w:hAnsi="Garamond"/>
                <w:b w:val="false"/>
                <w:bCs w:val="false"/>
                <w:i w:val="false"/>
                <w:iCs w:val="false"/>
                <w:color w:val="8B6F47"/>
                <w:sz w:val="20"/>
                <w:szCs w:val="20"/>
              </w:rPr>
              <w:t xml:space="preserve">Next horizon</w:t>
            </w:r>
          </w:p>
        </w:tc>
      </w:tr>
    </w:tbl>
    <w:p/>
    <w:p>
      <w:pPr>
        <w:spacing w:before="0" w:after="120"/>
        <w:jc w:val="both"/>
      </w:pPr>
      <w:r>
        <w:rPr>
          <w:rFonts w:ascii="Garamond" w:cs="Garamond" w:eastAsia="Garamond" w:hAnsi="Garamond"/>
          <w:color w:val="1A1510"/>
          <w:sz w:val="22"/>
          <w:szCs w:val="22"/>
        </w:rPr>
        <w:t xml:space="preserve">In the Jyotish tradition, temporal activation is measured through dashas — planetary periods determining which planet speaks at each life moment. The domain HF is the spatial dimension of the same problem. They are distinct coordinates of the same space of manifestation. (Axiomatics, Axiom 9.3)</w:t>
      </w:r>
    </w:p>
    <w:p>
      <w:r>
        <w:br/>
      </w:r>
    </w:p>
    <w:p>
      <w:pPr>
        <w:pStyle w:val="Heading1"/>
        <w:spacing w:before="360" w:after="120"/>
        <w:jc w:val="center"/>
      </w:pPr>
      <w:r>
        <w:rPr>
          <w:rFonts w:ascii="Garamond" w:cs="Garamond" w:eastAsia="Garamond" w:hAnsi="Garamond"/>
          <w:b/>
          <w:bCs/>
          <w:color w:val="1A1510"/>
          <w:spacing w:val="120"/>
          <w:sz w:val="28"/>
          <w:szCs w:val="28"/>
        </w:rPr>
        <w:t xml:space="preserve">V. POSITIONING AGAINST ADJACENT SYSTEMS</w:t>
      </w:r>
    </w:p>
    <w:p>
      <w:pPr>
        <w:pBdr>
          <w:bottom w:val="single" w:color="C9A96E" w:sz="2" w:space="1"/>
        </w:pBdr>
        <w:spacing w:before="80" w:after="80"/>
      </w:pPr>
    </w:p>
    <w:p/>
    <w:p>
      <w:pPr>
        <w:pStyle w:val="Heading2"/>
        <w:spacing w:before="280" w:after="100"/>
      </w:pPr>
      <w:r>
        <w:rPr>
          <w:rFonts w:ascii="Garamond" w:cs="Garamond" w:eastAsia="Garamond" w:hAnsi="Garamond"/>
          <w:b/>
          <w:bCs/>
          <w:color w:val="8B6F47"/>
          <w:sz w:val="22"/>
          <w:szCs w:val="22"/>
        </w:rPr>
        <w:t xml:space="preserve">5.1 Abu Oracle and Matriz del Destino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1500"/>
        <w:gridCol w:w="4326"/>
      </w:tblGrid>
      <w:tr>
        <w:trPr>
          <w:tblHeader/>
        </w:trPr>
        <w:tc>
          <w:tcPr>
            <w:tcW w:type="dxa" w:w="3200"/>
            <w:tcBorders>
              <w:top w:val="single" w:color="8B6F47" w:sz="4"/>
              <w:left w:val="single" w:color="8B6F47" w:sz="4"/>
              <w:bottom w:val="single" w:color="8B6F47" w:sz="4"/>
              <w:right w:val="single" w:color="8B6F47" w:sz="4"/>
            </w:tcBorders>
            <w:shd w:fill="DDD5C3" w:val="clear"/>
            <w:tcMar>
              <w:top w:type="dxa" w:w="80"/>
              <w:left w:type="dxa" w:w="120"/>
              <w:bottom w:type="dxa" w:w="80"/>
              <w:right w:type="dxa" w:w="120"/>
            </w:tcMar>
          </w:tcPr>
          <w:p>
            <w:r>
              <w:rPr>
                <w:rFonts w:ascii="Garamond" w:cs="Garamond" w:eastAsia="Garamond" w:hAnsi="Garamond"/>
                <w:b/>
                <w:bCs/>
                <w:color w:val="1A1510"/>
                <w:sz w:val="20"/>
                <w:szCs w:val="20"/>
              </w:rPr>
              <w:t xml:space="preserve">Principle</w:t>
            </w:r>
          </w:p>
        </w:tc>
        <w:tc>
          <w:tcPr>
            <w:tcW w:type="dxa" w:w="1500"/>
            <w:tcBorders>
              <w:top w:val="single" w:color="8B6F47" w:sz="4"/>
              <w:left w:val="single" w:color="8B6F47" w:sz="4"/>
              <w:bottom w:val="single" w:color="8B6F47" w:sz="4"/>
              <w:right w:val="single" w:color="8B6F47" w:sz="4"/>
            </w:tcBorders>
            <w:shd w:fill="DDD5C3" w:val="clear"/>
            <w:tcMar>
              <w:top w:type="dxa" w:w="80"/>
              <w:left w:type="dxa" w:w="120"/>
              <w:bottom w:type="dxa" w:w="80"/>
              <w:right w:type="dxa" w:w="120"/>
            </w:tcMar>
          </w:tcPr>
          <w:p>
            <w:r>
              <w:rPr>
                <w:rFonts w:ascii="Garamond" w:cs="Garamond" w:eastAsia="Garamond" w:hAnsi="Garamond"/>
                <w:b/>
                <w:bCs/>
                <w:color w:val="1A1510"/>
                <w:sz w:val="20"/>
                <w:szCs w:val="20"/>
              </w:rPr>
              <w:t xml:space="preserve">Compatibility</w:t>
            </w:r>
          </w:p>
        </w:tc>
        <w:tc>
          <w:tcPr>
            <w:tcW w:type="dxa" w:w="4326"/>
            <w:tcBorders>
              <w:top w:val="single" w:color="8B6F47" w:sz="4"/>
              <w:left w:val="single" w:color="8B6F47" w:sz="4"/>
              <w:bottom w:val="single" w:color="8B6F47" w:sz="4"/>
              <w:right w:val="single" w:color="8B6F47" w:sz="4"/>
            </w:tcBorders>
            <w:shd w:fill="DDD5C3" w:val="clear"/>
            <w:tcMar>
              <w:top w:type="dxa" w:w="80"/>
              <w:left w:type="dxa" w:w="120"/>
              <w:bottom w:type="dxa" w:w="80"/>
              <w:right w:type="dxa" w:w="120"/>
            </w:tcMar>
          </w:tcPr>
          <w:p>
            <w:r>
              <w:rPr>
                <w:rFonts w:ascii="Garamond" w:cs="Garamond" w:eastAsia="Garamond" w:hAnsi="Garamond"/>
                <w:b/>
                <w:bCs/>
                <w:color w:val="1A1510"/>
                <w:sz w:val="20"/>
                <w:szCs w:val="20"/>
              </w:rPr>
              <w:t xml:space="preserve">Path / Note</w:t>
            </w:r>
          </w:p>
        </w:tc>
      </w:tr>
      <w:tr>
        <w:tc>
          <w:tcPr>
            <w:tcW w:type="dxa" w:w="3200"/>
            <w:tcBorders>
              <w:top w:val="single" w:color="C9A96E" w:sz="2"/>
              <w:left w:val="single" w:color="C9A96E" w:sz="2"/>
              <w:bottom w:val="single" w:color="C9A96E" w:sz="2"/>
              <w:right w:val="single" w:color="C9A96E" w:sz="2"/>
            </w:tcBorders>
            <w:shd w:fill="F5EFE2" w:val="clear"/>
            <w:tcMar>
              <w:top w:type="dxa" w:w="80"/>
              <w:left w:type="dxa" w:w="120"/>
              <w:bottom w:type="dxa" w:w="80"/>
              <w:right w:type="dxa" w:w="120"/>
            </w:tcMar>
          </w:tcPr>
          <w:p>
            <w:r>
              <w:rPr>
                <w:rFonts w:ascii="Garamond" w:cs="Garamond" w:eastAsia="Garamond" w:hAnsi="Garamond"/>
                <w:b/>
                <w:bCs/>
                <w:i w:val="false"/>
                <w:iCs w:val="false"/>
                <w:color w:val="1A1510"/>
                <w:sz w:val="20"/>
                <w:szCs w:val="20"/>
              </w:rPr>
              <w:t xml:space="preserve">Birth date as activation code</w:t>
            </w:r>
          </w:p>
        </w:tc>
        <w:tc>
          <w:tcPr>
            <w:tcW w:type="dxa" w:w="1500"/>
            <w:tcBorders>
              <w:top w:val="single" w:color="C9A96E" w:sz="2"/>
              <w:left w:val="single" w:color="C9A96E" w:sz="2"/>
              <w:bottom w:val="single" w:color="C9A96E" w:sz="2"/>
              <w:right w:val="single" w:color="C9A96E" w:sz="2"/>
            </w:tcBorders>
            <w:shd w:fill="F5EFE2" w:val="clear"/>
            <w:tcMar>
              <w:top w:type="dxa" w:w="80"/>
              <w:left w:type="dxa" w:w="120"/>
              <w:bottom w:type="dxa" w:w="80"/>
              <w:right w:type="dxa" w:w="120"/>
            </w:tcMar>
          </w:tcPr>
          <w:p>
            <w:r>
              <w:rPr>
                <w:rFonts w:ascii="Garamond" w:cs="Garamond" w:eastAsia="Garamond" w:hAnsi="Garamond"/>
                <w:b/>
                <w:bCs/>
                <w:i w:val="false"/>
                <w:iCs w:val="false"/>
                <w:color w:val="1A4A00"/>
                <w:sz w:val="20"/>
                <w:szCs w:val="20"/>
              </w:rPr>
              <w:t xml:space="preserve">✓ High</w:t>
            </w:r>
          </w:p>
        </w:tc>
        <w:tc>
          <w:tcPr>
            <w:tcW w:type="dxa" w:w="4326"/>
            <w:tcBorders>
              <w:top w:val="single" w:color="C9A96E" w:sz="2"/>
              <w:left w:val="single" w:color="C9A96E" w:sz="2"/>
              <w:bottom w:val="single" w:color="C9A96E" w:sz="2"/>
              <w:right w:val="single" w:color="C9A96E" w:sz="2"/>
            </w:tcBorders>
            <w:shd w:fill="F5EFE2" w:val="clear"/>
            <w:tcMar>
              <w:top w:type="dxa" w:w="80"/>
              <w:left w:type="dxa" w:w="120"/>
              <w:bottom w:type="dxa" w:w="80"/>
              <w:right w:type="dxa" w:w="120"/>
            </w:tcMar>
          </w:tcPr>
          <w:p>
            <w:r>
              <w:rPr>
                <w:rFonts w:ascii="Garamond" w:cs="Garamond" w:eastAsia="Garamond" w:hAnsi="Garamond"/>
                <w:b/>
                <w:bCs/>
                <w:i/>
                <w:iCs/>
                <w:color w:val="1A1510"/>
                <w:sz w:val="20"/>
                <w:szCs w:val="20"/>
              </w:rPr>
              <w:t xml:space="preserve">Axioms 2.1, 3.1 — the natal chart is precisely this, with astronomical grounding.</w:t>
            </w:r>
          </w:p>
        </w:tc>
      </w:tr>
      <w:tr>
        <w:tc>
          <w:tcPr>
            <w:tcW w:type="dxa" w:w="3200"/>
            <w:tcBorders>
              <w:top w:val="single" w:color="C9A96E" w:sz="2"/>
              <w:left w:val="single" w:color="C9A96E" w:sz="2"/>
              <w:bottom w:val="single" w:color="C9A96E" w:sz="2"/>
              <w:right w:val="single" w:color="C9A96E" w:sz="2"/>
            </w:tcBorders>
            <w:shd w:fill="EDE8DC" w:val="clear"/>
            <w:tcMar>
              <w:top w:type="dxa" w:w="80"/>
              <w:left w:type="dxa" w:w="120"/>
              <w:bottom w:type="dxa" w:w="80"/>
              <w:right w:type="dxa" w:w="120"/>
            </w:tcMar>
          </w:tcPr>
          <w:p>
            <w:r>
              <w:rPr>
                <w:rFonts w:ascii="Garamond" w:cs="Garamond" w:eastAsia="Garamond" w:hAnsi="Garamond"/>
                <w:b/>
                <w:bCs/>
                <w:i w:val="false"/>
                <w:iCs w:val="false"/>
                <w:color w:val="1A1510"/>
                <w:sz w:val="20"/>
                <w:szCs w:val="20"/>
              </w:rPr>
              <w:t xml:space="preserve">Behavioural programs (karma)</w:t>
            </w:r>
          </w:p>
        </w:tc>
        <w:tc>
          <w:tcPr>
            <w:tcW w:type="dxa" w:w="1500"/>
            <w:tcBorders>
              <w:top w:val="single" w:color="C9A96E" w:sz="2"/>
              <w:left w:val="single" w:color="C9A96E" w:sz="2"/>
              <w:bottom w:val="single" w:color="C9A96E" w:sz="2"/>
              <w:right w:val="single" w:color="C9A96E" w:sz="2"/>
            </w:tcBorders>
            <w:shd w:fill="EDE8DC" w:val="clear"/>
            <w:tcMar>
              <w:top w:type="dxa" w:w="80"/>
              <w:left w:type="dxa" w:w="120"/>
              <w:bottom w:type="dxa" w:w="80"/>
              <w:right w:type="dxa" w:w="120"/>
            </w:tcMar>
          </w:tcPr>
          <w:p>
            <w:r>
              <w:rPr>
                <w:rFonts w:ascii="Garamond" w:cs="Garamond" w:eastAsia="Garamond" w:hAnsi="Garamond"/>
                <w:b w:val="false"/>
                <w:bCs w:val="false"/>
                <w:i w:val="false"/>
                <w:iCs w:val="false"/>
                <w:color w:val="8B6F47"/>
                <w:sz w:val="20"/>
                <w:szCs w:val="20"/>
              </w:rPr>
              <w:t xml:space="preserve">~ Partial</w:t>
            </w:r>
          </w:p>
        </w:tc>
        <w:tc>
          <w:tcPr>
            <w:tcW w:type="dxa" w:w="4326"/>
            <w:tcBorders>
              <w:top w:val="single" w:color="C9A96E" w:sz="2"/>
              <w:left w:val="single" w:color="C9A96E" w:sz="2"/>
              <w:bottom w:val="single" w:color="C9A96E" w:sz="2"/>
              <w:right w:val="single" w:color="C9A96E" w:sz="2"/>
            </w:tcBorders>
            <w:shd w:fill="EDE8DC" w:val="clear"/>
            <w:tcMar>
              <w:top w:type="dxa" w:w="80"/>
              <w:left w:type="dxa" w:w="120"/>
              <w:bottom w:type="dxa" w:w="80"/>
              <w:right w:type="dxa" w:w="120"/>
            </w:tcMar>
          </w:tcPr>
          <w:p>
            <w:r>
              <w:rPr>
                <w:rFonts w:ascii="Garamond" w:cs="Garamond" w:eastAsia="Garamond" w:hAnsi="Garamond"/>
                <w:b/>
                <w:bCs/>
                <w:i/>
                <w:iCs/>
                <w:color w:val="1A1510"/>
                <w:sz w:val="20"/>
                <w:szCs w:val="20"/>
              </w:rPr>
              <w:t xml:space="preserve">Only as a separate Jyotish agent (Axiom 4.3). Never as a cross-cutting layer.</w:t>
            </w:r>
          </w:p>
        </w:tc>
      </w:tr>
      <w:tr>
        <w:tc>
          <w:tcPr>
            <w:tcW w:type="dxa" w:w="3200"/>
            <w:tcBorders>
              <w:top w:val="single" w:color="C9A96E" w:sz="2"/>
              <w:left w:val="single" w:color="C9A96E" w:sz="2"/>
              <w:bottom w:val="single" w:color="C9A96E" w:sz="2"/>
              <w:right w:val="single" w:color="C9A96E" w:sz="2"/>
            </w:tcBorders>
            <w:shd w:fill="F5EFE2" w:val="clear"/>
            <w:tcMar>
              <w:top w:type="dxa" w:w="80"/>
              <w:left w:type="dxa" w:w="120"/>
              <w:bottom w:type="dxa" w:w="80"/>
              <w:right w:type="dxa" w:w="120"/>
            </w:tcMar>
          </w:tcPr>
          <w:p>
            <w:r>
              <w:rPr>
                <w:rFonts w:ascii="Garamond" w:cs="Garamond" w:eastAsia="Garamond" w:hAnsi="Garamond"/>
                <w:b/>
                <w:bCs/>
                <w:i w:val="false"/>
                <w:iCs w:val="false"/>
                <w:color w:val="1A1510"/>
                <w:sz w:val="20"/>
                <w:szCs w:val="20"/>
              </w:rPr>
              <w:t xml:space="preserve">Real-time planetary influence</w:t>
            </w:r>
          </w:p>
        </w:tc>
        <w:tc>
          <w:tcPr>
            <w:tcW w:type="dxa" w:w="1500"/>
            <w:tcBorders>
              <w:top w:val="single" w:color="C9A96E" w:sz="2"/>
              <w:left w:val="single" w:color="C9A96E" w:sz="2"/>
              <w:bottom w:val="single" w:color="C9A96E" w:sz="2"/>
              <w:right w:val="single" w:color="C9A96E" w:sz="2"/>
            </w:tcBorders>
            <w:shd w:fill="F5EFE2" w:val="clear"/>
            <w:tcMar>
              <w:top w:type="dxa" w:w="80"/>
              <w:left w:type="dxa" w:w="120"/>
              <w:bottom w:type="dxa" w:w="80"/>
              <w:right w:type="dxa" w:w="120"/>
            </w:tcMar>
          </w:tcPr>
          <w:p>
            <w:r>
              <w:rPr>
                <w:rFonts w:ascii="Garamond" w:cs="Garamond" w:eastAsia="Garamond" w:hAnsi="Garamond"/>
                <w:b/>
                <w:bCs/>
                <w:i w:val="false"/>
                <w:iCs w:val="false"/>
                <w:color w:val="1A4A00"/>
                <w:sz w:val="20"/>
                <w:szCs w:val="20"/>
              </w:rPr>
              <w:t xml:space="preserve">✓ High</w:t>
            </w:r>
          </w:p>
        </w:tc>
        <w:tc>
          <w:tcPr>
            <w:tcW w:type="dxa" w:w="4326"/>
            <w:tcBorders>
              <w:top w:val="single" w:color="C9A96E" w:sz="2"/>
              <w:left w:val="single" w:color="C9A96E" w:sz="2"/>
              <w:bottom w:val="single" w:color="C9A96E" w:sz="2"/>
              <w:right w:val="single" w:color="C9A96E" w:sz="2"/>
            </w:tcBorders>
            <w:shd w:fill="F5EFE2" w:val="clear"/>
            <w:tcMar>
              <w:top w:type="dxa" w:w="80"/>
              <w:left w:type="dxa" w:w="120"/>
              <w:bottom w:type="dxa" w:w="80"/>
              <w:right w:type="dxa" w:w="120"/>
            </w:tcMar>
          </w:tcPr>
          <w:p>
            <w:r>
              <w:rPr>
                <w:rFonts w:ascii="Garamond" w:cs="Garamond" w:eastAsia="Garamond" w:hAnsi="Garamond"/>
                <w:b/>
                <w:bCs/>
                <w:i/>
                <w:iCs/>
                <w:color w:val="1A1510"/>
                <w:sz w:val="20"/>
                <w:szCs w:val="20"/>
              </w:rPr>
              <w:t xml:space="preserve">Axiom 9.3 — already implemented (transits, firdariyyat, Solar Return).</w:t>
            </w:r>
          </w:p>
        </w:tc>
      </w:tr>
      <w:tr>
        <w:tc>
          <w:tcPr>
            <w:tcW w:type="dxa" w:w="3200"/>
            <w:tcBorders>
              <w:top w:val="single" w:color="C9A96E" w:sz="2"/>
              <w:left w:val="single" w:color="C9A96E" w:sz="2"/>
              <w:bottom w:val="single" w:color="C9A96E" w:sz="2"/>
              <w:right w:val="single" w:color="C9A96E" w:sz="2"/>
            </w:tcBorders>
            <w:shd w:fill="EDE8DC" w:val="clear"/>
            <w:tcMar>
              <w:top w:type="dxa" w:w="80"/>
              <w:left w:type="dxa" w:w="120"/>
              <w:bottom w:type="dxa" w:w="80"/>
              <w:right w:type="dxa" w:w="120"/>
            </w:tcMar>
          </w:tcPr>
          <w:p>
            <w:r>
              <w:rPr>
                <w:rFonts w:ascii="Garamond" w:cs="Garamond" w:eastAsia="Garamond" w:hAnsi="Garamond"/>
                <w:b/>
                <w:bCs/>
                <w:i w:val="false"/>
                <w:iCs w:val="false"/>
                <w:color w:val="1A1510"/>
                <w:sz w:val="20"/>
                <w:szCs w:val="20"/>
              </w:rPr>
              <w:t xml:space="preserve">Free will vs determinism</w:t>
            </w:r>
          </w:p>
        </w:tc>
        <w:tc>
          <w:tcPr>
            <w:tcW w:type="dxa" w:w="1500"/>
            <w:tcBorders>
              <w:top w:val="single" w:color="C9A96E" w:sz="2"/>
              <w:left w:val="single" w:color="C9A96E" w:sz="2"/>
              <w:bottom w:val="single" w:color="C9A96E" w:sz="2"/>
              <w:right w:val="single" w:color="C9A96E" w:sz="2"/>
            </w:tcBorders>
            <w:shd w:fill="EDE8DC" w:val="clear"/>
            <w:tcMar>
              <w:top w:type="dxa" w:w="80"/>
              <w:left w:type="dxa" w:w="120"/>
              <w:bottom w:type="dxa" w:w="80"/>
              <w:right w:type="dxa" w:w="120"/>
            </w:tcMar>
          </w:tcPr>
          <w:p>
            <w:r>
              <w:rPr>
                <w:rFonts w:ascii="Garamond" w:cs="Garamond" w:eastAsia="Garamond" w:hAnsi="Garamond"/>
                <w:b/>
                <w:bCs/>
                <w:i w:val="false"/>
                <w:iCs w:val="false"/>
                <w:color w:val="1A4A00"/>
                <w:sz w:val="20"/>
                <w:szCs w:val="20"/>
              </w:rPr>
              <w:t xml:space="preserve">✓ High</w:t>
            </w:r>
          </w:p>
        </w:tc>
        <w:tc>
          <w:tcPr>
            <w:tcW w:type="dxa" w:w="4326"/>
            <w:tcBorders>
              <w:top w:val="single" w:color="C9A96E" w:sz="2"/>
              <w:left w:val="single" w:color="C9A96E" w:sz="2"/>
              <w:bottom w:val="single" w:color="C9A96E" w:sz="2"/>
              <w:right w:val="single" w:color="C9A96E" w:sz="2"/>
            </w:tcBorders>
            <w:shd w:fill="EDE8DC" w:val="clear"/>
            <w:tcMar>
              <w:top w:type="dxa" w:w="80"/>
              <w:left w:type="dxa" w:w="120"/>
              <w:bottom w:type="dxa" w:w="80"/>
              <w:right w:type="dxa" w:w="120"/>
            </w:tcMar>
          </w:tcPr>
          <w:p>
            <w:r>
              <w:rPr>
                <w:rFonts w:ascii="Garamond" w:cs="Garamond" w:eastAsia="Garamond" w:hAnsi="Garamond"/>
                <w:b/>
                <w:bCs/>
                <w:i/>
                <w:iCs/>
                <w:color w:val="1A1510"/>
                <w:sz w:val="20"/>
                <w:szCs w:val="20"/>
              </w:rPr>
              <w:t xml:space="preserve">Axioms 7.2, 9.2 — explicit philosophical position of the system.</w:t>
            </w:r>
          </w:p>
        </w:tc>
      </w:tr>
      <w:tr>
        <w:tc>
          <w:tcPr>
            <w:tcW w:type="dxa" w:w="3200"/>
            <w:tcBorders>
              <w:top w:val="single" w:color="C9A96E" w:sz="2"/>
              <w:left w:val="single" w:color="C9A96E" w:sz="2"/>
              <w:bottom w:val="single" w:color="C9A96E" w:sz="2"/>
              <w:right w:val="single" w:color="C9A96E" w:sz="2"/>
            </w:tcBorders>
            <w:shd w:fill="F5EFE2" w:val="clear"/>
            <w:tcMar>
              <w:top w:type="dxa" w:w="80"/>
              <w:left w:type="dxa" w:w="120"/>
              <w:bottom w:type="dxa" w:w="80"/>
              <w:right w:type="dxa" w:w="120"/>
            </w:tcMar>
          </w:tcPr>
          <w:p>
            <w:r>
              <w:rPr>
                <w:rFonts w:ascii="Garamond" w:cs="Garamond" w:eastAsia="Garamond" w:hAnsi="Garamond"/>
                <w:b/>
                <w:bCs/>
                <w:i w:val="false"/>
                <w:iCs w:val="false"/>
                <w:color w:val="1A1510"/>
                <w:sz w:val="20"/>
                <w:szCs w:val="20"/>
              </w:rPr>
              <w:t xml:space="preserve">Tarot arcana (22 major arcana)</w:t>
            </w:r>
          </w:p>
        </w:tc>
        <w:tc>
          <w:tcPr>
            <w:tcW w:type="dxa" w:w="1500"/>
            <w:tcBorders>
              <w:top w:val="single" w:color="C9A96E" w:sz="2"/>
              <w:left w:val="single" w:color="C9A96E" w:sz="2"/>
              <w:bottom w:val="single" w:color="C9A96E" w:sz="2"/>
              <w:right w:val="single" w:color="C9A96E" w:sz="2"/>
            </w:tcBorders>
            <w:shd w:fill="F5EFE2" w:val="clear"/>
            <w:tcMar>
              <w:top w:type="dxa" w:w="80"/>
              <w:left w:type="dxa" w:w="120"/>
              <w:bottom w:type="dxa" w:w="80"/>
              <w:right w:type="dxa" w:w="120"/>
            </w:tcMar>
          </w:tcPr>
          <w:p>
            <w:r>
              <w:rPr>
                <w:rFonts w:ascii="Garamond" w:cs="Garamond" w:eastAsia="Garamond" w:hAnsi="Garamond"/>
                <w:b w:val="false"/>
                <w:bCs w:val="false"/>
                <w:i w:val="false"/>
                <w:iCs w:val="false"/>
                <w:color w:val="8B2500"/>
                <w:sz w:val="20"/>
                <w:szCs w:val="20"/>
              </w:rPr>
              <w:t xml:space="preserve">✗ Low</w:t>
            </w:r>
          </w:p>
        </w:tc>
        <w:tc>
          <w:tcPr>
            <w:tcW w:type="dxa" w:w="4326"/>
            <w:tcBorders>
              <w:top w:val="single" w:color="C9A96E" w:sz="2"/>
              <w:left w:val="single" w:color="C9A96E" w:sz="2"/>
              <w:bottom w:val="single" w:color="C9A96E" w:sz="2"/>
              <w:right w:val="single" w:color="C9A96E" w:sz="2"/>
            </w:tcBorders>
            <w:shd w:fill="F5EFE2" w:val="clear"/>
            <w:tcMar>
              <w:top w:type="dxa" w:w="80"/>
              <w:left w:type="dxa" w:w="120"/>
              <w:bottom w:type="dxa" w:w="80"/>
              <w:right w:type="dxa" w:w="120"/>
            </w:tcMar>
          </w:tcPr>
          <w:p>
            <w:r>
              <w:rPr>
                <w:rFonts w:ascii="Garamond" w:cs="Garamond" w:eastAsia="Garamond" w:hAnsi="Garamond"/>
                <w:b/>
                <w:bCs/>
                <w:i/>
                <w:iCs/>
                <w:color w:val="1A1510"/>
                <w:sz w:val="20"/>
                <w:szCs w:val="20"/>
              </w:rPr>
              <w:t xml:space="preserve">Distinct corpus. Integration would violate Axiom 6.4.</w:t>
            </w:r>
          </w:p>
        </w:tc>
      </w:tr>
    </w:tbl>
    <w:p>
      <w:pPr>
        <w:pStyle w:val="Heading2"/>
        <w:spacing w:before="280" w:after="100"/>
      </w:pPr>
      <w:r>
        <w:rPr>
          <w:rFonts w:ascii="Garamond" w:cs="Garamond" w:eastAsia="Garamond" w:hAnsi="Garamond"/>
          <w:b/>
          <w:bCs/>
          <w:color w:val="8B6F47"/>
          <w:sz w:val="22"/>
          <w:szCs w:val="22"/>
        </w:rPr>
        <w:t xml:space="preserve">5.2 The core positioning argument</w:t>
      </w:r>
    </w:p>
    <w:p>
      <w:pPr>
        <w:pBdr>
          <w:top w:val="single" w:color="8B6F47" w:sz="6" w:space="4"/>
          <w:bottom w:val="single" w:color="8B6F47" w:sz="6" w:space="4"/>
        </w:pBdr>
        <w:spacing w:before="200" w:after="200"/>
        <w:ind w:left="1440" w:right="1440"/>
        <w:jc w:val="center"/>
      </w:pPr>
      <w:r>
        <w:rPr>
          <w:rFonts w:ascii="Garamond" w:cs="Garamond" w:eastAsia="Garamond" w:hAnsi="Garamond"/>
          <w:i/>
          <w:iCs/>
          <w:color w:val="1A1510"/>
          <w:sz w:val="24"/>
          <w:szCs w:val="24"/>
        </w:rPr>
        <w:t xml:space="preserve">"Destiny is not fixed — but the terrain has shape. Abu Oracle shows you where the shape of the terrain favours what you want to build."</w:t>
      </w:r>
    </w:p>
    <w:p>
      <w:pPr>
        <w:pStyle w:val="Heading2"/>
        <w:spacing w:before="280" w:after="100"/>
      </w:pPr>
      <w:r>
        <w:rPr>
          <w:rFonts w:ascii="Garamond" w:cs="Garamond" w:eastAsia="Garamond" w:hAnsi="Garamond"/>
          <w:b/>
          <w:bCs/>
          <w:color w:val="8B6F47"/>
          <w:sz w:val="22"/>
          <w:szCs w:val="22"/>
        </w:rPr>
        <w:t xml:space="preserve">5.3 What is never mixed</w:t>
      </w:r>
    </w:p>
    <w:p>
      <w:pPr>
        <w:spacing w:before="0" w:after="120"/>
        <w:jc w:val="both"/>
      </w:pPr>
      <w:r>
        <w:rPr>
          <w:rFonts w:ascii="Garamond" w:cs="Garamond" w:eastAsia="Garamond" w:hAnsi="Garamond"/>
          <w:color w:val="1A1510"/>
          <w:sz w:val="22"/>
          <w:szCs w:val="22"/>
        </w:rPr>
        <w:t xml:space="preserve">The Axiomatics establishes with precision what cannot be integrated without loss of coherence. Axiom 6.4 is unequivocal:</w:t>
      </w:r>
    </w:p>
    <w:p>
      <w:pPr>
        <w:spacing w:before="0" w:after="120"/>
        <w:jc w:val="both"/>
      </w:pPr>
      <w:r>
        <w:rPr>
          <w:rFonts w:ascii="Garamond" w:cs="Garamond" w:eastAsia="Garamond" w:hAnsi="Garamond"/>
          <w:i/>
          <w:iCs/>
          <w:color w:val="6B5A42"/>
          <w:sz w:val="22"/>
          <w:szCs w:val="22"/>
        </w:rPr>
        <w:t xml:space="preserve">"Semantic contamination between traditions is a design flaw, not an enriching synthesis."</w:t>
      </w:r>
    </w:p>
    <w:p>
      <w:pPr>
        <w:spacing w:before="0" w:after="120"/>
        <w:jc w:val="both"/>
      </w:pPr>
      <w:r>
        <w:rPr>
          <w:rFonts w:ascii="Garamond" w:cs="Garamond" w:eastAsia="Garamond" w:hAnsi="Garamond"/>
          <w:i/>
          <w:iCs/>
          <w:color w:val="1A1510"/>
          <w:sz w:val="22"/>
          <w:szCs w:val="22"/>
        </w:rPr>
        <w:t xml:space="preserve">— Axiomatics of Heavens v0.4, Axiom 6.4</w:t>
      </w:r>
    </w:p>
    <w:p>
      <w:pPr>
        <w:spacing w:before="0" w:after="120"/>
        <w:jc w:val="both"/>
      </w:pPr>
      <w:r>
        <w:rPr>
          <w:rFonts w:ascii="Garamond" w:cs="Garamond" w:eastAsia="Garamond" w:hAnsi="Garamond"/>
          <w:color w:val="1A1510"/>
          <w:sz w:val="22"/>
          <w:szCs w:val="22"/>
        </w:rPr>
        <w:t xml:space="preserve">The numerological system of Matriz del Destino (date as number mapped to arcana) and the astronomical engine of Abu Engine (topocentric computation with Swiss Ephemeris) have incompatible epistemologies. Synthesising them without layer separation produces exactly what the Axiomatics calls semantic contamination. Abu Oracle does not do this. This clarity is a strength, not a limitation.</w:t>
      </w:r>
    </w:p>
    <w:p>
      <w:r>
        <w:br/>
      </w:r>
    </w:p>
    <w:p>
      <w:pPr>
        <w:pStyle w:val="Heading1"/>
        <w:spacing w:before="360" w:after="120"/>
        <w:jc w:val="center"/>
      </w:pPr>
      <w:r>
        <w:rPr>
          <w:rFonts w:ascii="Garamond" w:cs="Garamond" w:eastAsia="Garamond" w:hAnsi="Garamond"/>
          <w:b/>
          <w:bCs/>
          <w:color w:val="1A1510"/>
          <w:spacing w:val="120"/>
          <w:sz w:val="28"/>
          <w:szCs w:val="28"/>
        </w:rPr>
        <w:t xml:space="preserve">VI. CANONICAL GLOSSARY</w:t>
      </w:r>
    </w:p>
    <w:p>
      <w:pPr>
        <w:pBdr>
          <w:bottom w:val="single" w:color="C9A96E" w:sz="2" w:space="1"/>
        </w:pBdr>
        <w:spacing w:before="80" w:after="80"/>
      </w:pPr>
    </w:p>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4000"/>
        <w:gridCol w:w="2626"/>
      </w:tblGrid>
      <w:tr>
        <w:trPr>
          <w:tblHeader/>
        </w:trPr>
        <w:tc>
          <w:tcPr>
            <w:tcW w:type="dxa" w:w="2400"/>
            <w:tcBorders>
              <w:top w:val="single" w:color="8B6F47" w:sz="4"/>
              <w:left w:val="single" w:color="8B6F47" w:sz="4"/>
              <w:bottom w:val="single" w:color="8B6F47" w:sz="4"/>
              <w:right w:val="single" w:color="8B6F47" w:sz="4"/>
            </w:tcBorders>
            <w:shd w:fill="DDD5C3" w:val="clear"/>
            <w:tcMar>
              <w:top w:type="dxa" w:w="80"/>
              <w:left w:type="dxa" w:w="120"/>
              <w:bottom w:type="dxa" w:w="80"/>
              <w:right w:type="dxa" w:w="120"/>
            </w:tcMar>
          </w:tcPr>
          <w:p>
            <w:r>
              <w:rPr>
                <w:rFonts w:ascii="Garamond" w:cs="Garamond" w:eastAsia="Garamond" w:hAnsi="Garamond"/>
                <w:b/>
                <w:bCs/>
                <w:color w:val="1A1510"/>
                <w:sz w:val="20"/>
                <w:szCs w:val="20"/>
              </w:rPr>
              <w:t xml:space="preserve">Term</w:t>
            </w:r>
          </w:p>
        </w:tc>
        <w:tc>
          <w:tcPr>
            <w:tcW w:type="dxa" w:w="4000"/>
            <w:tcBorders>
              <w:top w:val="single" w:color="8B6F47" w:sz="4"/>
              <w:left w:val="single" w:color="8B6F47" w:sz="4"/>
              <w:bottom w:val="single" w:color="8B6F47" w:sz="4"/>
              <w:right w:val="single" w:color="8B6F47" w:sz="4"/>
            </w:tcBorders>
            <w:shd w:fill="DDD5C3" w:val="clear"/>
            <w:tcMar>
              <w:top w:type="dxa" w:w="80"/>
              <w:left w:type="dxa" w:w="120"/>
              <w:bottom w:type="dxa" w:w="80"/>
              <w:right w:type="dxa" w:w="120"/>
            </w:tcMar>
          </w:tcPr>
          <w:p>
            <w:r>
              <w:rPr>
                <w:rFonts w:ascii="Garamond" w:cs="Garamond" w:eastAsia="Garamond" w:hAnsi="Garamond"/>
                <w:b/>
                <w:bCs/>
                <w:color w:val="1A1510"/>
                <w:sz w:val="20"/>
                <w:szCs w:val="20"/>
              </w:rPr>
              <w:t xml:space="preserve">Canonical definition</w:t>
            </w:r>
          </w:p>
        </w:tc>
        <w:tc>
          <w:tcPr>
            <w:tcW w:type="dxa" w:w="2626"/>
            <w:tcBorders>
              <w:top w:val="single" w:color="8B6F47" w:sz="4"/>
              <w:left w:val="single" w:color="8B6F47" w:sz="4"/>
              <w:bottom w:val="single" w:color="8B6F47" w:sz="4"/>
              <w:right w:val="single" w:color="8B6F47" w:sz="4"/>
            </w:tcBorders>
            <w:shd w:fill="DDD5C3" w:val="clear"/>
            <w:tcMar>
              <w:top w:type="dxa" w:w="80"/>
              <w:left w:type="dxa" w:w="120"/>
              <w:bottom w:type="dxa" w:w="80"/>
              <w:right w:type="dxa" w:w="120"/>
            </w:tcMar>
          </w:tcPr>
          <w:p>
            <w:r>
              <w:rPr>
                <w:rFonts w:ascii="Garamond" w:cs="Garamond" w:eastAsia="Garamond" w:hAnsi="Garamond"/>
                <w:b/>
                <w:bCs/>
                <w:color w:val="1A1510"/>
                <w:sz w:val="20"/>
                <w:szCs w:val="20"/>
              </w:rPr>
              <w:t xml:space="preserve">What it is not</w:t>
            </w:r>
          </w:p>
        </w:tc>
      </w:tr>
      <w:tr>
        <w:tc>
          <w:tcPr>
            <w:tcW w:type="dxa" w:w="2400"/>
            <w:tcBorders>
              <w:top w:val="single" w:color="C9A96E" w:sz="2"/>
              <w:left w:val="single" w:color="C9A96E" w:sz="2"/>
              <w:bottom w:val="single" w:color="C9A96E" w:sz="2"/>
              <w:right w:val="single" w:color="C9A96E" w:sz="2"/>
            </w:tcBorders>
            <w:shd w:fill="F5EFE2" w:val="clear"/>
            <w:tcMar>
              <w:top w:type="dxa" w:w="80"/>
              <w:left w:type="dxa" w:w="120"/>
              <w:bottom w:type="dxa" w:w="80"/>
              <w:right w:type="dxa" w:w="120"/>
            </w:tcMar>
          </w:tcPr>
          <w:p>
            <w:r>
              <w:rPr>
                <w:rFonts w:ascii="Garamond" w:cs="Garamond" w:eastAsia="Garamond" w:hAnsi="Garamond"/>
                <w:b/>
                <w:bCs/>
                <w:i w:val="false"/>
                <w:iCs w:val="false"/>
                <w:color w:val="1A1510"/>
                <w:sz w:val="20"/>
                <w:szCs w:val="20"/>
              </w:rPr>
              <w:t xml:space="preserve">Harmony Field (HF)</w:t>
            </w:r>
          </w:p>
        </w:tc>
        <w:tc>
          <w:tcPr>
            <w:tcW w:type="dxa" w:w="4000"/>
            <w:tcBorders>
              <w:top w:val="single" w:color="C9A96E" w:sz="2"/>
              <w:left w:val="single" w:color="C9A96E" w:sz="2"/>
              <w:bottom w:val="single" w:color="C9A96E" w:sz="2"/>
              <w:right w:val="single" w:color="C9A96E" w:sz="2"/>
            </w:tcBorders>
            <w:shd w:fill="F5EFE2" w:val="clear"/>
            <w:tcMar>
              <w:top w:type="dxa" w:w="80"/>
              <w:left w:type="dxa" w:w="120"/>
              <w:bottom w:type="dxa" w:w="80"/>
              <w:right w:type="dxa" w:w="120"/>
            </w:tcMar>
          </w:tcPr>
          <w:p>
            <w:r>
              <w:rPr>
                <w:rFonts w:ascii="Garamond" w:cs="Garamond" w:eastAsia="Garamond" w:hAnsi="Garamond"/>
                <w:b/>
                <w:bCs/>
                <w:i/>
                <w:iCs/>
                <w:color w:val="1A1510"/>
                <w:sz w:val="20"/>
                <w:szCs w:val="20"/>
              </w:rPr>
              <w:t xml:space="preserve">Geographic scalar field quantifying the resonance of natal potential at each Earth coordinate for a given domain.</w:t>
            </w:r>
          </w:p>
        </w:tc>
        <w:tc>
          <w:tcPr>
            <w:tcW w:type="dxa" w:w="2626"/>
            <w:tcBorders>
              <w:top w:val="single" w:color="C9A96E" w:sz="2"/>
              <w:left w:val="single" w:color="C9A96E" w:sz="2"/>
              <w:bottom w:val="single" w:color="C9A96E" w:sz="2"/>
              <w:right w:val="single" w:color="C9A96E" w:sz="2"/>
            </w:tcBorders>
            <w:shd w:fill="F5EFE2" w:val="clear"/>
            <w:tcMar>
              <w:top w:type="dxa" w:w="80"/>
              <w:left w:type="dxa" w:w="120"/>
              <w:bottom w:type="dxa" w:w="80"/>
              <w:right w:type="dxa" w:w="120"/>
            </w:tcMar>
          </w:tcPr>
          <w:p>
            <w:r>
              <w:rPr>
                <w:rFonts w:ascii="Garamond" w:cs="Garamond" w:eastAsia="Garamond" w:hAnsi="Garamond"/>
                <w:b/>
                <w:bCs/>
                <w:i/>
                <w:iCs/>
                <w:color w:val="1A1510"/>
                <w:sz w:val="20"/>
                <w:szCs w:val="20"/>
              </w:rPr>
              <w:t xml:space="preserve">Not an 'energy map'. Does not measure vibrations.</w:t>
            </w:r>
          </w:p>
        </w:tc>
      </w:tr>
      <w:tr>
        <w:tc>
          <w:tcPr>
            <w:tcW w:type="dxa" w:w="2400"/>
            <w:tcBorders>
              <w:top w:val="single" w:color="C9A96E" w:sz="2"/>
              <w:left w:val="single" w:color="C9A96E" w:sz="2"/>
              <w:bottom w:val="single" w:color="C9A96E" w:sz="2"/>
              <w:right w:val="single" w:color="C9A96E" w:sz="2"/>
            </w:tcBorders>
            <w:shd w:fill="EDE8DC" w:val="clear"/>
            <w:tcMar>
              <w:top w:type="dxa" w:w="80"/>
              <w:left w:type="dxa" w:w="120"/>
              <w:bottom w:type="dxa" w:w="80"/>
              <w:right w:type="dxa" w:w="120"/>
            </w:tcMar>
          </w:tcPr>
          <w:p>
            <w:r>
              <w:rPr>
                <w:rFonts w:ascii="Garamond" w:cs="Garamond" w:eastAsia="Garamond" w:hAnsi="Garamond"/>
                <w:b/>
                <w:bCs/>
                <w:i w:val="false"/>
                <w:iCs w:val="false"/>
                <w:color w:val="1A1510"/>
                <w:sz w:val="20"/>
                <w:szCs w:val="20"/>
              </w:rPr>
              <w:t xml:space="preserve">Resonance</w:t>
            </w:r>
          </w:p>
        </w:tc>
        <w:tc>
          <w:tcPr>
            <w:tcW w:type="dxa" w:w="4000"/>
            <w:tcBorders>
              <w:top w:val="single" w:color="C9A96E" w:sz="2"/>
              <w:left w:val="single" w:color="C9A96E" w:sz="2"/>
              <w:bottom w:val="single" w:color="C9A96E" w:sz="2"/>
              <w:right w:val="single" w:color="C9A96E" w:sz="2"/>
            </w:tcBorders>
            <w:shd w:fill="EDE8DC" w:val="clear"/>
            <w:tcMar>
              <w:top w:type="dxa" w:w="80"/>
              <w:left w:type="dxa" w:w="120"/>
              <w:bottom w:type="dxa" w:w="80"/>
              <w:right w:type="dxa" w:w="120"/>
            </w:tcMar>
          </w:tcPr>
          <w:p>
            <w:r>
              <w:rPr>
                <w:rFonts w:ascii="Garamond" w:cs="Garamond" w:eastAsia="Garamond" w:hAnsi="Garamond"/>
                <w:b/>
                <w:bCs/>
                <w:i/>
                <w:iCs/>
                <w:color w:val="1A1510"/>
                <w:sz w:val="20"/>
                <w:szCs w:val="20"/>
              </w:rPr>
              <w:t xml:space="preserve">Mathematical measure of the degree to which the angular configuration of significator planets approximates specific aspect patterns.</w:t>
            </w:r>
          </w:p>
        </w:tc>
        <w:tc>
          <w:tcPr>
            <w:tcW w:type="dxa" w:w="2626"/>
            <w:tcBorders>
              <w:top w:val="single" w:color="C9A96E" w:sz="2"/>
              <w:left w:val="single" w:color="C9A96E" w:sz="2"/>
              <w:bottom w:val="single" w:color="C9A96E" w:sz="2"/>
              <w:right w:val="single" w:color="C9A96E" w:sz="2"/>
            </w:tcBorders>
            <w:shd w:fill="EDE8DC" w:val="clear"/>
            <w:tcMar>
              <w:top w:type="dxa" w:w="80"/>
              <w:left w:type="dxa" w:w="120"/>
              <w:bottom w:type="dxa" w:w="80"/>
              <w:right w:type="dxa" w:w="120"/>
            </w:tcMar>
          </w:tcPr>
          <w:p>
            <w:r>
              <w:rPr>
                <w:rFonts w:ascii="Garamond" w:cs="Garamond" w:eastAsia="Garamond" w:hAnsi="Garamond"/>
                <w:b/>
                <w:bCs/>
                <w:i/>
                <w:iCs/>
                <w:color w:val="1A1510"/>
                <w:sz w:val="20"/>
                <w:szCs w:val="20"/>
              </w:rPr>
              <w:t xml:space="preserve">Not a metaphor. It is a calculated numerical value.</w:t>
            </w:r>
          </w:p>
        </w:tc>
      </w:tr>
      <w:tr>
        <w:tc>
          <w:tcPr>
            <w:tcW w:type="dxa" w:w="2400"/>
            <w:tcBorders>
              <w:top w:val="single" w:color="C9A96E" w:sz="2"/>
              <w:left w:val="single" w:color="C9A96E" w:sz="2"/>
              <w:bottom w:val="single" w:color="C9A96E" w:sz="2"/>
              <w:right w:val="single" w:color="C9A96E" w:sz="2"/>
            </w:tcBorders>
            <w:shd w:fill="F5EFE2" w:val="clear"/>
            <w:tcMar>
              <w:top w:type="dxa" w:w="80"/>
              <w:left w:type="dxa" w:w="120"/>
              <w:bottom w:type="dxa" w:w="80"/>
              <w:right w:type="dxa" w:w="120"/>
            </w:tcMar>
          </w:tcPr>
          <w:p>
            <w:r>
              <w:rPr>
                <w:rFonts w:ascii="Garamond" w:cs="Garamond" w:eastAsia="Garamond" w:hAnsi="Garamond"/>
                <w:b/>
                <w:bCs/>
                <w:i w:val="false"/>
                <w:iCs w:val="false"/>
                <w:color w:val="1A1510"/>
                <w:sz w:val="20"/>
                <w:szCs w:val="20"/>
              </w:rPr>
              <w:t xml:space="preserve">Life domain</w:t>
            </w:r>
          </w:p>
        </w:tc>
        <w:tc>
          <w:tcPr>
            <w:tcW w:type="dxa" w:w="4000"/>
            <w:tcBorders>
              <w:top w:val="single" w:color="C9A96E" w:sz="2"/>
              <w:left w:val="single" w:color="C9A96E" w:sz="2"/>
              <w:bottom w:val="single" w:color="C9A96E" w:sz="2"/>
              <w:right w:val="single" w:color="C9A96E" w:sz="2"/>
            </w:tcBorders>
            <w:shd w:fill="F5EFE2" w:val="clear"/>
            <w:tcMar>
              <w:top w:type="dxa" w:w="80"/>
              <w:left w:type="dxa" w:w="120"/>
              <w:bottom w:type="dxa" w:w="80"/>
              <w:right w:type="dxa" w:w="120"/>
            </w:tcMar>
          </w:tcPr>
          <w:p>
            <w:r>
              <w:rPr>
                <w:rFonts w:ascii="Garamond" w:cs="Garamond" w:eastAsia="Garamond" w:hAnsi="Garamond"/>
                <w:b/>
                <w:bCs/>
                <w:i/>
                <w:iCs/>
                <w:color w:val="1A1510"/>
                <w:sz w:val="20"/>
                <w:szCs w:val="20"/>
              </w:rPr>
              <w:t xml:space="preserve">Area of human experience governed by a specific astrological house and its planetary significators.</w:t>
            </w:r>
          </w:p>
        </w:tc>
        <w:tc>
          <w:tcPr>
            <w:tcW w:type="dxa" w:w="2626"/>
            <w:tcBorders>
              <w:top w:val="single" w:color="C9A96E" w:sz="2"/>
              <w:left w:val="single" w:color="C9A96E" w:sz="2"/>
              <w:bottom w:val="single" w:color="C9A96E" w:sz="2"/>
              <w:right w:val="single" w:color="C9A96E" w:sz="2"/>
            </w:tcBorders>
            <w:shd w:fill="F5EFE2" w:val="clear"/>
            <w:tcMar>
              <w:top w:type="dxa" w:w="80"/>
              <w:left w:type="dxa" w:w="120"/>
              <w:bottom w:type="dxa" w:w="80"/>
              <w:right w:type="dxa" w:w="120"/>
            </w:tcMar>
          </w:tcPr>
          <w:p>
            <w:r>
              <w:rPr>
                <w:rFonts w:ascii="Garamond" w:cs="Garamond" w:eastAsia="Garamond" w:hAnsi="Garamond"/>
                <w:b/>
                <w:bCs/>
                <w:i/>
                <w:iCs/>
                <w:color w:val="1A1510"/>
                <w:sz w:val="20"/>
                <w:szCs w:val="20"/>
              </w:rPr>
              <w:t xml:space="preserve">Not an 'energy category'. It is a classical doctrinal structure.</w:t>
            </w:r>
          </w:p>
        </w:tc>
      </w:tr>
      <w:tr>
        <w:tc>
          <w:tcPr>
            <w:tcW w:type="dxa" w:w="2400"/>
            <w:tcBorders>
              <w:top w:val="single" w:color="C9A96E" w:sz="2"/>
              <w:left w:val="single" w:color="C9A96E" w:sz="2"/>
              <w:bottom w:val="single" w:color="C9A96E" w:sz="2"/>
              <w:right w:val="single" w:color="C9A96E" w:sz="2"/>
            </w:tcBorders>
            <w:shd w:fill="EDE8DC" w:val="clear"/>
            <w:tcMar>
              <w:top w:type="dxa" w:w="80"/>
              <w:left w:type="dxa" w:w="120"/>
              <w:bottom w:type="dxa" w:w="80"/>
              <w:right w:type="dxa" w:w="120"/>
            </w:tcMar>
          </w:tcPr>
          <w:p>
            <w:r>
              <w:rPr>
                <w:rFonts w:ascii="Garamond" w:cs="Garamond" w:eastAsia="Garamond" w:hAnsi="Garamond"/>
                <w:b/>
                <w:bCs/>
                <w:i w:val="false"/>
                <w:iCs w:val="false"/>
                <w:color w:val="1A1510"/>
                <w:sz w:val="20"/>
                <w:szCs w:val="20"/>
              </w:rPr>
              <w:t xml:space="preserve">Significators</w:t>
            </w:r>
          </w:p>
        </w:tc>
        <w:tc>
          <w:tcPr>
            <w:tcW w:type="dxa" w:w="4000"/>
            <w:tcBorders>
              <w:top w:val="single" w:color="C9A96E" w:sz="2"/>
              <w:left w:val="single" w:color="C9A96E" w:sz="2"/>
              <w:bottom w:val="single" w:color="C9A96E" w:sz="2"/>
              <w:right w:val="single" w:color="C9A96E" w:sz="2"/>
            </w:tcBorders>
            <w:shd w:fill="EDE8DC" w:val="clear"/>
            <w:tcMar>
              <w:top w:type="dxa" w:w="80"/>
              <w:left w:type="dxa" w:w="120"/>
              <w:bottom w:type="dxa" w:w="80"/>
              <w:right w:type="dxa" w:w="120"/>
            </w:tcMar>
          </w:tcPr>
          <w:p>
            <w:r>
              <w:rPr>
                <w:rFonts w:ascii="Garamond" w:cs="Garamond" w:eastAsia="Garamond" w:hAnsi="Garamond"/>
                <w:b/>
                <w:bCs/>
                <w:i/>
                <w:iCs/>
                <w:color w:val="1A1510"/>
                <w:sz w:val="20"/>
                <w:szCs w:val="20"/>
              </w:rPr>
              <w:t xml:space="preserve">Planets that rule and/or occupy a given house in the natal chart.</w:t>
            </w:r>
          </w:p>
        </w:tc>
        <w:tc>
          <w:tcPr>
            <w:tcW w:type="dxa" w:w="2626"/>
            <w:tcBorders>
              <w:top w:val="single" w:color="C9A96E" w:sz="2"/>
              <w:left w:val="single" w:color="C9A96E" w:sz="2"/>
              <w:bottom w:val="single" w:color="C9A96E" w:sz="2"/>
              <w:right w:val="single" w:color="C9A96E" w:sz="2"/>
            </w:tcBorders>
            <w:shd w:fill="EDE8DC" w:val="clear"/>
            <w:tcMar>
              <w:top w:type="dxa" w:w="80"/>
              <w:left w:type="dxa" w:w="120"/>
              <w:bottom w:type="dxa" w:w="80"/>
              <w:right w:type="dxa" w:w="120"/>
            </w:tcMar>
          </w:tcPr>
          <w:p>
            <w:r>
              <w:rPr>
                <w:rFonts w:ascii="Garamond" w:cs="Garamond" w:eastAsia="Garamond" w:hAnsi="Garamond"/>
                <w:b/>
                <w:bCs/>
                <w:i/>
                <w:iCs/>
                <w:color w:val="1A1510"/>
                <w:sz w:val="20"/>
                <w:szCs w:val="20"/>
              </w:rPr>
              <w:t xml:space="preserve">Not generic 'influential planets'.</w:t>
            </w:r>
          </w:p>
        </w:tc>
      </w:tr>
      <w:tr>
        <w:tc>
          <w:tcPr>
            <w:tcW w:type="dxa" w:w="2400"/>
            <w:tcBorders>
              <w:top w:val="single" w:color="C9A96E" w:sz="2"/>
              <w:left w:val="single" w:color="C9A96E" w:sz="2"/>
              <w:bottom w:val="single" w:color="C9A96E" w:sz="2"/>
              <w:right w:val="single" w:color="C9A96E" w:sz="2"/>
            </w:tcBorders>
            <w:shd w:fill="F5EFE2" w:val="clear"/>
            <w:tcMar>
              <w:top w:type="dxa" w:w="80"/>
              <w:left w:type="dxa" w:w="120"/>
              <w:bottom w:type="dxa" w:w="80"/>
              <w:right w:type="dxa" w:w="120"/>
            </w:tcMar>
          </w:tcPr>
          <w:p>
            <w:r>
              <w:rPr>
                <w:rFonts w:ascii="Garamond" w:cs="Garamond" w:eastAsia="Garamond" w:hAnsi="Garamond"/>
                <w:b/>
                <w:bCs/>
                <w:i w:val="false"/>
                <w:iCs w:val="false"/>
                <w:color w:val="1A1510"/>
                <w:sz w:val="20"/>
                <w:szCs w:val="20"/>
              </w:rPr>
              <w:t xml:space="preserve">Relocation</w:t>
            </w:r>
          </w:p>
        </w:tc>
        <w:tc>
          <w:tcPr>
            <w:tcW w:type="dxa" w:w="4000"/>
            <w:tcBorders>
              <w:top w:val="single" w:color="C9A96E" w:sz="2"/>
              <w:left w:val="single" w:color="C9A96E" w:sz="2"/>
              <w:bottom w:val="single" w:color="C9A96E" w:sz="2"/>
              <w:right w:val="single" w:color="C9A96E" w:sz="2"/>
            </w:tcBorders>
            <w:shd w:fill="F5EFE2" w:val="clear"/>
            <w:tcMar>
              <w:top w:type="dxa" w:w="80"/>
              <w:left w:type="dxa" w:w="120"/>
              <w:bottom w:type="dxa" w:w="80"/>
              <w:right w:type="dxa" w:w="120"/>
            </w:tcMar>
          </w:tcPr>
          <w:p>
            <w:r>
              <w:rPr>
                <w:rFonts w:ascii="Garamond" w:cs="Garamond" w:eastAsia="Garamond" w:hAnsi="Garamond"/>
                <w:b/>
                <w:bCs/>
                <w:i/>
                <w:iCs/>
                <w:color w:val="1A1510"/>
                <w:sz w:val="20"/>
                <w:szCs w:val="20"/>
              </w:rPr>
              <w:t xml:space="preserve">Evaluation of HF at locations other than the natal place to identify geographies with greater resonance for a domain.</w:t>
            </w:r>
          </w:p>
        </w:tc>
        <w:tc>
          <w:tcPr>
            <w:tcW w:type="dxa" w:w="2626"/>
            <w:tcBorders>
              <w:top w:val="single" w:color="C9A96E" w:sz="2"/>
              <w:left w:val="single" w:color="C9A96E" w:sz="2"/>
              <w:bottom w:val="single" w:color="C9A96E" w:sz="2"/>
              <w:right w:val="single" w:color="C9A96E" w:sz="2"/>
            </w:tcBorders>
            <w:shd w:fill="F5EFE2" w:val="clear"/>
            <w:tcMar>
              <w:top w:type="dxa" w:w="80"/>
              <w:left w:type="dxa" w:w="120"/>
              <w:bottom w:type="dxa" w:w="80"/>
              <w:right w:type="dxa" w:w="120"/>
            </w:tcMar>
          </w:tcPr>
          <w:p>
            <w:r>
              <w:rPr>
                <w:rFonts w:ascii="Garamond" w:cs="Garamond" w:eastAsia="Garamond" w:hAnsi="Garamond"/>
                <w:b/>
                <w:bCs/>
                <w:i/>
                <w:iCs/>
                <w:color w:val="1A1510"/>
                <w:sz w:val="20"/>
                <w:szCs w:val="20"/>
              </w:rPr>
              <w:t xml:space="preserve">Not 'moving so the stars help you'. It is mapping potential.</w:t>
            </w:r>
          </w:p>
        </w:tc>
      </w:tr>
      <w:tr>
        <w:tc>
          <w:tcPr>
            <w:tcW w:type="dxa" w:w="2400"/>
            <w:tcBorders>
              <w:top w:val="single" w:color="C9A96E" w:sz="2"/>
              <w:left w:val="single" w:color="C9A96E" w:sz="2"/>
              <w:bottom w:val="single" w:color="C9A96E" w:sz="2"/>
              <w:right w:val="single" w:color="C9A96E" w:sz="2"/>
            </w:tcBorders>
            <w:shd w:fill="EDE8DC" w:val="clear"/>
            <w:tcMar>
              <w:top w:type="dxa" w:w="80"/>
              <w:left w:type="dxa" w:w="120"/>
              <w:bottom w:type="dxa" w:w="80"/>
              <w:right w:type="dxa" w:w="120"/>
            </w:tcMar>
          </w:tcPr>
          <w:p>
            <w:r>
              <w:rPr>
                <w:rFonts w:ascii="Garamond" w:cs="Garamond" w:eastAsia="Garamond" w:hAnsi="Garamond"/>
                <w:b/>
                <w:bCs/>
                <w:i w:val="false"/>
                <w:iCs w:val="false"/>
                <w:color w:val="1A1510"/>
                <w:sz w:val="20"/>
                <w:szCs w:val="20"/>
              </w:rPr>
              <w:t xml:space="preserve">Latent potential</w:t>
            </w:r>
          </w:p>
        </w:tc>
        <w:tc>
          <w:tcPr>
            <w:tcW w:type="dxa" w:w="4000"/>
            <w:tcBorders>
              <w:top w:val="single" w:color="C9A96E" w:sz="2"/>
              <w:left w:val="single" w:color="C9A96E" w:sz="2"/>
              <w:bottom w:val="single" w:color="C9A96E" w:sz="2"/>
              <w:right w:val="single" w:color="C9A96E" w:sz="2"/>
            </w:tcBorders>
            <w:shd w:fill="EDE8DC" w:val="clear"/>
            <w:tcMar>
              <w:top w:type="dxa" w:w="80"/>
              <w:left w:type="dxa" w:w="120"/>
              <w:bottom w:type="dxa" w:w="80"/>
              <w:right w:type="dxa" w:w="120"/>
            </w:tcMar>
          </w:tcPr>
          <w:p>
            <w:r>
              <w:rPr>
                <w:rFonts w:ascii="Garamond" w:cs="Garamond" w:eastAsia="Garamond" w:hAnsi="Garamond"/>
                <w:b/>
                <w:bCs/>
                <w:i/>
                <w:iCs/>
                <w:color w:val="1A1510"/>
                <w:sz w:val="20"/>
                <w:szCs w:val="20"/>
              </w:rPr>
              <w:t xml:space="preserve">Capacity of a domain to manifest, conditioned by the disposition of its significators in the natal chart.</w:t>
            </w:r>
          </w:p>
        </w:tc>
        <w:tc>
          <w:tcPr>
            <w:tcW w:type="dxa" w:w="2626"/>
            <w:tcBorders>
              <w:top w:val="single" w:color="C9A96E" w:sz="2"/>
              <w:left w:val="single" w:color="C9A96E" w:sz="2"/>
              <w:bottom w:val="single" w:color="C9A96E" w:sz="2"/>
              <w:right w:val="single" w:color="C9A96E" w:sz="2"/>
            </w:tcBorders>
            <w:shd w:fill="EDE8DC" w:val="clear"/>
            <w:tcMar>
              <w:top w:type="dxa" w:w="80"/>
              <w:left w:type="dxa" w:w="120"/>
              <w:bottom w:type="dxa" w:w="80"/>
              <w:right w:type="dxa" w:w="120"/>
            </w:tcMar>
          </w:tcPr>
          <w:p>
            <w:r>
              <w:rPr>
                <w:rFonts w:ascii="Garamond" w:cs="Garamond" w:eastAsia="Garamond" w:hAnsi="Garamond"/>
                <w:b/>
                <w:bCs/>
                <w:i/>
                <w:iCs/>
                <w:color w:val="1A1510"/>
                <w:sz w:val="20"/>
                <w:szCs w:val="20"/>
              </w:rPr>
              <w:t xml:space="preserve">Not a guarantee of outcome. It is a structural condition.</w:t>
            </w:r>
          </w:p>
        </w:tc>
      </w:tr>
      <w:tr>
        <w:tc>
          <w:tcPr>
            <w:tcW w:type="dxa" w:w="2400"/>
            <w:tcBorders>
              <w:top w:val="single" w:color="C9A96E" w:sz="2"/>
              <w:left w:val="single" w:color="C9A96E" w:sz="2"/>
              <w:bottom w:val="single" w:color="C9A96E" w:sz="2"/>
              <w:right w:val="single" w:color="C9A96E" w:sz="2"/>
            </w:tcBorders>
            <w:shd w:fill="F5EFE2" w:val="clear"/>
            <w:tcMar>
              <w:top w:type="dxa" w:w="80"/>
              <w:left w:type="dxa" w:w="120"/>
              <w:bottom w:type="dxa" w:w="80"/>
              <w:right w:type="dxa" w:w="120"/>
            </w:tcMar>
          </w:tcPr>
          <w:p>
            <w:r>
              <w:rPr>
                <w:rFonts w:ascii="Garamond" w:cs="Garamond" w:eastAsia="Garamond" w:hAnsi="Garamond"/>
                <w:b/>
                <w:bCs/>
                <w:i w:val="false"/>
                <w:iCs w:val="false"/>
                <w:color w:val="1A1510"/>
                <w:sz w:val="20"/>
                <w:szCs w:val="20"/>
              </w:rPr>
              <w:t xml:space="preserve">Lilly</w:t>
            </w:r>
          </w:p>
        </w:tc>
        <w:tc>
          <w:tcPr>
            <w:tcW w:type="dxa" w:w="4000"/>
            <w:tcBorders>
              <w:top w:val="single" w:color="C9A96E" w:sz="2"/>
              <w:left w:val="single" w:color="C9A96E" w:sz="2"/>
              <w:bottom w:val="single" w:color="C9A96E" w:sz="2"/>
              <w:right w:val="single" w:color="C9A96E" w:sz="2"/>
            </w:tcBorders>
            <w:shd w:fill="F5EFE2" w:val="clear"/>
            <w:tcMar>
              <w:top w:type="dxa" w:w="80"/>
              <w:left w:type="dxa" w:w="120"/>
              <w:bottom w:type="dxa" w:w="80"/>
              <w:right w:type="dxa" w:w="120"/>
            </w:tcMar>
          </w:tcPr>
          <w:p>
            <w:r>
              <w:rPr>
                <w:rFonts w:ascii="Garamond" w:cs="Garamond" w:eastAsia="Garamond" w:hAnsi="Garamond"/>
                <w:b/>
                <w:bCs/>
                <w:i/>
                <w:iCs/>
                <w:color w:val="1A1510"/>
                <w:sz w:val="20"/>
                <w:szCs w:val="20"/>
              </w:rPr>
              <w:t xml:space="preserve">The system's LLM agent, inspired by William Lilly (1647). Operates on the user's specific cartographic context.</w:t>
            </w:r>
          </w:p>
        </w:tc>
        <w:tc>
          <w:tcPr>
            <w:tcW w:type="dxa" w:w="2626"/>
            <w:tcBorders>
              <w:top w:val="single" w:color="C9A96E" w:sz="2"/>
              <w:left w:val="single" w:color="C9A96E" w:sz="2"/>
              <w:bottom w:val="single" w:color="C9A96E" w:sz="2"/>
              <w:right w:val="single" w:color="C9A96E" w:sz="2"/>
            </w:tcBorders>
            <w:shd w:fill="F5EFE2" w:val="clear"/>
            <w:tcMar>
              <w:top w:type="dxa" w:w="80"/>
              <w:left w:type="dxa" w:w="120"/>
              <w:bottom w:type="dxa" w:w="80"/>
              <w:right w:type="dxa" w:w="120"/>
            </w:tcMar>
          </w:tcPr>
          <w:p>
            <w:r>
              <w:rPr>
                <w:rFonts w:ascii="Garamond" w:cs="Garamond" w:eastAsia="Garamond" w:hAnsi="Garamond"/>
                <w:b/>
                <w:bCs/>
                <w:i/>
                <w:iCs/>
                <w:color w:val="1A1510"/>
                <w:sz w:val="20"/>
                <w:szCs w:val="20"/>
              </w:rPr>
              <w:t xml:space="preserve">Not a generic chatbot.</w:t>
            </w:r>
          </w:p>
        </w:tc>
      </w:tr>
    </w:tbl>
    <w:p>
      <w:r>
        <w:br/>
      </w:r>
    </w:p>
    <w:p>
      <w:pPr>
        <w:pStyle w:val="Heading1"/>
        <w:spacing w:before="360" w:after="120"/>
        <w:jc w:val="center"/>
      </w:pPr>
      <w:r>
        <w:rPr>
          <w:rFonts w:ascii="Garamond" w:cs="Garamond" w:eastAsia="Garamond" w:hAnsi="Garamond"/>
          <w:b/>
          <w:bCs/>
          <w:color w:val="1A1510"/>
          <w:spacing w:val="120"/>
          <w:sz w:val="28"/>
          <w:szCs w:val="28"/>
        </w:rPr>
        <w:t xml:space="preserve">VII. COMMUNICATION GUIDE</w:t>
      </w:r>
    </w:p>
    <w:p>
      <w:pPr>
        <w:pBdr>
          <w:bottom w:val="single" w:color="C9A96E" w:sz="2" w:space="1"/>
        </w:pBdr>
        <w:spacing w:before="80" w:after="80"/>
      </w:pPr>
    </w:p>
    <w:p/>
    <w:p>
      <w:pPr>
        <w:pStyle w:val="Heading2"/>
        <w:spacing w:before="280" w:after="100"/>
      </w:pPr>
      <w:r>
        <w:rPr>
          <w:rFonts w:ascii="Garamond" w:cs="Garamond" w:eastAsia="Garamond" w:hAnsi="Garamond"/>
          <w:b/>
          <w:bCs/>
          <w:color w:val="8B6F47"/>
          <w:sz w:val="22"/>
          <w:szCs w:val="22"/>
        </w:rPr>
        <w:t xml:space="preserve">7.1 The core message</w:t>
      </w:r>
    </w:p>
    <w:p>
      <w:pPr>
        <w:pBdr>
          <w:top w:val="single" w:color="8B6F47" w:sz="6" w:space="4"/>
          <w:bottom w:val="single" w:color="8B6F47" w:sz="6" w:space="4"/>
        </w:pBdr>
        <w:spacing w:before="200" w:after="200"/>
        <w:ind w:left="1440" w:right="1440"/>
        <w:jc w:val="center"/>
      </w:pPr>
      <w:r>
        <w:rPr>
          <w:rFonts w:ascii="Garamond" w:cs="Garamond" w:eastAsia="Garamond" w:hAnsi="Garamond"/>
          <w:i/>
          <w:iCs/>
          <w:color w:val="1A1510"/>
          <w:sz w:val="24"/>
          <w:szCs w:val="24"/>
        </w:rPr>
        <w:t xml:space="preserve">Astrology does not tell you what will happen. It tells you the shape of the terrain. Abu Oracle computes that shape.</w:t>
      </w:r>
    </w:p>
    <w:p>
      <w:pPr>
        <w:pStyle w:val="Heading2"/>
        <w:spacing w:before="280" w:after="100"/>
      </w:pPr>
      <w:r>
        <w:rPr>
          <w:rFonts w:ascii="Garamond" w:cs="Garamond" w:eastAsia="Garamond" w:hAnsi="Garamond"/>
          <w:b/>
          <w:bCs/>
          <w:color w:val="8B6F47"/>
          <w:sz w:val="22"/>
          <w:szCs w:val="22"/>
        </w:rPr>
        <w:t xml:space="preserve">7.2 Canonical phrases</w:t>
      </w:r>
    </w:p>
    <w:p>
      <w:pPr>
        <w:spacing w:before="0" w:after="120"/>
        <w:jc w:val="both"/>
      </w:pPr>
      <w:r>
        <w:rPr>
          <w:rFonts w:ascii="Garamond" w:cs="Garamond" w:eastAsia="Garamond" w:hAnsi="Garamond"/>
          <w:i/>
          <w:iCs/>
          <w:color w:val="6B5A42"/>
          <w:sz w:val="22"/>
          <w:szCs w:val="22"/>
        </w:rPr>
        <w:t xml:space="preserve">"The field does not predict where good things will happen. It reveals where the surface of a life turns toward the light."</w:t>
      </w:r>
    </w:p>
    <w:p/>
    <w:p>
      <w:pPr>
        <w:spacing w:before="0" w:after="120"/>
        <w:jc w:val="both"/>
      </w:pPr>
      <w:r>
        <w:rPr>
          <w:rFonts w:ascii="Garamond" w:cs="Garamond" w:eastAsia="Garamond" w:hAnsi="Garamond"/>
          <w:i/>
          <w:iCs/>
          <w:color w:val="6B5A42"/>
          <w:sz w:val="22"/>
          <w:szCs w:val="22"/>
        </w:rPr>
        <w:t xml:space="preserve">"The system does not say: you will succeed professionally here. It says: here the principles governing your career find greater resonance."</w:t>
      </w:r>
    </w:p>
    <w:p/>
    <w:p>
      <w:pPr>
        <w:spacing w:before="0" w:after="120"/>
        <w:jc w:val="both"/>
      </w:pPr>
      <w:r>
        <w:rPr>
          <w:rFonts w:ascii="Garamond" w:cs="Garamond" w:eastAsia="Garamond" w:hAnsi="Garamond"/>
          <w:i/>
          <w:iCs/>
          <w:color w:val="6B5A42"/>
          <w:sz w:val="22"/>
          <w:szCs w:val="22"/>
        </w:rPr>
        <w:t xml:space="preserve">"The field does not create potential where none exists — it facilitates the expression of potential that already exists in latent form."</w:t>
      </w:r>
    </w:p>
    <w:p/>
    <w:p>
      <w:pPr>
        <w:spacing w:before="0" w:after="120"/>
        <w:jc w:val="both"/>
      </w:pPr>
      <w:r>
        <w:rPr>
          <w:rFonts w:ascii="Garamond" w:cs="Garamond" w:eastAsia="Garamond" w:hAnsi="Garamond"/>
          <w:i/>
          <w:iCs/>
          <w:color w:val="6B5A42"/>
          <w:sz w:val="22"/>
          <w:szCs w:val="22"/>
        </w:rPr>
        <w:t xml:space="preserve">"Destiny is not fixed, but the terrain has shape."</w:t>
      </w:r>
    </w:p>
    <w:p>
      <w:pPr>
        <w:pStyle w:val="Heading2"/>
        <w:spacing w:before="280" w:after="100"/>
      </w:pPr>
      <w:r>
        <w:rPr>
          <w:rFonts w:ascii="Garamond" w:cs="Garamond" w:eastAsia="Garamond" w:hAnsi="Garamond"/>
          <w:b/>
          <w:bCs/>
          <w:color w:val="8B6F47"/>
          <w:sz w:val="22"/>
          <w:szCs w:val="22"/>
        </w:rPr>
        <w:t xml:space="preserve">7.3 Audiences and framing</w:t>
      </w:r>
    </w:p>
    <w:p>
      <w:pPr>
        <w:spacing w:before="0" w:after="120"/>
        <w:jc w:val="both"/>
      </w:pPr>
      <w:r>
        <w:rPr>
          <w:rFonts w:ascii="Garamond" w:cs="Garamond" w:eastAsia="Garamond" w:hAnsi="Garamond"/>
          <w:color w:val="1A1510"/>
          <w:sz w:val="22"/>
          <w:szCs w:val="22"/>
        </w:rPr>
        <w:t xml:space="preserve">The system has four natural audiences with distinct entry points. The argument must be adapted to each without altering the core message:</w:t>
      </w:r>
    </w:p>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3826"/>
      </w:tblGrid>
      <w:tr>
        <w:trPr>
          <w:tblHeader/>
        </w:trPr>
        <w:tc>
          <w:tcPr>
            <w:tcW w:type="dxa" w:w="2400"/>
            <w:tcBorders>
              <w:top w:val="single" w:color="8B6F47" w:sz="4"/>
              <w:left w:val="single" w:color="8B6F47" w:sz="4"/>
              <w:bottom w:val="single" w:color="8B6F47" w:sz="4"/>
              <w:right w:val="single" w:color="8B6F47" w:sz="4"/>
            </w:tcBorders>
            <w:shd w:fill="DDD5C3" w:val="clear"/>
            <w:tcMar>
              <w:top w:type="dxa" w:w="80"/>
              <w:left w:type="dxa" w:w="120"/>
              <w:bottom w:type="dxa" w:w="80"/>
              <w:right w:type="dxa" w:w="120"/>
            </w:tcMar>
          </w:tcPr>
          <w:p>
            <w:r>
              <w:rPr>
                <w:rFonts w:ascii="Garamond" w:cs="Garamond" w:eastAsia="Garamond" w:hAnsi="Garamond"/>
                <w:b/>
                <w:bCs/>
                <w:color w:val="1A1510"/>
                <w:sz w:val="20"/>
                <w:szCs w:val="20"/>
              </w:rPr>
              <w:t xml:space="preserve">Audience</w:t>
            </w:r>
          </w:p>
        </w:tc>
        <w:tc>
          <w:tcPr>
            <w:tcW w:type="dxa" w:w="2800"/>
            <w:tcBorders>
              <w:top w:val="single" w:color="8B6F47" w:sz="4"/>
              <w:left w:val="single" w:color="8B6F47" w:sz="4"/>
              <w:bottom w:val="single" w:color="8B6F47" w:sz="4"/>
              <w:right w:val="single" w:color="8B6F47" w:sz="4"/>
            </w:tcBorders>
            <w:shd w:fill="DDD5C3" w:val="clear"/>
            <w:tcMar>
              <w:top w:type="dxa" w:w="80"/>
              <w:left w:type="dxa" w:w="120"/>
              <w:bottom w:type="dxa" w:w="80"/>
              <w:right w:type="dxa" w:w="120"/>
            </w:tcMar>
          </w:tcPr>
          <w:p>
            <w:r>
              <w:rPr>
                <w:rFonts w:ascii="Garamond" w:cs="Garamond" w:eastAsia="Garamond" w:hAnsi="Garamond"/>
                <w:b/>
                <w:bCs/>
                <w:color w:val="1A1510"/>
                <w:sz w:val="20"/>
                <w:szCs w:val="20"/>
              </w:rPr>
              <w:t xml:space="preserve">Entry point</w:t>
            </w:r>
          </w:p>
        </w:tc>
        <w:tc>
          <w:tcPr>
            <w:tcW w:type="dxa" w:w="3826"/>
            <w:tcBorders>
              <w:top w:val="single" w:color="8B6F47" w:sz="4"/>
              <w:left w:val="single" w:color="8B6F47" w:sz="4"/>
              <w:bottom w:val="single" w:color="8B6F47" w:sz="4"/>
              <w:right w:val="single" w:color="8B6F47" w:sz="4"/>
            </w:tcBorders>
            <w:shd w:fill="DDD5C3" w:val="clear"/>
            <w:tcMar>
              <w:top w:type="dxa" w:w="80"/>
              <w:left w:type="dxa" w:w="120"/>
              <w:bottom w:type="dxa" w:w="80"/>
              <w:right w:type="dxa" w:w="120"/>
            </w:tcMar>
          </w:tcPr>
          <w:p>
            <w:r>
              <w:rPr>
                <w:rFonts w:ascii="Garamond" w:cs="Garamond" w:eastAsia="Garamond" w:hAnsi="Garamond"/>
                <w:b/>
                <w:bCs/>
                <w:color w:val="1A1510"/>
                <w:sz w:val="20"/>
                <w:szCs w:val="20"/>
              </w:rPr>
              <w:t xml:space="preserve">Core argument</w:t>
            </w:r>
          </w:p>
        </w:tc>
      </w:tr>
      <w:tr>
        <w:tc>
          <w:tcPr>
            <w:tcW w:type="dxa" w:w="2400"/>
            <w:tcBorders>
              <w:top w:val="single" w:color="C9A96E" w:sz="2"/>
              <w:left w:val="single" w:color="C9A96E" w:sz="2"/>
              <w:bottom w:val="single" w:color="C9A96E" w:sz="2"/>
              <w:right w:val="single" w:color="C9A96E" w:sz="2"/>
            </w:tcBorders>
            <w:shd w:fill="F5EFE2" w:val="clear"/>
            <w:tcMar>
              <w:top w:type="dxa" w:w="80"/>
              <w:left w:type="dxa" w:w="120"/>
              <w:bottom w:type="dxa" w:w="80"/>
              <w:right w:type="dxa" w:w="120"/>
            </w:tcMar>
          </w:tcPr>
          <w:p>
            <w:r>
              <w:rPr>
                <w:rFonts w:ascii="Garamond" w:cs="Garamond" w:eastAsia="Garamond" w:hAnsi="Garamond"/>
                <w:b/>
                <w:bCs/>
                <w:i w:val="false"/>
                <w:iCs w:val="false"/>
                <w:color w:val="1A1510"/>
                <w:sz w:val="20"/>
                <w:szCs w:val="20"/>
              </w:rPr>
              <w:t xml:space="preserve">Astrocartography users</w:t>
            </w:r>
          </w:p>
        </w:tc>
        <w:tc>
          <w:tcPr>
            <w:tcW w:type="dxa" w:w="2800"/>
            <w:tcBorders>
              <w:top w:val="single" w:color="C9A96E" w:sz="2"/>
              <w:left w:val="single" w:color="C9A96E" w:sz="2"/>
              <w:bottom w:val="single" w:color="C9A96E" w:sz="2"/>
              <w:right w:val="single" w:color="C9A96E" w:sz="2"/>
            </w:tcBorders>
            <w:shd w:fill="F5EFE2" w:val="clear"/>
            <w:tcMar>
              <w:top w:type="dxa" w:w="80"/>
              <w:left w:type="dxa" w:w="120"/>
              <w:bottom w:type="dxa" w:w="80"/>
              <w:right w:type="dxa" w:w="120"/>
            </w:tcMar>
          </w:tcPr>
          <w:p>
            <w:r>
              <w:rPr>
                <w:rFonts w:ascii="Garamond" w:cs="Garamond" w:eastAsia="Garamond" w:hAnsi="Garamond"/>
                <w:b/>
                <w:bCs/>
                <w:i/>
                <w:iCs/>
                <w:color w:val="1A1510"/>
                <w:sz w:val="20"/>
                <w:szCs w:val="20"/>
              </w:rPr>
              <w:t xml:space="preserve">Already know geography matters.</w:t>
            </w:r>
          </w:p>
        </w:tc>
        <w:tc>
          <w:tcPr>
            <w:tcW w:type="dxa" w:w="3826"/>
            <w:tcBorders>
              <w:top w:val="single" w:color="C9A96E" w:sz="2"/>
              <w:left w:val="single" w:color="C9A96E" w:sz="2"/>
              <w:bottom w:val="single" w:color="C9A96E" w:sz="2"/>
              <w:right w:val="single" w:color="C9A96E" w:sz="2"/>
            </w:tcBorders>
            <w:shd w:fill="F5EFE2" w:val="clear"/>
            <w:tcMar>
              <w:top w:type="dxa" w:w="80"/>
              <w:left w:type="dxa" w:w="120"/>
              <w:bottom w:type="dxa" w:w="80"/>
              <w:right w:type="dxa" w:w="120"/>
            </w:tcMar>
          </w:tcPr>
          <w:p>
            <w:r>
              <w:rPr>
                <w:rFonts w:ascii="Garamond" w:cs="Garamond" w:eastAsia="Garamond" w:hAnsi="Garamond"/>
                <w:b/>
                <w:bCs/>
                <w:i/>
                <w:iCs/>
                <w:color w:val="1A1510"/>
                <w:sz w:val="20"/>
                <w:szCs w:val="20"/>
              </w:rPr>
              <w:t xml:space="preserve">Abu Oracle quantifies it with precision and filters by domain.</w:t>
            </w:r>
          </w:p>
        </w:tc>
      </w:tr>
      <w:tr>
        <w:tc>
          <w:tcPr>
            <w:tcW w:type="dxa" w:w="2400"/>
            <w:tcBorders>
              <w:top w:val="single" w:color="C9A96E" w:sz="2"/>
              <w:left w:val="single" w:color="C9A96E" w:sz="2"/>
              <w:bottom w:val="single" w:color="C9A96E" w:sz="2"/>
              <w:right w:val="single" w:color="C9A96E" w:sz="2"/>
            </w:tcBorders>
            <w:shd w:fill="EDE8DC" w:val="clear"/>
            <w:tcMar>
              <w:top w:type="dxa" w:w="80"/>
              <w:left w:type="dxa" w:w="120"/>
              <w:bottom w:type="dxa" w:w="80"/>
              <w:right w:type="dxa" w:w="120"/>
            </w:tcMar>
          </w:tcPr>
          <w:p>
            <w:r>
              <w:rPr>
                <w:rFonts w:ascii="Garamond" w:cs="Garamond" w:eastAsia="Garamond" w:hAnsi="Garamond"/>
                <w:b/>
                <w:bCs/>
                <w:i w:val="false"/>
                <w:iCs w:val="false"/>
                <w:color w:val="1A1510"/>
                <w:sz w:val="20"/>
                <w:szCs w:val="20"/>
              </w:rPr>
              <w:t xml:space="preserve">Matriz del Destino users</w:t>
            </w:r>
          </w:p>
        </w:tc>
        <w:tc>
          <w:tcPr>
            <w:tcW w:type="dxa" w:w="2800"/>
            <w:tcBorders>
              <w:top w:val="single" w:color="C9A96E" w:sz="2"/>
              <w:left w:val="single" w:color="C9A96E" w:sz="2"/>
              <w:bottom w:val="single" w:color="C9A96E" w:sz="2"/>
              <w:right w:val="single" w:color="C9A96E" w:sz="2"/>
            </w:tcBorders>
            <w:shd w:fill="EDE8DC" w:val="clear"/>
            <w:tcMar>
              <w:top w:type="dxa" w:w="80"/>
              <w:left w:type="dxa" w:w="120"/>
              <w:bottom w:type="dxa" w:w="80"/>
              <w:right w:type="dxa" w:w="120"/>
            </w:tcMar>
          </w:tcPr>
          <w:p>
            <w:r>
              <w:rPr>
                <w:rFonts w:ascii="Garamond" w:cs="Garamond" w:eastAsia="Garamond" w:hAnsi="Garamond"/>
                <w:b/>
                <w:bCs/>
                <w:i/>
                <w:iCs/>
                <w:color w:val="1A1510"/>
                <w:sz w:val="20"/>
                <w:szCs w:val="20"/>
              </w:rPr>
              <w:t xml:space="preserve">Believe in free will within a structural pattern.</w:t>
            </w:r>
          </w:p>
        </w:tc>
        <w:tc>
          <w:tcPr>
            <w:tcW w:type="dxa" w:w="3826"/>
            <w:tcBorders>
              <w:top w:val="single" w:color="C9A96E" w:sz="2"/>
              <w:left w:val="single" w:color="C9A96E" w:sz="2"/>
              <w:bottom w:val="single" w:color="C9A96E" w:sz="2"/>
              <w:right w:val="single" w:color="C9A96E" w:sz="2"/>
            </w:tcBorders>
            <w:shd w:fill="EDE8DC" w:val="clear"/>
            <w:tcMar>
              <w:top w:type="dxa" w:w="80"/>
              <w:left w:type="dxa" w:w="120"/>
              <w:bottom w:type="dxa" w:w="80"/>
              <w:right w:type="dxa" w:w="120"/>
            </w:tcMar>
          </w:tcPr>
          <w:p>
            <w:r>
              <w:rPr>
                <w:rFonts w:ascii="Garamond" w:cs="Garamond" w:eastAsia="Garamond" w:hAnsi="Garamond"/>
                <w:b/>
                <w:bCs/>
                <w:i/>
                <w:iCs/>
                <w:color w:val="1A1510"/>
                <w:sz w:val="20"/>
                <w:szCs w:val="20"/>
              </w:rPr>
              <w:t xml:space="preserve">Abu Oracle computes exactly that. Your map has shape.</w:t>
            </w:r>
          </w:p>
        </w:tc>
      </w:tr>
      <w:tr>
        <w:tc>
          <w:tcPr>
            <w:tcW w:type="dxa" w:w="2400"/>
            <w:tcBorders>
              <w:top w:val="single" w:color="C9A96E" w:sz="2"/>
              <w:left w:val="single" w:color="C9A96E" w:sz="2"/>
              <w:bottom w:val="single" w:color="C9A96E" w:sz="2"/>
              <w:right w:val="single" w:color="C9A96E" w:sz="2"/>
            </w:tcBorders>
            <w:shd w:fill="F5EFE2" w:val="clear"/>
            <w:tcMar>
              <w:top w:type="dxa" w:w="80"/>
              <w:left w:type="dxa" w:w="120"/>
              <w:bottom w:type="dxa" w:w="80"/>
              <w:right w:type="dxa" w:w="120"/>
            </w:tcMar>
          </w:tcPr>
          <w:p>
            <w:r>
              <w:rPr>
                <w:rFonts w:ascii="Garamond" w:cs="Garamond" w:eastAsia="Garamond" w:hAnsi="Garamond"/>
                <w:b/>
                <w:bCs/>
                <w:i w:val="false"/>
                <w:iCs w:val="false"/>
                <w:color w:val="1A1510"/>
                <w:sz w:val="20"/>
                <w:szCs w:val="20"/>
              </w:rPr>
              <w:t xml:space="preserve">Sceptics / data-oriented</w:t>
            </w:r>
          </w:p>
        </w:tc>
        <w:tc>
          <w:tcPr>
            <w:tcW w:type="dxa" w:w="2800"/>
            <w:tcBorders>
              <w:top w:val="single" w:color="C9A96E" w:sz="2"/>
              <w:left w:val="single" w:color="C9A96E" w:sz="2"/>
              <w:bottom w:val="single" w:color="C9A96E" w:sz="2"/>
              <w:right w:val="single" w:color="C9A96E" w:sz="2"/>
            </w:tcBorders>
            <w:shd w:fill="F5EFE2" w:val="clear"/>
            <w:tcMar>
              <w:top w:type="dxa" w:w="80"/>
              <w:left w:type="dxa" w:w="120"/>
              <w:bottom w:type="dxa" w:w="80"/>
              <w:right w:type="dxa" w:w="120"/>
            </w:tcMar>
          </w:tcPr>
          <w:p>
            <w:r>
              <w:rPr>
                <w:rFonts w:ascii="Garamond" w:cs="Garamond" w:eastAsia="Garamond" w:hAnsi="Garamond"/>
                <w:b/>
                <w:bCs/>
                <w:i/>
                <w:iCs/>
                <w:color w:val="1A1510"/>
                <w:sz w:val="20"/>
                <w:szCs w:val="20"/>
              </w:rPr>
              <w:t xml:space="preserve">Distrust astrology as pseudoscience.</w:t>
            </w:r>
          </w:p>
        </w:tc>
        <w:tc>
          <w:tcPr>
            <w:tcW w:type="dxa" w:w="3826"/>
            <w:tcBorders>
              <w:top w:val="single" w:color="C9A96E" w:sz="2"/>
              <w:left w:val="single" w:color="C9A96E" w:sz="2"/>
              <w:bottom w:val="single" w:color="C9A96E" w:sz="2"/>
              <w:right w:val="single" w:color="C9A96E" w:sz="2"/>
            </w:tcBorders>
            <w:shd w:fill="F5EFE2" w:val="clear"/>
            <w:tcMar>
              <w:top w:type="dxa" w:w="80"/>
              <w:left w:type="dxa" w:w="120"/>
              <w:bottom w:type="dxa" w:w="80"/>
              <w:right w:type="dxa" w:w="120"/>
            </w:tcMar>
          </w:tcPr>
          <w:p>
            <w:r>
              <w:rPr>
                <w:rFonts w:ascii="Garamond" w:cs="Garamond" w:eastAsia="Garamond" w:hAnsi="Garamond"/>
                <w:b/>
                <w:bCs/>
                <w:i/>
                <w:iCs/>
                <w:color w:val="1A1510"/>
                <w:sz w:val="20"/>
                <w:szCs w:val="20"/>
              </w:rPr>
              <w:t xml:space="preserve">The system is falsifiable. Empirical correlation over 527 events: r=0.155 global → r=0.615 by domain.</w:t>
            </w:r>
          </w:p>
        </w:tc>
      </w:tr>
      <w:tr>
        <w:tc>
          <w:tcPr>
            <w:tcW w:type="dxa" w:w="2400"/>
            <w:tcBorders>
              <w:top w:val="single" w:color="C9A96E" w:sz="2"/>
              <w:left w:val="single" w:color="C9A96E" w:sz="2"/>
              <w:bottom w:val="single" w:color="C9A96E" w:sz="2"/>
              <w:right w:val="single" w:color="C9A96E" w:sz="2"/>
            </w:tcBorders>
            <w:shd w:fill="EDE8DC" w:val="clear"/>
            <w:tcMar>
              <w:top w:type="dxa" w:w="80"/>
              <w:left w:type="dxa" w:w="120"/>
              <w:bottom w:type="dxa" w:w="80"/>
              <w:right w:type="dxa" w:w="120"/>
            </w:tcMar>
          </w:tcPr>
          <w:p>
            <w:r>
              <w:rPr>
                <w:rFonts w:ascii="Garamond" w:cs="Garamond" w:eastAsia="Garamond" w:hAnsi="Garamond"/>
                <w:b/>
                <w:bCs/>
                <w:i w:val="false"/>
                <w:iCs w:val="false"/>
                <w:color w:val="1A1510"/>
                <w:sz w:val="20"/>
                <w:szCs w:val="20"/>
              </w:rPr>
              <w:t xml:space="preserve">General spiritual audience</w:t>
            </w:r>
          </w:p>
        </w:tc>
        <w:tc>
          <w:tcPr>
            <w:tcW w:type="dxa" w:w="2800"/>
            <w:tcBorders>
              <w:top w:val="single" w:color="C9A96E" w:sz="2"/>
              <w:left w:val="single" w:color="C9A96E" w:sz="2"/>
              <w:bottom w:val="single" w:color="C9A96E" w:sz="2"/>
              <w:right w:val="single" w:color="C9A96E" w:sz="2"/>
            </w:tcBorders>
            <w:shd w:fill="EDE8DC" w:val="clear"/>
            <w:tcMar>
              <w:top w:type="dxa" w:w="80"/>
              <w:left w:type="dxa" w:w="120"/>
              <w:bottom w:type="dxa" w:w="80"/>
              <w:right w:type="dxa" w:w="120"/>
            </w:tcMar>
          </w:tcPr>
          <w:p>
            <w:r>
              <w:rPr>
                <w:rFonts w:ascii="Garamond" w:cs="Garamond" w:eastAsia="Garamond" w:hAnsi="Garamond"/>
                <w:b/>
                <w:bCs/>
                <w:i/>
                <w:iCs/>
                <w:color w:val="1A1510"/>
                <w:sz w:val="20"/>
                <w:szCs w:val="20"/>
              </w:rPr>
              <w:t xml:space="preserve">Seeks meaning and personal guidance.</w:t>
            </w:r>
          </w:p>
        </w:tc>
        <w:tc>
          <w:tcPr>
            <w:tcW w:type="dxa" w:w="3826"/>
            <w:tcBorders>
              <w:top w:val="single" w:color="C9A96E" w:sz="2"/>
              <w:left w:val="single" w:color="C9A96E" w:sz="2"/>
              <w:bottom w:val="single" w:color="C9A96E" w:sz="2"/>
              <w:right w:val="single" w:color="C9A96E" w:sz="2"/>
            </w:tcBorders>
            <w:shd w:fill="EDE8DC" w:val="clear"/>
            <w:tcMar>
              <w:top w:type="dxa" w:w="80"/>
              <w:left w:type="dxa" w:w="120"/>
              <w:bottom w:type="dxa" w:w="80"/>
              <w:right w:type="dxa" w:w="120"/>
            </w:tcMar>
          </w:tcPr>
          <w:p>
            <w:r>
              <w:rPr>
                <w:rFonts w:ascii="Garamond" w:cs="Garamond" w:eastAsia="Garamond" w:hAnsi="Garamond"/>
                <w:b/>
                <w:bCs/>
                <w:i/>
                <w:iCs/>
                <w:color w:val="1A1510"/>
                <w:sz w:val="20"/>
                <w:szCs w:val="20"/>
              </w:rPr>
              <w:t xml:space="preserve">The field does not tell you what to do. It shows you the terrain. The decision is yours.</w:t>
            </w:r>
          </w:p>
        </w:tc>
      </w:tr>
    </w:tbl>
    <w:p>
      <w:pPr>
        <w:pStyle w:val="Heading2"/>
        <w:spacing w:before="280" w:after="100"/>
      </w:pPr>
      <w:r>
        <w:rPr>
          <w:rFonts w:ascii="Garamond" w:cs="Garamond" w:eastAsia="Garamond" w:hAnsi="Garamond"/>
          <w:b/>
          <w:bCs/>
          <w:color w:val="8B6F47"/>
          <w:sz w:val="22"/>
          <w:szCs w:val="22"/>
        </w:rPr>
        <w:t xml:space="preserve">7.4 What is never said</w:t>
      </w:r>
    </w:p>
    <w:p>
      <w:pPr>
        <w:pStyle w:val="ListParagraph"/>
        <w:numPr>
          <w:ilvl w:val="0"/>
          <w:numId w:val="3"/>
        </w:numPr>
        <w:spacing w:before="60" w:after="60"/>
      </w:pPr>
      <w:r>
        <w:rPr>
          <w:rFonts w:ascii="Garamond" w:cs="Garamond" w:eastAsia="Garamond" w:hAnsi="Garamond"/>
          <w:color w:val="8B2500"/>
          <w:sz w:val="22"/>
          <w:szCs w:val="22"/>
        </w:rPr>
        <w:t xml:space="preserve">"The HF predicts your future."  →  The system maps structure, not events.</w:t>
      </w:r>
    </w:p>
    <w:p>
      <w:pPr>
        <w:pStyle w:val="ListParagraph"/>
        <w:numPr>
          <w:ilvl w:val="0"/>
          <w:numId w:val="3"/>
        </w:numPr>
        <w:spacing w:before="60" w:after="60"/>
      </w:pPr>
      <w:r>
        <w:rPr>
          <w:rFonts w:ascii="Garamond" w:cs="Garamond" w:eastAsia="Garamond" w:hAnsi="Garamond"/>
          <w:color w:val="8B2500"/>
          <w:sz w:val="22"/>
          <w:szCs w:val="22"/>
        </w:rPr>
        <w:t xml:space="preserve">"Moving to city X will bring you success."  →  The system identifies resonance, not guarantees.</w:t>
      </w:r>
    </w:p>
    <w:p>
      <w:pPr>
        <w:pStyle w:val="ListParagraph"/>
        <w:numPr>
          <w:ilvl w:val="0"/>
          <w:numId w:val="3"/>
        </w:numPr>
        <w:spacing w:before="60" w:after="60"/>
      </w:pPr>
      <w:r>
        <w:rPr>
          <w:rFonts w:ascii="Garamond" w:cs="Garamond" w:eastAsia="Garamond" w:hAnsi="Garamond"/>
          <w:color w:val="8B2500"/>
          <w:sz w:val="22"/>
          <w:szCs w:val="22"/>
        </w:rPr>
        <w:t xml:space="preserve">"We integrate all traditions."  →  The system separates traditions deliberately.</w:t>
      </w:r>
    </w:p>
    <w:p>
      <w:pPr>
        <w:pStyle w:val="ListParagraph"/>
        <w:numPr>
          <w:ilvl w:val="0"/>
          <w:numId w:val="3"/>
        </w:numPr>
        <w:spacing w:before="60" w:after="60"/>
      </w:pPr>
      <w:r>
        <w:rPr>
          <w:rFonts w:ascii="Garamond" w:cs="Garamond" w:eastAsia="Garamond" w:hAnsi="Garamond"/>
          <w:color w:val="8B2500"/>
          <w:sz w:val="22"/>
          <w:szCs w:val="22"/>
        </w:rPr>
        <w:t xml:space="preserve">"It's energy / vibration / frequency."  →  The system uses geometry and probability, not energetic metaphors.</w:t>
      </w:r>
    </w:p>
    <w:p>
      <w:r>
        <w:br/>
      </w:r>
    </w:p>
    <w:p>
      <w:pPr>
        <w:pStyle w:val="Heading1"/>
        <w:spacing w:before="360" w:after="120"/>
        <w:jc w:val="center"/>
      </w:pPr>
      <w:r>
        <w:rPr>
          <w:rFonts w:ascii="Garamond" w:cs="Garamond" w:eastAsia="Garamond" w:hAnsi="Garamond"/>
          <w:b/>
          <w:bCs/>
          <w:color w:val="1A1510"/>
          <w:spacing w:val="120"/>
          <w:sz w:val="28"/>
          <w:szCs w:val="28"/>
        </w:rPr>
        <w:t xml:space="preserve">VIII. EMPIRICAL VALIDATION</w:t>
      </w:r>
    </w:p>
    <w:p>
      <w:pPr>
        <w:pBdr>
          <w:bottom w:val="single" w:color="C9A96E" w:sz="2" w:space="1"/>
        </w:pBdr>
        <w:spacing w:before="80" w:after="80"/>
      </w:pPr>
    </w:p>
    <w:p/>
    <w:p>
      <w:pPr>
        <w:spacing w:before="0" w:after="120"/>
        <w:jc w:val="both"/>
      </w:pPr>
      <w:r>
        <w:rPr>
          <w:rFonts w:ascii="Garamond" w:cs="Garamond" w:eastAsia="Garamond" w:hAnsi="Garamond"/>
          <w:color w:val="1A1510"/>
          <w:sz w:val="22"/>
          <w:szCs w:val="22"/>
        </w:rPr>
        <w:t xml:space="preserve">Abu Oracle is the only astrological relocation system with published empirical validation. The results below correspond to March 2026.</w:t>
      </w:r>
    </w:p>
    <w:p>
      <w:pPr>
        <w:pStyle w:val="Heading2"/>
        <w:spacing w:before="280" w:after="100"/>
      </w:pPr>
      <w:r>
        <w:rPr>
          <w:rFonts w:ascii="Garamond" w:cs="Garamond" w:eastAsia="Garamond" w:hAnsi="Garamond"/>
          <w:b/>
          <w:bCs/>
          <w:color w:val="8B6F47"/>
          <w:sz w:val="22"/>
          <w:szCs w:val="22"/>
        </w:rPr>
        <w:t xml:space="preserve">8.1 Dataset</w:t>
      </w:r>
    </w:p>
    <w:p>
      <w:pPr>
        <w:pStyle w:val="ListParagraph"/>
        <w:numPr>
          <w:ilvl w:val="0"/>
          <w:numId w:val="3"/>
        </w:numPr>
        <w:spacing w:before="60" w:after="60"/>
      </w:pPr>
      <w:r>
        <w:rPr>
          <w:rFonts w:ascii="Garamond" w:cs="Garamond" w:eastAsia="Garamond" w:hAnsi="Garamond"/>
          <w:color w:val="1A1510"/>
          <w:sz w:val="22"/>
          <w:szCs w:val="22"/>
        </w:rPr>
        <w:t xml:space="preserve">5,359 natal charts with Rodden rating AA/A (high birth-time reliability).</w:t>
      </w:r>
    </w:p>
    <w:p>
      <w:pPr>
        <w:pStyle w:val="ListParagraph"/>
        <w:numPr>
          <w:ilvl w:val="0"/>
          <w:numId w:val="3"/>
        </w:numPr>
        <w:spacing w:before="60" w:after="60"/>
      </w:pPr>
      <w:r>
        <w:rPr>
          <w:rFonts w:ascii="Garamond" w:cs="Garamond" w:eastAsia="Garamond" w:hAnsi="Garamond"/>
          <w:color w:val="1A1510"/>
          <w:sz w:val="22"/>
          <w:szCs w:val="22"/>
        </w:rPr>
        <w:t xml:space="preserve">527 biographical events with date, location, and valence (positive / neutral / negative).</w:t>
      </w:r>
    </w:p>
    <w:p>
      <w:pPr>
        <w:pStyle w:val="ListParagraph"/>
        <w:numPr>
          <w:ilvl w:val="0"/>
          <w:numId w:val="3"/>
        </w:numPr>
        <w:spacing w:before="60" w:after="60"/>
      </w:pPr>
      <w:r>
        <w:rPr>
          <w:rFonts w:ascii="Garamond" w:cs="Garamond" w:eastAsia="Garamond" w:hAnsi="Garamond"/>
          <w:color w:val="1A1510"/>
          <w:sz w:val="22"/>
          <w:szCs w:val="22"/>
        </w:rPr>
        <w:t xml:space="preserve">9,261 parameter combinations evaluated in grid search.</w:t>
      </w:r>
    </w:p>
    <w:p>
      <w:pPr>
        <w:pStyle w:val="Heading2"/>
        <w:spacing w:before="280" w:after="100"/>
      </w:pPr>
      <w:r>
        <w:rPr>
          <w:rFonts w:ascii="Garamond" w:cs="Garamond" w:eastAsia="Garamond" w:hAnsi="Garamond"/>
          <w:b/>
          <w:bCs/>
          <w:color w:val="8B6F47"/>
          <w:sz w:val="22"/>
          <w:szCs w:val="22"/>
        </w:rPr>
        <w:t xml:space="preserve">8.2 Main result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3000"/>
        <w:gridCol w:w="2426"/>
      </w:tblGrid>
      <w:tr>
        <w:trPr>
          <w:tblHeader/>
        </w:trPr>
        <w:tc>
          <w:tcPr>
            <w:tcW w:type="dxa" w:w="3600"/>
            <w:tcBorders>
              <w:top w:val="single" w:color="8B6F47" w:sz="4"/>
              <w:left w:val="single" w:color="8B6F47" w:sz="4"/>
              <w:bottom w:val="single" w:color="8B6F47" w:sz="4"/>
              <w:right w:val="single" w:color="8B6F47" w:sz="4"/>
            </w:tcBorders>
            <w:shd w:fill="DDD5C3" w:val="clear"/>
            <w:tcMar>
              <w:top w:type="dxa" w:w="80"/>
              <w:left w:type="dxa" w:w="120"/>
              <w:bottom w:type="dxa" w:w="80"/>
              <w:right w:type="dxa" w:w="120"/>
            </w:tcMar>
          </w:tcPr>
          <w:p>
            <w:r>
              <w:rPr>
                <w:rFonts w:ascii="Garamond" w:cs="Garamond" w:eastAsia="Garamond" w:hAnsi="Garamond"/>
                <w:b/>
                <w:bCs/>
                <w:color w:val="1A1510"/>
                <w:sz w:val="20"/>
                <w:szCs w:val="20"/>
              </w:rPr>
              <w:t xml:space="preserve">Field configuration</w:t>
            </w:r>
          </w:p>
        </w:tc>
        <w:tc>
          <w:tcPr>
            <w:tcW w:type="dxa" w:w="3000"/>
            <w:tcBorders>
              <w:top w:val="single" w:color="8B6F47" w:sz="4"/>
              <w:left w:val="single" w:color="8B6F47" w:sz="4"/>
              <w:bottom w:val="single" w:color="8B6F47" w:sz="4"/>
              <w:right w:val="single" w:color="8B6F47" w:sz="4"/>
            </w:tcBorders>
            <w:shd w:fill="DDD5C3" w:val="clear"/>
            <w:tcMar>
              <w:top w:type="dxa" w:w="80"/>
              <w:left w:type="dxa" w:w="120"/>
              <w:bottom w:type="dxa" w:w="80"/>
              <w:right w:type="dxa" w:w="120"/>
            </w:tcMar>
          </w:tcPr>
          <w:p>
            <w:r>
              <w:rPr>
                <w:rFonts w:ascii="Garamond" w:cs="Garamond" w:eastAsia="Garamond" w:hAnsi="Garamond"/>
                <w:b/>
                <w:bCs/>
                <w:color w:val="1A1510"/>
                <w:sz w:val="20"/>
                <w:szCs w:val="20"/>
              </w:rPr>
              <w:t xml:space="preserve">Correlation HF ↔ valence</w:t>
            </w:r>
          </w:p>
        </w:tc>
        <w:tc>
          <w:tcPr>
            <w:tcW w:type="dxa" w:w="2426"/>
            <w:tcBorders>
              <w:top w:val="single" w:color="8B6F47" w:sz="4"/>
              <w:left w:val="single" w:color="8B6F47" w:sz="4"/>
              <w:bottom w:val="single" w:color="8B6F47" w:sz="4"/>
              <w:right w:val="single" w:color="8B6F47" w:sz="4"/>
            </w:tcBorders>
            <w:shd w:fill="DDD5C3" w:val="clear"/>
            <w:tcMar>
              <w:top w:type="dxa" w:w="80"/>
              <w:left w:type="dxa" w:w="120"/>
              <w:bottom w:type="dxa" w:w="80"/>
              <w:right w:type="dxa" w:w="120"/>
            </w:tcMar>
          </w:tcPr>
          <w:p>
            <w:r>
              <w:rPr>
                <w:rFonts w:ascii="Garamond" w:cs="Garamond" w:eastAsia="Garamond" w:hAnsi="Garamond"/>
                <w:b/>
                <w:bCs/>
                <w:color w:val="1A1510"/>
                <w:sz w:val="20"/>
                <w:szCs w:val="20"/>
              </w:rPr>
              <w:t xml:space="preserve">Improvement</w:t>
            </w:r>
          </w:p>
        </w:tc>
      </w:tr>
      <w:tr>
        <w:tc>
          <w:tcPr>
            <w:tcW w:type="dxa" w:w="3600"/>
            <w:tcBorders>
              <w:top w:val="single" w:color="C9A96E" w:sz="2"/>
              <w:left w:val="single" w:color="C9A96E" w:sz="2"/>
              <w:bottom w:val="single" w:color="C9A96E" w:sz="2"/>
              <w:right w:val="single" w:color="C9A96E" w:sz="2"/>
            </w:tcBorders>
            <w:shd w:fill="F5EFE2" w:val="clear"/>
            <w:tcMar>
              <w:top w:type="dxa" w:w="80"/>
              <w:left w:type="dxa" w:w="120"/>
              <w:bottom w:type="dxa" w:w="80"/>
              <w:right w:type="dxa" w:w="120"/>
            </w:tcMar>
          </w:tcPr>
          <w:p>
            <w:r>
              <w:rPr>
                <w:rFonts w:ascii="Garamond" w:cs="Garamond" w:eastAsia="Garamond" w:hAnsi="Garamond"/>
                <w:b/>
                <w:bCs/>
                <w:i/>
                <w:iCs/>
                <w:color w:val="1A1510"/>
                <w:sz w:val="20"/>
                <w:szCs w:val="20"/>
              </w:rPr>
              <w:t xml:space="preserve">HF global (no domain filter)</w:t>
            </w:r>
          </w:p>
        </w:tc>
        <w:tc>
          <w:tcPr>
            <w:tcW w:type="dxa" w:w="3000"/>
            <w:tcBorders>
              <w:top w:val="single" w:color="C9A96E" w:sz="2"/>
              <w:left w:val="single" w:color="C9A96E" w:sz="2"/>
              <w:bottom w:val="single" w:color="C9A96E" w:sz="2"/>
              <w:right w:val="single" w:color="C9A96E" w:sz="2"/>
            </w:tcBorders>
            <w:shd w:fill="F5EFE2" w:val="clear"/>
            <w:tcMar>
              <w:top w:type="dxa" w:w="80"/>
              <w:left w:type="dxa" w:w="120"/>
              <w:bottom w:type="dxa" w:w="80"/>
              <w:right w:type="dxa" w:w="120"/>
            </w:tcMar>
          </w:tcPr>
          <w:p>
            <w:r>
              <w:rPr>
                <w:rFonts w:ascii="Garamond" w:cs="Garamond" w:eastAsia="Garamond" w:hAnsi="Garamond"/>
                <w:b w:val="false"/>
                <w:bCs w:val="false"/>
                <w:i w:val="false"/>
                <w:iCs w:val="false"/>
                <w:color w:val="6B5A42"/>
                <w:sz w:val="20"/>
                <w:szCs w:val="20"/>
              </w:rPr>
              <w:t xml:space="preserve">r = 0.155, Cohen's d = 0.441</w:t>
            </w:r>
          </w:p>
        </w:tc>
        <w:tc>
          <w:tcPr>
            <w:tcW w:type="dxa" w:w="2426"/>
            <w:tcBorders>
              <w:top w:val="single" w:color="C9A96E" w:sz="2"/>
              <w:left w:val="single" w:color="C9A96E" w:sz="2"/>
              <w:bottom w:val="single" w:color="C9A96E" w:sz="2"/>
              <w:right w:val="single" w:color="C9A96E" w:sz="2"/>
            </w:tcBorders>
            <w:shd w:fill="F5EFE2" w:val="clear"/>
            <w:tcMar>
              <w:top w:type="dxa" w:w="80"/>
              <w:left w:type="dxa" w:w="120"/>
              <w:bottom w:type="dxa" w:w="80"/>
              <w:right w:type="dxa" w:w="120"/>
            </w:tcMar>
          </w:tcPr>
          <w:p>
            <w:r>
              <w:rPr>
                <w:rFonts w:ascii="Garamond" w:cs="Garamond" w:eastAsia="Garamond" w:hAnsi="Garamond"/>
                <w:b/>
                <w:bCs/>
                <w:i/>
                <w:iCs/>
                <w:color w:val="1A1510"/>
                <w:sz w:val="20"/>
                <w:szCs w:val="20"/>
              </w:rPr>
              <w:t xml:space="preserve">—</w:t>
            </w:r>
          </w:p>
        </w:tc>
      </w:tr>
      <w:tr>
        <w:tc>
          <w:tcPr>
            <w:tcW w:type="dxa" w:w="3600"/>
            <w:tcBorders>
              <w:top w:val="single" w:color="C9A96E" w:sz="2"/>
              <w:left w:val="single" w:color="C9A96E" w:sz="2"/>
              <w:bottom w:val="single" w:color="C9A96E" w:sz="2"/>
              <w:right w:val="single" w:color="C9A96E" w:sz="2"/>
            </w:tcBorders>
            <w:shd w:fill="EDE8DC" w:val="clear"/>
            <w:tcMar>
              <w:top w:type="dxa" w:w="80"/>
              <w:left w:type="dxa" w:w="120"/>
              <w:bottom w:type="dxa" w:w="80"/>
              <w:right w:type="dxa" w:w="120"/>
            </w:tcMar>
          </w:tcPr>
          <w:p>
            <w:r>
              <w:rPr>
                <w:rFonts w:ascii="Garamond" w:cs="Garamond" w:eastAsia="Garamond" w:hAnsi="Garamond"/>
                <w:b/>
                <w:bCs/>
                <w:i w:val="false"/>
                <w:iCs w:val="false"/>
                <w:color w:val="1A1510"/>
                <w:sz w:val="20"/>
                <w:szCs w:val="20"/>
              </w:rPr>
              <w:t xml:space="preserve">HF health domain (H6/H8)</w:t>
            </w:r>
          </w:p>
        </w:tc>
        <w:tc>
          <w:tcPr>
            <w:tcW w:type="dxa" w:w="3000"/>
            <w:tcBorders>
              <w:top w:val="single" w:color="C9A96E" w:sz="2"/>
              <w:left w:val="single" w:color="C9A96E" w:sz="2"/>
              <w:bottom w:val="single" w:color="C9A96E" w:sz="2"/>
              <w:right w:val="single" w:color="C9A96E" w:sz="2"/>
            </w:tcBorders>
            <w:shd w:fill="EDE8DC" w:val="clear"/>
            <w:tcMar>
              <w:top w:type="dxa" w:w="80"/>
              <w:left w:type="dxa" w:w="120"/>
              <w:bottom w:type="dxa" w:w="80"/>
              <w:right w:type="dxa" w:w="120"/>
            </w:tcMar>
          </w:tcPr>
          <w:p>
            <w:r>
              <w:rPr>
                <w:rFonts w:ascii="Garamond" w:cs="Garamond" w:eastAsia="Garamond" w:hAnsi="Garamond"/>
                <w:b/>
                <w:bCs/>
                <w:i w:val="false"/>
                <w:iCs w:val="false"/>
                <w:color w:val="1A4A00"/>
                <w:sz w:val="20"/>
                <w:szCs w:val="20"/>
              </w:rPr>
              <w:t xml:space="preserve">r = 0.615</w:t>
            </w:r>
          </w:p>
        </w:tc>
        <w:tc>
          <w:tcPr>
            <w:tcW w:type="dxa" w:w="2426"/>
            <w:tcBorders>
              <w:top w:val="single" w:color="C9A96E" w:sz="2"/>
              <w:left w:val="single" w:color="C9A96E" w:sz="2"/>
              <w:bottom w:val="single" w:color="C9A96E" w:sz="2"/>
              <w:right w:val="single" w:color="C9A96E" w:sz="2"/>
            </w:tcBorders>
            <w:shd w:fill="EDE8DC" w:val="clear"/>
            <w:tcMar>
              <w:top w:type="dxa" w:w="80"/>
              <w:left w:type="dxa" w:w="120"/>
              <w:bottom w:type="dxa" w:w="80"/>
              <w:right w:type="dxa" w:w="120"/>
            </w:tcMar>
          </w:tcPr>
          <w:p>
            <w:r>
              <w:rPr>
                <w:rFonts w:ascii="Garamond" w:cs="Garamond" w:eastAsia="Garamond" w:hAnsi="Garamond"/>
                <w:b/>
                <w:bCs/>
                <w:i w:val="false"/>
                <w:iCs w:val="false"/>
                <w:color w:val="1A4A00"/>
                <w:sz w:val="20"/>
                <w:szCs w:val="20"/>
              </w:rPr>
              <w:t xml:space="preserve">+0.93 in Cohen's d</w:t>
            </w:r>
          </w:p>
        </w:tc>
      </w:tr>
    </w:tbl>
    <w:p>
      <w:pPr>
        <w:pStyle w:val="Heading2"/>
        <w:spacing w:before="280" w:after="100"/>
      </w:pPr>
      <w:r>
        <w:rPr>
          <w:rFonts w:ascii="Garamond" w:cs="Garamond" w:eastAsia="Garamond" w:hAnsi="Garamond"/>
          <w:b/>
          <w:bCs/>
          <w:color w:val="8B6F47"/>
          <w:sz w:val="22"/>
          <w:szCs w:val="22"/>
        </w:rPr>
        <w:t xml:space="preserve">8.3 Interpretation</w:t>
      </w:r>
    </w:p>
    <w:p>
      <w:pPr>
        <w:spacing w:before="0" w:after="120"/>
        <w:jc w:val="both"/>
      </w:pPr>
      <w:r>
        <w:rPr>
          <w:rFonts w:ascii="Garamond" w:cs="Garamond" w:eastAsia="Garamond" w:hAnsi="Garamond"/>
          <w:color w:val="1A1510"/>
          <w:sz w:val="22"/>
          <w:szCs w:val="22"/>
        </w:rPr>
        <w:t xml:space="preserve">The finding confirms Axiom 8.1: the global field is not wrong — it captures total astrological activity. It is deaf to the specific question because it mixes all frequencies simultaneously. Domain filtering produces a +0.93 improvement in Cohen's d over health events.</w:t>
      </w:r>
    </w:p>
    <w:p>
      <w:pPr>
        <w:spacing w:before="0" w:after="120"/>
        <w:jc w:val="both"/>
      </w:pPr>
      <w:r>
        <w:rPr>
          <w:rFonts w:ascii="Garamond" w:cs="Garamond" w:eastAsia="Garamond" w:hAnsi="Garamond"/>
          <w:color w:val="1A1510"/>
          <w:sz w:val="22"/>
          <w:szCs w:val="22"/>
        </w:rPr>
        <w:t xml:space="preserve">This is the founding empirical finding of the system. It validates the core architectural decision: the domain selector is not a UX convenience — it is the implementation of an epistemic requirement.</w:t>
      </w:r>
    </w:p>
    <w:p>
      <w:pPr>
        <w:spacing w:before="0" w:after="120"/>
        <w:jc w:val="both"/>
      </w:pPr>
      <w:r>
        <w:rPr>
          <w:rFonts w:ascii="Garamond" w:cs="Garamond" w:eastAsia="Garamond" w:hAnsi="Garamond"/>
          <w:i/>
          <w:iCs/>
          <w:color w:val="1A1510"/>
          <w:sz w:val="22"/>
          <w:szCs w:val="22"/>
        </w:rPr>
        <w:t xml:space="preserve">Methodological note: for H10 (Career) Pearson correlation is unreliable due to class imbalance in the corpus (celebrity-heavy dataset). The operative metric for that domain is Cohen's d.</w:t>
      </w:r>
    </w:p>
    <w:p/>
    <w:p/>
    <w:p/>
    <w:p/>
    <w:p>
      <w:pPr>
        <w:pBdr>
          <w:bottom w:val="single" w:color="8B6F47" w:sz="4" w:space="1"/>
        </w:pBdr>
        <w:spacing w:before="160" w:after="160"/>
      </w:pPr>
    </w:p>
    <w:p>
      <w:pPr>
        <w:spacing w:before="80" w:after="80"/>
        <w:jc w:val="center"/>
      </w:pPr>
      <w:r>
        <w:rPr>
          <w:rFonts w:ascii="Garamond" w:cs="Garamond" w:eastAsia="Garamond" w:hAnsi="Garamond"/>
          <w:i w:val="false"/>
          <w:iCs w:val="false"/>
          <w:color w:val="6B5A42"/>
          <w:sz w:val="18"/>
          <w:szCs w:val="18"/>
        </w:rPr>
        <w:t xml:space="preserve">Abu Oracle Project  ·  Canonical Communication Reference v1.0  ·  March 2026</w:t>
      </w:r>
    </w:p>
    <w:p>
      <w:pPr>
        <w:spacing w:before="80" w:after="80"/>
        <w:jc w:val="center"/>
      </w:pPr>
      <w:r>
        <w:rPr>
          <w:rFonts w:ascii="Garamond" w:cs="Garamond" w:eastAsia="Garamond" w:hAnsi="Garamond"/>
          <w:i w:val="false"/>
          <w:iCs w:val="false"/>
          <w:color w:val="1A1510"/>
          <w:sz w:val="22"/>
          <w:szCs w:val="22"/>
        </w:rPr>
        <w:t xml:space="preserve">Created and founded by Atilio Guillermo Alberto Siaira</w:t>
      </w:r>
    </w:p>
    <w:p>
      <w:pPr>
        <w:spacing w:before="80" w:after="80"/>
        <w:jc w:val="center"/>
      </w:pPr>
      <w:r>
        <w:rPr>
          <w:rFonts w:ascii="Garamond" w:cs="Garamond" w:eastAsia="Garamond" w:hAnsi="Garamond"/>
          <w:i/>
          <w:iCs/>
          <w:color w:val="8B6F47"/>
          <w:sz w:val="16"/>
          <w:szCs w:val="16"/>
        </w:rPr>
        <w:t xml:space="preserve">Founded in memory of Héctor Steinbrun</w:t>
      </w:r>
    </w:p>
    <w:p>
      <w:pPr>
        <w:spacing w:before="80" w:after="80"/>
        <w:jc w:val="center"/>
      </w:pPr>
      <w:r>
        <w:rPr>
          <w:rFonts w:ascii="Garamond" w:cs="Garamond" w:eastAsia="Garamond" w:hAnsi="Garamond"/>
          <w:i/>
          <w:iCs/>
          <w:color w:val="6B5A42"/>
          <w:sz w:val="14"/>
          <w:szCs w:val="14"/>
        </w:rPr>
        <w:t xml:space="preserve">Sources: Axiomatics of Heavens v0.4  ·  "On the Geometry of Light" (@trq212)  ·  Matriz del Destino compatibility analysis  ·  HF Experiment Log</w:t>
      </w:r>
    </w:p>
    <w:p>
      <w:pPr>
        <w:pBdr>
          <w:bottom w:val="single" w:color="8B6F47" w:sz="4" w:space="1"/>
        </w:pBdr>
        <w:spacing w:before="160" w:after="160"/>
      </w:pP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A96E" w:sz="2" w:space="4"/>
      </w:pBdr>
      <w:jc w:val="center"/>
    </w:pPr>
    <w:r>
      <w:rPr>
        <w:rFonts w:ascii="Garamond" w:cs="Garamond" w:eastAsia="Garamond" w:hAnsi="Garamond"/>
        <w:color w:val="6B5A42"/>
        <w:sz w:val="16"/>
        <w:szCs w:val="16"/>
      </w:rPr>
      <w:t xml:space="preserve">Abu Oracle Project  ·  2026  ·  </w:t>
    </w:r>
    <w:r>
      <w:rPr>
        <w:rFonts w:ascii="Garamond" w:cs="Garamond" w:eastAsia="Garamond" w:hAnsi="Garamond"/>
        <w:color w:val="6B5A42"/>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A96E" w:sz="2" w:space="4"/>
      </w:pBdr>
      <w:jc w:val="right"/>
    </w:pPr>
    <w:r>
      <w:rPr>
        <w:rFonts w:ascii="Garamond" w:cs="Garamond" w:eastAsia="Garamond" w:hAnsi="Garamond"/>
        <w:i/>
        <w:iCs/>
        <w:color w:val="6B5A42"/>
        <w:sz w:val="16"/>
        <w:szCs w:val="16"/>
      </w:rPr>
      <w:t xml:space="preserve">Abu Oracle — Canonical Communication Reference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aramond" w:cs="Garamond" w:eastAsia="Garamond" w:hAnsi="Garamond"/>
        <w:color w:val="1A151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Garamond" w:cs="Garamond" w:eastAsia="Garamond" w:hAnsi="Garamond"/>
      <w:b/>
      <w:bCs/>
      <w:color w:val="1A1510"/>
      <w:sz w:val="28"/>
      <w:szCs w:val="28"/>
    </w:rPr>
  </w:style>
  <w:style w:type="paragraph" w:styleId="Heading2">
    <w:name w:val="Heading 2"/>
    <w:basedOn w:val="Normal"/>
    <w:next w:val="Normal"/>
    <w:qFormat/>
    <w:pPr>
      <w:spacing w:before="280" w:after="100"/>
      <w:outlineLvl w:val="1"/>
    </w:pPr>
    <w:rPr>
      <w:rFonts w:ascii="Garamond" w:cs="Garamond" w:eastAsia="Garamond" w:hAnsi="Garamond"/>
      <w:b/>
      <w:bCs/>
      <w:color w:val="8B6F47"/>
      <w:sz w:val="22"/>
      <w:szCs w:val="22"/>
    </w:rPr>
  </w:style>
  <w:style w:type="paragraph" w:styleId="Heading3">
    <w:name w:val="Heading 3"/>
    <w:basedOn w:val="Normal"/>
    <w:next w:val="Normal"/>
    <w:qFormat/>
    <w:pPr>
      <w:spacing w:before="200" w:after="60"/>
      <w:outlineLvl w:val="2"/>
    </w:pPr>
    <w:rPr>
      <w:rFonts w:ascii="Garamond" w:cs="Garamond" w:eastAsia="Garamond" w:hAnsi="Garamond"/>
      <w:b/>
      <w:bCs/>
      <w:color w:val="1A1510"/>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2026-03-20T16:14:39.845Z</dcterms:created>
  <dcterms:modified xsi:type="dcterms:W3CDTF">2026-03-20T16:14:39.847Z</dcterms:modified>
</cp:coreProperties>
</file>

<file path=docProps/custom.xml><?xml version="1.0" encoding="utf-8"?>
<Properties xmlns="http://schemas.openxmlformats.org/officeDocument/2006/custom-properties" xmlns:vt="http://schemas.openxmlformats.org/officeDocument/2006/docPropsVTypes"/>
</file>