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body>
    <w:p xmlns:wp14="http://schemas.microsoft.com/office/word/2010/wordml" w:rsidR="002F26C2" w:rsidRDefault="002F26C2" w14:paraId="3B89D3B9" wp14:textId="05A5C153">
      <w:r w:rsidR="113C8C04">
        <w:rPr/>
        <w:t>Estructura de costos, gastos y precio unitario</w:t>
      </w:r>
    </w:p>
    <w:p xmlns:wp14="http://schemas.microsoft.com/office/word/2010/wordml" w:rsidR="002F26C2" w:rsidP="59F1B0ED" w:rsidRDefault="002F26C2" w14:paraId="377E3DD8" wp14:textId="3C3D3F29">
      <w:pPr>
        <w:pStyle w:val="Normal"/>
      </w:pPr>
      <w:r w:rsidR="113C8C04">
        <w:rPr/>
        <w:t>El análisis financiero de Agrosyph se divide en activos de infraestructura, inversión en capital intelectual y costos operativos, asegurando la viabilidad del proyecto desde la etapa de prototipo funcional.</w:t>
      </w:r>
    </w:p>
    <w:p xmlns:wp14="http://schemas.microsoft.com/office/word/2010/wordml" w:rsidR="002F26C2" w:rsidP="59F1B0ED" w:rsidRDefault="002F26C2" w14:paraId="3F8FA78A" wp14:textId="6E2B23C7">
      <w:pPr>
        <w:pStyle w:val="Normal"/>
      </w:pPr>
      <w:r w:rsidR="113C8C04">
        <w:rPr/>
        <w:t>2.1 Inversión en Activos y Desarrollo</w:t>
      </w:r>
    </w:p>
    <w:p xmlns:wp14="http://schemas.microsoft.com/office/word/2010/wordml" w:rsidR="002F26C2" w:rsidP="59F1B0ED" w:rsidRDefault="002F26C2" w14:paraId="3F10782E" wp14:textId="25934B28">
      <w:pPr>
        <w:pStyle w:val="Normal"/>
      </w:pPr>
      <w:r w:rsidR="113C8C04">
        <w:rPr/>
        <w:t>Esta sección contempla los recursos necesarios para la ingeniería, diseño y puesta en marcha del ecosistema digital.</w:t>
      </w:r>
    </w:p>
    <w:p xmlns:wp14="http://schemas.microsoft.com/office/word/2010/wordml" w:rsidR="002F26C2" w:rsidP="59F1B0ED" w:rsidRDefault="002F26C2" w14:paraId="0E9D0454" wp14:textId="22EE3507">
      <w:pPr>
        <w:pStyle w:val="Normal"/>
      </w:pPr>
      <w:r w:rsidR="113C8C04">
        <w:rPr/>
        <w:t>Infraestructura de Cómputo ($19,000.00 MXN): Adquisición de equipo de procesamiento de alto rendimiento indispensable para el desarrollo de la arquitectura web, gestión de bases de datos relacionales y compilación del firmware de los dispositivos de campo.</w:t>
      </w:r>
    </w:p>
    <w:p xmlns:wp14="http://schemas.microsoft.com/office/word/2010/wordml" w:rsidR="002F26C2" w:rsidP="59F1B0ED" w:rsidRDefault="002F26C2" w14:paraId="726B2B67" wp14:textId="7617613B">
      <w:pPr>
        <w:pStyle w:val="Normal"/>
      </w:pPr>
      <w:r w:rsidR="113C8C04">
        <w:rPr/>
        <w:t>Capital Intelectual ($7,500.00 MXN): Valoración del desarrollo técnico basado en 300 horas de ingeniería (Backend, Frontend y Firmware) con una tarifa de programador junior de $25.00 MXN/hr. Este rubro representa el activo intangible de la propiedad intelectual del software.</w:t>
      </w:r>
    </w:p>
    <w:p xmlns:wp14="http://schemas.microsoft.com/office/word/2010/wordml" w:rsidR="002F26C2" w:rsidP="59F1B0ED" w:rsidRDefault="002F26C2" w14:paraId="487C50B5" wp14:textId="56715181">
      <w:pPr>
        <w:pStyle w:val="Normal"/>
      </w:pPr>
      <w:r w:rsidR="113C8C04">
        <w:rPr/>
        <w:t>2.2 Costo Unitario de Producción (Hardware)</w:t>
      </w:r>
    </w:p>
    <w:p xmlns:wp14="http://schemas.microsoft.com/office/word/2010/wordml" w:rsidR="002F26C2" w:rsidP="59F1B0ED" w:rsidRDefault="002F26C2" w14:paraId="5D2F1DB1" wp14:textId="6801CA13">
      <w:pPr>
        <w:pStyle w:val="Normal"/>
      </w:pPr>
      <w:r w:rsidR="113C8C04">
        <w:rPr/>
        <w:t>Representa el costo de materiales (BOM) para la integración de un nodo sensor con capacidad de transmisión remota.</w:t>
      </w:r>
    </w:p>
    <w:p xmlns:wp14="http://schemas.microsoft.com/office/word/2010/wordml" w:rsidR="002F26C2" w:rsidP="59F1B0ED" w:rsidRDefault="002F26C2" w14:paraId="74046B91" wp14:textId="7803AD50">
      <w:pPr>
        <w:pStyle w:val="Normal"/>
      </w:pPr>
      <w:r w:rsidR="113C8C04">
        <w:rPr/>
        <w:t>Unidad de Procesamiento y Comunicación ($300.00 MXN): Microcontrolador con protocolo Wi-Fi integrado para el enlace de datos hacia la plataforma cloud.</w:t>
      </w:r>
    </w:p>
    <w:p xmlns:wp14="http://schemas.microsoft.com/office/word/2010/wordml" w:rsidR="002F26C2" w:rsidP="59F1B0ED" w:rsidRDefault="002F26C2" w14:paraId="586CBED8" wp14:textId="0D3D39B9">
      <w:pPr>
        <w:pStyle w:val="Normal"/>
      </w:pPr>
      <w:r w:rsidR="113C8C04">
        <w:rPr/>
        <w:t>Módulo de Sensado Fitosanitario ($1,500.00 MXN): Sensor de pH de grado industrial diseñado para proporcionar datos analíticos del entorno del cultivo.</w:t>
      </w:r>
    </w:p>
    <w:p xmlns:wp14="http://schemas.microsoft.com/office/word/2010/wordml" w:rsidR="002F26C2" w:rsidP="59F1B0ED" w:rsidRDefault="002F26C2" w14:paraId="37CB4B8B" wp14:textId="0BE00DBC">
      <w:pPr>
        <w:pStyle w:val="Normal"/>
      </w:pPr>
      <w:r w:rsidR="113C8C04">
        <w:rPr/>
        <w:t>Subsistema Energético ($500.00 MXN): Unidad de almacenamiento de energía mediante celdas de litio y gestión de carga para autonomía en campo.</w:t>
      </w:r>
    </w:p>
    <w:p xmlns:wp14="http://schemas.microsoft.com/office/word/2010/wordml" w:rsidR="002F26C2" w:rsidP="59F1B0ED" w:rsidRDefault="002F26C2" w14:paraId="391AB5BC" wp14:textId="63A68176">
      <w:pPr>
        <w:pStyle w:val="Normal"/>
      </w:pPr>
      <w:r w:rsidR="113C8C04">
        <w:rPr/>
        <w:t>Encapsulado de Protección ($250.00 MXN): Carcasa con certificación IP67 para garantizar la integridad de los componentes ante condiciones climáticas adversas y riego.</w:t>
      </w:r>
    </w:p>
    <w:p xmlns:wp14="http://schemas.microsoft.com/office/word/2010/wordml" w:rsidR="002F26C2" w:rsidP="59F1B0ED" w:rsidRDefault="002F26C2" w14:paraId="6187020F" wp14:textId="6DAA3324">
      <w:pPr>
        <w:pStyle w:val="Normal"/>
      </w:pPr>
      <w:r w:rsidR="113C8C04">
        <w:rPr/>
        <w:t>Costo Total de Producción por Nodo: $2,550.00 MXN</w:t>
      </w:r>
    </w:p>
    <w:p xmlns:wp14="http://schemas.microsoft.com/office/word/2010/wordml" w:rsidR="002F26C2" w:rsidP="59F1B0ED" w:rsidRDefault="002F26C2" w14:paraId="4807F178" wp14:textId="44EC192B">
      <w:pPr>
        <w:pStyle w:val="Normal"/>
      </w:pPr>
    </w:p>
    <w:p xmlns:wp14="http://schemas.microsoft.com/office/word/2010/wordml" w:rsidR="002F26C2" w:rsidP="59F1B0ED" w:rsidRDefault="002F26C2" w14:paraId="4D7B086D" wp14:textId="51091FCB">
      <w:pPr>
        <w:pStyle w:val="Normal"/>
      </w:pPr>
      <w:r w:rsidR="113C8C04">
        <w:rPr/>
        <w:t>3. Modelo de Ingresos y Estrategia Comercial</w:t>
      </w:r>
    </w:p>
    <w:p xmlns:wp14="http://schemas.microsoft.com/office/word/2010/wordml" w:rsidR="002F26C2" w:rsidP="59F1B0ED" w:rsidRDefault="002F26C2" w14:paraId="2ED4627C" wp14:textId="75E5FF46">
      <w:pPr>
        <w:pStyle w:val="Normal"/>
      </w:pPr>
      <w:r w:rsidR="113C8C04">
        <w:rPr/>
        <w:t>El modelo de sostenibilidad financiera de Agrosyph se basa en un esquema híbrido que garantiza el retorno de inversión y la cobertura de gastos fijos.</w:t>
      </w:r>
    </w:p>
    <w:p xmlns:wp14="http://schemas.microsoft.com/office/word/2010/wordml" w:rsidR="002F26C2" w:rsidP="59F1B0ED" w:rsidRDefault="002F26C2" w14:paraId="2A4ACE73" wp14:textId="3D38847F">
      <w:pPr>
        <w:pStyle w:val="Normal"/>
      </w:pPr>
      <w:r w:rsidR="113C8C04">
        <w:rPr/>
        <w:t>3.1 Venta Directa de Hardware</w:t>
      </w:r>
    </w:p>
    <w:p xmlns:wp14="http://schemas.microsoft.com/office/word/2010/wordml" w:rsidR="002F26C2" w:rsidP="59F1B0ED" w:rsidRDefault="002F26C2" w14:paraId="2BCF0BCA" wp14:textId="59BA0347">
      <w:pPr>
        <w:pStyle w:val="Normal"/>
      </w:pPr>
      <w:r w:rsidR="113C8C04">
        <w:rPr/>
        <w:t>Precio de Venta al Productor: $3,800.00 MXN.</w:t>
      </w:r>
    </w:p>
    <w:p xmlns:wp14="http://schemas.microsoft.com/office/word/2010/wordml" w:rsidR="002F26C2" w:rsidP="59F1B0ED" w:rsidRDefault="002F26C2" w14:paraId="655EEFD1" wp14:textId="3ADC72EB">
      <w:pPr>
        <w:pStyle w:val="Normal"/>
      </w:pPr>
      <w:r w:rsidR="113C8C04">
        <w:rPr/>
        <w:t>Margen de Utilidad Bruta: 33%. Este margen permite cubrir costos de garantía, soporte técnico inicial y escalabilidad de la producción.</w:t>
      </w:r>
    </w:p>
    <w:p xmlns:wp14="http://schemas.microsoft.com/office/word/2010/wordml" w:rsidR="002F26C2" w:rsidP="59F1B0ED" w:rsidRDefault="002F26C2" w14:paraId="2941C34E" wp14:textId="4EB4E738">
      <w:pPr>
        <w:pStyle w:val="Normal"/>
      </w:pPr>
      <w:r w:rsidR="113C8C04">
        <w:rPr/>
        <w:t>3.2 Esquema de Suscripción (SaaS)</w:t>
      </w:r>
    </w:p>
    <w:p xmlns:wp14="http://schemas.microsoft.com/office/word/2010/wordml" w:rsidR="002F26C2" w:rsidP="59F1B0ED" w:rsidRDefault="002F26C2" w14:paraId="37759E70" wp14:textId="3758D15D">
      <w:pPr>
        <w:pStyle w:val="Normal"/>
      </w:pPr>
      <w:r w:rsidR="113C8C04">
        <w:rPr/>
        <w:t>Para la gestión de datos y visualización geográfica, se establecen dos niveles de servicio obligatorios:</w:t>
      </w:r>
    </w:p>
    <w:p xmlns:wp14="http://schemas.microsoft.com/office/word/2010/wordml" w:rsidR="002F26C2" w:rsidP="59F1B0ED" w:rsidRDefault="002F26C2" w14:paraId="373C9580" wp14:textId="78BEEB11">
      <w:pPr>
        <w:pStyle w:val="Normal"/>
      </w:pPr>
      <w:r w:rsidR="113C8C04">
        <w:rPr/>
        <w:t>Plan Básico ($250.00 MXN / mes): Acceso al Dashboard web para un nodo sensor, visualización de mapa vivo por microzona y sistema de alertas comunitarias.</w:t>
      </w:r>
    </w:p>
    <w:p xmlns:wp14="http://schemas.microsoft.com/office/word/2010/wordml" w:rsidR="002F26C2" w:rsidP="59F1B0ED" w:rsidRDefault="002F26C2" w14:paraId="07742890" wp14:textId="3607E09A">
      <w:pPr>
        <w:pStyle w:val="Normal"/>
      </w:pPr>
      <w:r w:rsidR="113C8C04">
        <w:rPr/>
        <w:t>Plan Pro ($550.00 MXN / mes): Gestión multiparcela, historial ilimitado de datos para trazabilidad y generación de reportes técnicos exportables para auditorías fitosanitarias.</w:t>
      </w:r>
    </w:p>
    <w:p xmlns:wp14="http://schemas.microsoft.com/office/word/2010/wordml" w:rsidR="002F26C2" w:rsidP="59F1B0ED" w:rsidRDefault="002F26C2" w14:paraId="187436E5" wp14:textId="74668247">
      <w:pPr>
        <w:pStyle w:val="Normal"/>
      </w:pPr>
      <w:r w:rsidR="113C8C04">
        <w:rPr/>
        <w:t>3.3 Gastos Fijos de Operación</w:t>
      </w:r>
    </w:p>
    <w:p xmlns:wp14="http://schemas.microsoft.com/office/word/2010/wordml" w:rsidR="002F26C2" w:rsidP="59F1B0ED" w:rsidRDefault="002F26C2" w14:paraId="2A0DD37B" wp14:textId="42612D37">
      <w:pPr>
        <w:pStyle w:val="Normal"/>
      </w:pPr>
      <w:r w:rsidR="113C8C04">
        <w:rPr/>
        <w:t>Mantenimiento de Infraestructura Cloud: $250.00 MXN mensuales, destinados al alojamiento de la plataforma web y servidor de base de datos.</w:t>
      </w:r>
    </w:p>
    <w:p xmlns:wp14="http://schemas.microsoft.com/office/word/2010/wordml" w:rsidR="002F26C2" w:rsidP="59F1B0ED" w:rsidRDefault="002F26C2" w14:paraId="5BABFB68" wp14:textId="1D904CBD">
      <w:pPr>
        <w:pStyle w:val="Normal"/>
      </w:pPr>
      <w:r w:rsidR="113C8C04">
        <w:rPr/>
        <w:t>Gestión de Dominio: $350.00 MXN anuales.</w:t>
      </w:r>
    </w:p>
    <w:p xmlns:wp14="http://schemas.microsoft.com/office/word/2010/wordml" w:rsidR="002F26C2" w:rsidP="59F1B0ED" w:rsidRDefault="002F26C2" w14:paraId="4A5BBFFB" wp14:textId="38D6D908">
      <w:pPr>
        <w:pStyle w:val="Normal"/>
      </w:pPr>
    </w:p>
    <w:p xmlns:wp14="http://schemas.microsoft.com/office/word/2010/wordml" w:rsidR="002F26C2" w:rsidP="59F1B0ED" w:rsidRDefault="002F26C2" w14:paraId="76E68733" wp14:textId="337A823B">
      <w:pPr>
        <w:pStyle w:val="Normal"/>
      </w:pPr>
      <w:r w:rsidR="113C8C04">
        <w:rPr/>
        <w:t>4. Viabilidad y Punto de Equilibrio</w:t>
      </w:r>
    </w:p>
    <w:p xmlns:wp14="http://schemas.microsoft.com/office/word/2010/wordml" w:rsidR="002F26C2" w:rsidP="59F1B0ED" w:rsidRDefault="002F26C2" w14:paraId="0005CD11" wp14:textId="2C8D2334">
      <w:pPr>
        <w:pStyle w:val="Normal"/>
      </w:pPr>
      <w:r w:rsidR="113C8C04">
        <w:rPr/>
        <w:t>La estructura financiera permite que el proyecto alcance su punto de equilibrio operativo con la captación de un solo usuario en el Plan Básico, cubriendo íntegramente los costos fijos de mantenimiento del servidor. La recuperación del capital invertido en infraestructura (equipo de cómputo) se proyecta dentro del primer ciclo agrícola de operación comercial.</w:t>
      </w:r>
    </w:p>
    <w:p xmlns:wp14="http://schemas.microsoft.com/office/word/2010/wordml" w:rsidR="002F26C2" w:rsidRDefault="002F26C2" w14:paraId="672A6659" wp14:textId="4E03F1E1"/>
    <w:sectPr w:rsidR="002F26C2">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endnote w:type="separator" w:id="-1">
    <w:p xmlns:wp14="http://schemas.microsoft.com/office/word/2010/wordml" w:rsidR="001B2354" w:rsidP="001B2354" w:rsidRDefault="001B2354" w14:paraId="0A37501D" wp14:textId="77777777">
      <w:pPr>
        <w:spacing w:after="0" w:line="240" w:lineRule="auto"/>
      </w:pPr>
      <w:r>
        <w:separator/>
      </w:r>
    </w:p>
  </w:endnote>
  <w:endnote w:type="continuationSeparator" w:id="0">
    <w:p xmlns:wp14="http://schemas.microsoft.com/office/word/2010/wordml" w:rsidR="001B2354" w:rsidP="001B2354" w:rsidRDefault="001B2354" w14:paraId="5DAB6C7B"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footnote w:type="separator" w:id="-1">
    <w:p xmlns:wp14="http://schemas.microsoft.com/office/word/2010/wordml" w:rsidR="001B2354" w:rsidP="001B2354" w:rsidRDefault="001B2354" w14:paraId="02EB378F" wp14:textId="77777777">
      <w:pPr>
        <w:spacing w:after="0" w:line="240" w:lineRule="auto"/>
      </w:pPr>
      <w:r>
        <w:separator/>
      </w:r>
    </w:p>
  </w:footnote>
  <w:footnote w:type="continuationSeparator" w:id="0">
    <w:p xmlns:wp14="http://schemas.microsoft.com/office/word/2010/wordml" w:rsidR="001B2354" w:rsidP="001B2354" w:rsidRDefault="001B2354" w14:paraId="6A05A809" wp14:textId="7777777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2354"/>
    <w:rsid w:val="001B2354"/>
    <w:rsid w:val="002F26C2"/>
    <w:rsid w:val="113C8C04"/>
    <w:rsid w:val="1D0E1CEE"/>
    <w:rsid w:val="59F1B0E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E7CEB3"/>
  <w15:chartTrackingRefBased/>
  <w15:docId w15:val="{B2149BE0-C97C-4308-97BF-5BE56EA19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14="http://schemas.microsoft.com/office/word/2010/wordprocessingDrawing" xmlns:w16="http://schemas.microsoft.com/office/word/2018/wordml" xmlns:w16cex="http://schemas.microsoft.com/office/word/2018/wordml/cex" xmlns:w16sdtdh="http://schemas.microsoft.com/office/word/2020/wordml/sdtdatahash" xmlns:w16sdtfl="http://schemas.microsoft.com/office/word/2024/wordml/sdtformatlock" mc:Ignorable="w14 w15 w16se w16cid wp14 w16 w16cex w16sdtdh w16sdtfl">
  <w:docDefaults>
    <w:rPrDefault>
      <w:rPr>
        <w:rFonts w:asciiTheme="minorHAnsi" w:hAnsiTheme="minorHAnsi" w:eastAsia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1B2354"/>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1B2354"/>
  </w:style>
  <w:style w:type="paragraph" w:styleId="Piedepgina">
    <w:name w:val="footer"/>
    <w:basedOn w:val="Normal"/>
    <w:link w:val="PiedepginaCar"/>
    <w:uiPriority w:val="99"/>
    <w:unhideWhenUsed/>
    <w:rsid w:val="001B2354"/>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1B23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s>
</file>

<file path=word/theme/theme1.xml><?xml version="1.0" encoding="utf-8"?>
<a:theme xmlns:thm15="http://schemas.microsoft.com/office/thememl/2012/main"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jesus barron</dc:creator>
  <keywords/>
  <dc:description/>
  <lastModifiedBy>jesus barron</lastModifiedBy>
  <revision>2</revision>
  <dcterms:created xsi:type="dcterms:W3CDTF">2026-04-27T16:10:02.1029535Z</dcterms:created>
  <dcterms:modified xsi:type="dcterms:W3CDTF">2026-04-27T16:10:42.6753112Z</dcterms:modified>
</coreProperties>
</file>