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9184"/>
      </w:tblGrid>
      <w:tr>
        <w:tc>
          <w:tcPr>
            <w:tcW w:type="dxa" w:w="9184"/>
            <w:shd w:val="clear" w:color="auto" w:fill="4C1D95"/>
            <w:tcBorders>
              <w:top w:val="single" w:sz="4" w:color="4C1D95"/>
              <w:left w:val="single" w:sz="4" w:color="4C1D95"/>
              <w:bottom w:val="single" w:sz="4" w:color="4C1D95"/>
              <w:right w:val="single" w:sz="4" w:color="4C1D95"/>
            </w:tcBorders>
          </w:tcPr>
          <w:p>
            <w:pPr>
              <w:spacing w:before="200" w:after="200"/>
              <w:jc w:val="left"/>
            </w:pPr>
            <w:r>
              <w:rPr>
                <w:b/>
                <w:color w:val="FFFFFF"/>
                <w:sz w:val="26"/>
              </w:rPr>
              <w:t xml:space="preserve">  ▶  PipeNLP  ·  Manual de Usuario</w:t>
            </w:r>
          </w:p>
        </w:tc>
      </w:tr>
    </w:tbl>
    <w:p>
      <w:pPr>
        <w:spacing w:after="160"/>
      </w:pPr>
    </w:p>
    <w:p>
      <w:pPr>
        <w:spacing w:before="120" w:after="80"/>
      </w:pPr>
      <w:r>
        <w:rPr>
          <w:b/>
          <w:color w:val="1E1B4B"/>
          <w:sz w:val="60"/>
        </w:rPr>
        <w:t>GUÍA PASO A PASO</w:t>
      </w:r>
    </w:p>
    <w:p>
      <w:pPr>
        <w:spacing w:after="40"/>
      </w:pPr>
      <w:r>
        <w:rPr>
          <w:i/>
          <w:color w:val="7C3AED"/>
          <w:sz w:val="28"/>
        </w:rPr>
        <w:t>Cómo procesar y exportar texto con el Pipeline NLP</w:t>
      </w:r>
    </w:p>
    <w:p>
      <w:pPr>
        <w:pBdr>
          <w:bottom w:val="single" w:sz="6" w:space="1" w:color="7C3AED"/>
        </w:pBdr>
        <w:spacing w:before="0" w:after="80"/>
      </w:pPr>
    </w:p>
    <w:tbl>
      <w:tblPr>
        <w:tblStyle w:val="TableGrid"/>
        <w:tblW w:type="auto" w:w="0"/>
        <w:jc w:val="left"/>
        <w:tblLook w:firstColumn="1" w:firstRow="1" w:lastColumn="0" w:lastRow="0" w:noHBand="0" w:noVBand="1" w:val="04A0"/>
      </w:tblPr>
      <w:tblGrid>
        <w:gridCol w:w="2296"/>
        <w:gridCol w:w="2296"/>
        <w:gridCol w:w="2296"/>
        <w:gridCol w:w="2296"/>
      </w:tblGrid>
      <w:tr>
        <w:tc>
          <w:tcPr>
            <w:tcW w:type="dxa" w:w="2296"/>
            <w:shd w:val="clear" w:color="auto" w:fill="F3EEFF"/>
            <w:tcBorders>
              <w:top w:val="single" w:sz="4" w:color="DDD6FE"/>
              <w:left w:val="single" w:sz="4" w:color="DDD6FE"/>
              <w:bottom w:val="single" w:sz="4" w:color="DDD6FE"/>
              <w:right w:val="single" w:sz="4" w:color="DDD6FE"/>
            </w:tcBorders>
          </w:tcPr>
          <w:p>
            <w:pPr>
              <w:spacing w:before="120" w:after="40"/>
            </w:pPr>
            <w:r>
              <w:rPr>
                <w:b/>
                <w:color w:val="6D28D9"/>
                <w:sz w:val="18"/>
              </w:rPr>
              <w:t>Para</w:t>
              <w:br/>
            </w:r>
            <w:r>
              <w:rPr>
                <w:sz w:val="20"/>
              </w:rPr>
              <w:t>Usuarios del sistema</w:t>
            </w:r>
          </w:p>
          <w:p>
            <w:pPr>
              <w:spacing w:after="80"/>
            </w:pPr>
          </w:p>
        </w:tc>
        <w:tc>
          <w:tcPr>
            <w:tcW w:type="dxa" w:w="2296"/>
            <w:shd w:val="clear" w:color="auto" w:fill="F3EEFF"/>
            <w:tcBorders>
              <w:top w:val="single" w:sz="4" w:color="DDD6FE"/>
              <w:left w:val="single" w:sz="4" w:color="DDD6FE"/>
              <w:bottom w:val="single" w:sz="4" w:color="DDD6FE"/>
              <w:right w:val="single" w:sz="4" w:color="DDD6FE"/>
            </w:tcBorders>
          </w:tcPr>
          <w:p>
            <w:pPr>
              <w:spacing w:before="120" w:after="40"/>
            </w:pPr>
            <w:r>
              <w:rPr>
                <w:b/>
                <w:color w:val="6D28D9"/>
                <w:sz w:val="18"/>
              </w:rPr>
              <w:t>Versión</w:t>
              <w:br/>
            </w:r>
            <w:r>
              <w:rPr>
                <w:sz w:val="20"/>
              </w:rPr>
              <w:t>1.0</w:t>
            </w:r>
          </w:p>
          <w:p>
            <w:pPr>
              <w:spacing w:after="80"/>
            </w:pPr>
          </w:p>
        </w:tc>
        <w:tc>
          <w:tcPr>
            <w:tcW w:type="dxa" w:w="2296"/>
            <w:shd w:val="clear" w:color="auto" w:fill="F3EEFF"/>
            <w:tcBorders>
              <w:top w:val="single" w:sz="4" w:color="DDD6FE"/>
              <w:left w:val="single" w:sz="4" w:color="DDD6FE"/>
              <w:bottom w:val="single" w:sz="4" w:color="DDD6FE"/>
              <w:right w:val="single" w:sz="4" w:color="DDD6FE"/>
            </w:tcBorders>
          </w:tcPr>
          <w:p>
            <w:pPr>
              <w:spacing w:before="120" w:after="40"/>
            </w:pPr>
            <w:r>
              <w:rPr>
                <w:b/>
                <w:color w:val="6D28D9"/>
                <w:sz w:val="18"/>
              </w:rPr>
              <w:t>Fecha</w:t>
              <w:br/>
            </w:r>
            <w:r>
              <w:rPr>
                <w:sz w:val="20"/>
              </w:rPr>
              <w:t>27 de May de 2026</w:t>
            </w:r>
          </w:p>
          <w:p>
            <w:pPr>
              <w:spacing w:after="80"/>
            </w:pPr>
          </w:p>
        </w:tc>
        <w:tc>
          <w:tcPr>
            <w:tcW w:type="dxa" w:w="2296"/>
            <w:shd w:val="clear" w:color="auto" w:fill="F3EEFF"/>
            <w:tcBorders>
              <w:top w:val="single" w:sz="4" w:color="DDD6FE"/>
              <w:left w:val="single" w:sz="4" w:color="DDD6FE"/>
              <w:bottom w:val="single" w:sz="4" w:color="DDD6FE"/>
              <w:right w:val="single" w:sz="4" w:color="DDD6FE"/>
            </w:tcBorders>
          </w:tcPr>
          <w:p>
            <w:pPr>
              <w:spacing w:before="120" w:after="40"/>
            </w:pPr>
            <w:r>
              <w:rPr>
                <w:b/>
                <w:color w:val="6D28D9"/>
                <w:sz w:val="18"/>
              </w:rPr>
              <w:t>Idioma</w:t>
              <w:br/>
            </w:r>
            <w:r>
              <w:rPr>
                <w:sz w:val="20"/>
              </w:rPr>
              <w:t>Español / English</w:t>
            </w:r>
          </w:p>
          <w:p>
            <w:pPr>
              <w:spacing w:after="80"/>
            </w:pPr>
          </w:p>
        </w:tc>
      </w:tr>
    </w:tbl>
    <w:p/>
    <w:tbl>
      <w:tblPr>
        <w:tblStyle w:val="TableGrid"/>
        <w:tblW w:type="auto" w:w="0"/>
        <w:jc w:val="left"/>
        <w:tblLook w:firstColumn="1" w:firstRow="1" w:lastColumn="0" w:lastRow="0" w:noHBand="0" w:noVBand="1" w:val="04A0"/>
      </w:tblPr>
      <w:tblGrid>
        <w:gridCol w:w="9184"/>
      </w:tblGrid>
      <w:tr>
        <w:tc>
          <w:tcPr>
            <w:tcW w:type="dxa" w:w="9184"/>
            <w:shd w:val="clear" w:color="auto" w:fill="F0F9FF"/>
            <w:tcBorders>
              <w:top w:val="single" w:sz="8" w:color="0284C7"/>
              <w:left w:val="single" w:sz="8" w:color="0284C7"/>
              <w:bottom w:val="single" w:sz="8" w:color="0284C7"/>
              <w:right w:val="single" w:sz="8" w:color="0284C7"/>
            </w:tcBorders>
          </w:tcPr>
          <w:p>
            <w:pPr>
              <w:spacing w:before="80" w:after="60"/>
            </w:pPr>
            <w:r>
              <w:rPr>
                <w:b/>
                <w:color w:val="7DD3FC"/>
                <w:sz w:val="21"/>
              </w:rPr>
              <w:t>📌 ¿Qué hace PipeNLP?</w:t>
            </w:r>
          </w:p>
          <w:p>
            <w:pPr>
              <w:spacing w:before="20" w:after="20"/>
              <w:ind w:left="227"/>
            </w:pPr>
            <w:r>
              <w:rPr>
                <w:sz w:val="20"/>
              </w:rPr>
              <w:t>PipeNLP es una herramienta web para el preprocesamiento de texto orientada a la Minería de Datos.</w:t>
            </w:r>
          </w:p>
          <w:p>
            <w:pPr>
              <w:spacing w:before="20" w:after="20"/>
              <w:ind w:left="227"/>
            </w:pPr>
            <w:r>
              <w:rPr>
                <w:sz w:val="20"/>
              </w:rPr>
              <w:t>Permite cargar corpus de texto, aplicar un pipeline de limpieza y transformación configurable,</w:t>
            </w:r>
          </w:p>
          <w:p>
            <w:pPr>
              <w:spacing w:before="20" w:after="20"/>
              <w:ind w:left="227"/>
            </w:pPr>
            <w:r>
              <w:rPr>
                <w:sz w:val="20"/>
              </w:rPr>
              <w:t>visualizar los resultados interactivamente y exportar los datos listos para etapas posteriores</w:t>
            </w:r>
          </w:p>
          <w:p>
            <w:pPr>
              <w:spacing w:before="20" w:after="20"/>
              <w:ind w:left="227"/>
            </w:pPr>
            <w:r>
              <w:rPr>
                <w:sz w:val="20"/>
              </w:rPr>
              <w:t>como vectorización, clasificación o entrenamiento de modelos de lenguaje.</w:t>
            </w:r>
          </w:p>
          <w:p>
            <w:pPr>
              <w:spacing w:after="80"/>
            </w:pPr>
          </w:p>
        </w:tc>
      </w:tr>
    </w:tbl>
    <w:p>
      <w:pPr>
        <w:spacing w:after="120"/>
      </w:pPr>
    </w:p>
    <w:p>
      <w:r>
        <w:br w:type="page"/>
      </w:r>
    </w:p>
    <w:p>
      <w:pPr>
        <w:spacing w:before="360" w:after="120"/>
      </w:pPr>
      <w:r>
        <w:rPr>
          <w:b/>
          <w:color w:val="7C3AED"/>
          <w:sz w:val="44"/>
        </w:rPr>
        <w:t>CONTENIDO DE ESTA GUÍA</w:t>
      </w:r>
    </w:p>
    <w:p>
      <w:pPr>
        <w:pBdr>
          <w:bottom w:val="single" w:sz="6" w:space="1" w:color="7C3AED"/>
        </w:pBdr>
        <w:spacing w:before="0" w:after="80"/>
      </w:pPr>
    </w:p>
    <w:tbl>
      <w:tblPr>
        <w:tblStyle w:val="TableGrid"/>
        <w:tblW w:type="auto" w:w="0"/>
        <w:jc w:val="left"/>
        <w:tblLook w:firstColumn="1" w:firstRow="1" w:lastColumn="0" w:lastRow="0" w:noHBand="0" w:noVBand="1" w:val="04A0"/>
      </w:tblPr>
      <w:tblGrid>
        <w:gridCol w:w="4592"/>
        <w:gridCol w:w="4592"/>
      </w:tblGrid>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Antes de comenzar</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Requisitos y acceso</w:t>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La interfaz de un vistazo</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Topbar, stepper y footer</w:t>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PASO 1 · Ingreso de datos</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Editor de texto y carga de archivos</w:t>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PASO 2 · Configurar el pipeline</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Las 6 operaciones disponibles</w:t>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Convertir a minúsculas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Eliminar números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Normalizar espacios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Limpiar símbolos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Tokenizar</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Eliminar stopwords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Resumen y pseudocódigo</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PASO 3 · Visualizar resultados</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Cuatro pestañas de análisis</w:t>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Pestaña Resumen</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Pestaña Comparación</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Pestaña Tokens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Pestaña Frecuencias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AFAFA"/>
            <w:tcBorders>
              <w:top w:val="single" w:sz="4" w:color="E5E7EB"/>
              <w:left w:val="single" w:sz="4" w:color="E5E7EB"/>
              <w:bottom w:val="single" w:sz="4" w:color="E5E7EB"/>
              <w:right w:val="single" w:sz="4" w:color="E5E7EB"/>
            </w:tcBorders>
          </w:tcPr>
          <w:p>
            <w:pPr>
              <w:spacing w:before="60" w:after="60"/>
            </w:pPr>
            <w:r>
              <w:rPr>
                <w:b w:val="0"/>
                <w:color w:val="64748B"/>
                <w:sz w:val="19"/>
              </w:rPr>
              <w:t xml:space="preserve">  —  Panel de fórmulas</w:t>
            </w:r>
          </w:p>
        </w:tc>
        <w:tc>
          <w:tcPr>
            <w:tcW w:type="dxa" w:w="3118"/>
            <w:shd w:val="clear" w:color="auto" w:fill="FAFAFA"/>
            <w:tcBorders>
              <w:top w:val="single" w:sz="4" w:color="E5E7EB"/>
              <w:left w:val="single" w:sz="4" w:color="E5E7EB"/>
              <w:bottom w:val="single" w:sz="4" w:color="E5E7EB"/>
              <w:right w:val="single" w:sz="4" w:color="E5E7EB"/>
            </w:tcBorders>
          </w:tcPr>
          <w:p>
            <w:pPr>
              <w:spacing w:before="60" w:after="60"/>
            </w:pPr>
            <w:r>
              <w:rPr>
                <w:i/>
                <w:color w:val="94A3B8"/>
                <w:sz w:val="19"/>
              </w:rPr>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PASO 4 · Exportar</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Reporte .txt y dataset .csv</w:t>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Navegación y atajos</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Footer bar y stepper</w:t>
            </w:r>
          </w:p>
        </w:tc>
      </w:tr>
      <w:tr>
        <w:tc>
          <w:tcPr>
            <w:tcW w:type="dxa" w:w="6236"/>
            <w:shd w:val="clear" w:color="auto" w:fill="F3EEFF"/>
            <w:tcBorders>
              <w:top w:val="single" w:sz="4" w:color="E9D5FF"/>
              <w:left w:val="single" w:sz="4" w:color="E9D5FF"/>
              <w:bottom w:val="single" w:sz="4" w:color="E9D5FF"/>
              <w:right w:val="single" w:sz="4" w:color="E9D5FF"/>
            </w:tcBorders>
          </w:tcPr>
          <w:p>
            <w:pPr>
              <w:spacing w:before="60" w:after="60"/>
            </w:pPr>
            <w:r>
              <w:rPr>
                <w:b/>
                <w:color w:val="6D28D9"/>
                <w:sz w:val="20"/>
              </w:rPr>
              <w:t>Preguntas frecuentes</w:t>
            </w:r>
          </w:p>
        </w:tc>
        <w:tc>
          <w:tcPr>
            <w:tcW w:type="dxa" w:w="3118"/>
            <w:shd w:val="clear" w:color="auto" w:fill="F3EEFF"/>
            <w:tcBorders>
              <w:top w:val="single" w:sz="4" w:color="E9D5FF"/>
              <w:left w:val="single" w:sz="4" w:color="E9D5FF"/>
              <w:bottom w:val="single" w:sz="4" w:color="E9D5FF"/>
              <w:right w:val="single" w:sz="4" w:color="E9D5FF"/>
            </w:tcBorders>
          </w:tcPr>
          <w:p>
            <w:pPr>
              <w:spacing w:before="60" w:after="60"/>
            </w:pPr>
            <w:r>
              <w:rPr>
                <w:i/>
                <w:color w:val="94A3B8"/>
                <w:sz w:val="19"/>
              </w:rPr>
              <w:t>Problemas comunes</w:t>
            </w:r>
          </w:p>
        </w:tc>
      </w:tr>
    </w:tbl>
    <w:p>
      <w:r>
        <w:br w:type="page"/>
      </w:r>
    </w:p>
    <w:p>
      <w:pPr>
        <w:spacing w:before="360" w:after="120"/>
      </w:pPr>
      <w:r>
        <w:rPr>
          <w:b/>
          <w:color w:val="7C3AED"/>
          <w:sz w:val="44"/>
        </w:rPr>
        <w:t>ANTES DE COMENZAR</w:t>
      </w:r>
    </w:p>
    <w:p>
      <w:pPr>
        <w:pBdr>
          <w:bottom w:val="single" w:sz="6" w:space="1" w:color="7C3AED"/>
        </w:pBdr>
        <w:spacing w:before="0" w:after="80"/>
      </w:pPr>
    </w:p>
    <w:p>
      <w:pPr>
        <w:spacing w:before="0" w:after="100"/>
      </w:pPr>
      <w:r>
        <w:rPr>
          <w:sz w:val="21"/>
        </w:rPr>
        <w:t>Para usar PipeNLP necesitas tener ambos servicios activos: el servidor backend (Python/FastAPI) y el servidor frontend (React/Vite). Ambos se inician con los scripts incluidos en la raíz del proyecto.</w:t>
      </w:r>
    </w:p>
    <w:p>
      <w:pPr>
        <w:spacing w:before="200" w:after="120"/>
      </w:pPr>
      <w:r>
        <w:rPr>
          <w:b/>
          <w:color w:val="4C1D95"/>
          <w:sz w:val="28"/>
        </w:rPr>
        <w:t>Iniciar la aplicación</w:t>
      </w:r>
    </w:p>
    <w:tbl>
      <w:tblPr>
        <w:tblStyle w:val="TableGrid"/>
        <w:tblW w:type="auto" w:w="0"/>
        <w:jc w:val="left"/>
        <w:tblLook w:firstColumn="1" w:firstRow="1" w:lastColumn="0" w:lastRow="0" w:noHBand="0" w:noVBand="1" w:val="04A0"/>
      </w:tblPr>
      <w:tblGrid>
        <w:gridCol w:w="9184"/>
      </w:tblGrid>
      <w:tr>
        <w:tc>
          <w:tcPr>
            <w:tcW w:type="dxa" w:w="9184"/>
            <w:shd w:val="clear" w:color="auto" w:fill="F3EEFF"/>
            <w:tcBorders>
              <w:top w:val="single" w:sz="8" w:color="7C3AED"/>
              <w:left w:val="single" w:sz="8" w:color="7C3AED"/>
              <w:bottom w:val="single" w:sz="8" w:color="7C3AED"/>
              <w:right w:val="single" w:sz="8" w:color="7C3AED"/>
            </w:tcBorders>
          </w:tcPr>
          <w:p>
            <w:pPr>
              <w:spacing w:before="80" w:after="60"/>
            </w:pPr>
            <w:r>
              <w:rPr>
                <w:b/>
                <w:color w:val="C4B5FD"/>
                <w:sz w:val="21"/>
              </w:rPr>
              <w:t>▶ Secuencia de arranque</w:t>
            </w:r>
          </w:p>
          <w:p>
            <w:pPr>
              <w:spacing w:before="20" w:after="20"/>
              <w:ind w:left="227"/>
            </w:pPr>
            <w:r>
              <w:rPr>
                <w:sz w:val="20"/>
              </w:rPr>
              <w:t>1.  Haz doble clic en  start_backend.bat  — el terminal mostrará:</w:t>
            </w:r>
          </w:p>
          <w:p>
            <w:pPr>
              <w:spacing w:before="20" w:after="20"/>
              <w:ind w:left="227"/>
            </w:pPr>
            <w:r>
              <w:rPr>
                <w:sz w:val="20"/>
              </w:rPr>
              <w:t xml:space="preserve">        Uvicorn running on http://127.0.0.1:8001</w:t>
            </w:r>
          </w:p>
          <w:p>
            <w:pPr>
              <w:spacing w:before="20" w:after="20"/>
              <w:ind w:left="227"/>
            </w:pPr>
            <w:r>
              <w:rPr>
                <w:sz w:val="20"/>
              </w:rPr>
              <w:t>2.  Haz doble clic en  start_frontend.bat — el terminal mostrará:</w:t>
            </w:r>
          </w:p>
          <w:p>
            <w:pPr>
              <w:spacing w:before="20" w:after="20"/>
              <w:ind w:left="227"/>
            </w:pPr>
            <w:r>
              <w:rPr>
                <w:sz w:val="20"/>
              </w:rPr>
              <w:t xml:space="preserve">        Local: http://localhost:5173</w:t>
            </w:r>
          </w:p>
          <w:p>
            <w:pPr>
              <w:spacing w:before="20" w:after="20"/>
              <w:ind w:left="227"/>
            </w:pPr>
            <w:r>
              <w:rPr>
                <w:sz w:val="20"/>
              </w:rPr>
              <w:t>3.  Abre tu navegador y navega a  http://localhost:5173</w:t>
            </w:r>
          </w:p>
          <w:p>
            <w:pPr>
              <w:spacing w:before="20" w:after="20"/>
              <w:ind w:left="227"/>
            </w:pPr>
            <w:r>
              <w:rPr>
                <w:sz w:val="20"/>
              </w:rPr>
              <w:t>4.  Verás el indicador verde  ● sesión activa  en la esquina superior derecha.</w:t>
            </w:r>
          </w:p>
          <w:p>
            <w:pPr>
              <w:spacing w:after="80"/>
            </w:pPr>
          </w:p>
        </w:tc>
      </w:tr>
    </w:tbl>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FFFBEB"/>
            <w:tcBorders>
              <w:top w:val="single" w:sz="8" w:color="D97706"/>
              <w:left w:val="single" w:sz="8" w:color="D97706"/>
              <w:bottom w:val="single" w:sz="8" w:color="D97706"/>
              <w:right w:val="single" w:sz="8" w:color="D97706"/>
            </w:tcBorders>
          </w:tcPr>
          <w:p>
            <w:pPr>
              <w:spacing w:before="80" w:after="60"/>
            </w:pPr>
            <w:r>
              <w:rPr>
                <w:b/>
                <w:color w:val="FCD34D"/>
                <w:sz w:val="21"/>
              </w:rPr>
              <w:t>⚠️ Si la página no carga</w:t>
            </w:r>
          </w:p>
          <w:p>
            <w:pPr>
              <w:spacing w:before="20" w:after="20"/>
              <w:ind w:left="227"/>
            </w:pPr>
            <w:r>
              <w:rPr>
                <w:sz w:val="20"/>
              </w:rPr>
              <w:t>• Verifica que ambos terminales estén abiertos y sin errores.</w:t>
            </w:r>
          </w:p>
          <w:p>
            <w:pPr>
              <w:spacing w:before="20" w:after="20"/>
              <w:ind w:left="227"/>
            </w:pPr>
            <w:r>
              <w:rPr>
                <w:sz w:val="20"/>
              </w:rPr>
              <w:t>• El backend DEBE estar activo antes de procesar. Sin backend, el botón Procesar fallará.</w:t>
            </w:r>
          </w:p>
          <w:p>
            <w:pPr>
              <w:spacing w:before="20" w:after="20"/>
              <w:ind w:left="227"/>
            </w:pPr>
            <w:r>
              <w:rPr>
                <w:sz w:val="20"/>
              </w:rPr>
              <w:t>• Si el puerto 5173 está ocupado, Vite usará 5174 automáticamente — revisa el terminal.</w:t>
            </w:r>
          </w:p>
          <w:p>
            <w:pPr>
              <w:spacing w:after="80"/>
            </w:pPr>
          </w:p>
        </w:tc>
      </w:tr>
    </w:tbl>
    <w:p>
      <w:pPr>
        <w:spacing w:after="120"/>
      </w:pPr>
    </w:p>
    <w:p>
      <w:pPr>
        <w:spacing w:before="200" w:after="120"/>
      </w:pPr>
      <w:r>
        <w:rPr>
          <w:b/>
          <w:color w:val="4C1D95"/>
          <w:sz w:val="28"/>
        </w:rPr>
        <w:t>Requisitos mínimos</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Python 3.10+</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Con pip instalado. Instala dependencias: pip install -r backend/requirements.txt</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Node.js 18+</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Con npm. Instala dependencias del frontend: cd frontend &amp;&amp; npm install</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Navegador moderno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Chrome, Firefox, Edge o Safari actualizado.</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Texto de entrada</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Archivos .txt en codificación UTF-8, o texto copiado directamente.</w:t>
            </w:r>
          </w:p>
        </w:tc>
      </w:tr>
    </w:tbl>
    <w:p>
      <w:pPr>
        <w:spacing w:after="20"/>
      </w:pPr>
    </w:p>
    <w:p>
      <w:r>
        <w:br w:type="page"/>
      </w:r>
    </w:p>
    <w:p>
      <w:pPr>
        <w:spacing w:before="360" w:after="120"/>
      </w:pPr>
      <w:r>
        <w:rPr>
          <w:b/>
          <w:color w:val="7C3AED"/>
          <w:sz w:val="44"/>
        </w:rPr>
        <w:t>LA INTERFAZ DE UN VISTAZO</w:t>
      </w:r>
    </w:p>
    <w:p>
      <w:pPr>
        <w:pBdr>
          <w:bottom w:val="single" w:sz="6" w:space="1" w:color="7C3AED"/>
        </w:pBdr>
        <w:spacing w:before="0" w:after="80"/>
      </w:pPr>
    </w:p>
    <w:p>
      <w:pPr>
        <w:spacing w:before="0" w:after="100"/>
      </w:pPr>
      <w:r>
        <w:rPr>
          <w:sz w:val="21"/>
        </w:rPr>
        <w:t>La pantalla se divide en tres zonas permanentes y una zona central que cambia según el paso activo:</w:t>
      </w:r>
    </w:p>
    <w:tbl>
      <w:tblPr>
        <w:tblStyle w:val="TableGrid"/>
        <w:tblW w:type="auto" w:w="0"/>
        <w:jc w:val="left"/>
        <w:tblLook w:firstColumn="1" w:firstRow="1" w:lastColumn="0" w:lastRow="0" w:noHBand="0" w:noVBand="1" w:val="04A0"/>
      </w:tblPr>
      <w:tblGrid>
        <w:gridCol w:w="4592"/>
        <w:gridCol w:w="4592"/>
      </w:tblGrid>
      <w:tr>
        <w:tc>
          <w:tcPr>
            <w:tcW w:type="dxa" w:w="2835"/>
            <w:shd w:val="clear" w:color="auto" w:fill="4C1D95"/>
            <w:tcBorders>
              <w:top w:val="single" w:sz="4" w:color="7C3AED"/>
              <w:left w:val="single" w:sz="4" w:color="7C3AED"/>
              <w:bottom w:val="single" w:sz="4" w:color="7C3AED"/>
              <w:right w:val="single" w:sz="4" w:color="7C3AED"/>
            </w:tcBorders>
          </w:tcPr>
          <w:p>
            <w:pPr>
              <w:spacing w:before="120" w:after="120"/>
            </w:pPr>
            <w:r>
              <w:rPr>
                <w:b/>
                <w:color w:val="FFFFFF"/>
                <w:sz w:val="19"/>
              </w:rPr>
              <w:t>▲  TOPBAR  (arriba)</w:t>
            </w:r>
          </w:p>
        </w:tc>
        <w:tc>
          <w:tcPr>
            <w:tcW w:type="dxa" w:w="4592"/>
            <w:shd w:val="clear" w:color="auto" w:fill="F5F3FF"/>
            <w:tcBorders>
              <w:top w:val="single" w:sz="4" w:color="DDD6FE"/>
              <w:left w:val="single" w:sz="4" w:color="DDD6FE"/>
              <w:bottom w:val="single" w:sz="4" w:color="DDD6FE"/>
              <w:right w:val="single" w:sz="4" w:color="DDD6FE"/>
            </w:tcBorders>
          </w:tcPr>
          <w:p>
            <w:pPr>
              <w:spacing w:before="120" w:after="120"/>
            </w:pPr>
            <w:r>
              <w:rPr>
                <w:sz w:val="20"/>
              </w:rPr>
              <w:t>Logo PipeNLP · Indicador de sesión activa · Versión · Idioma (es / UTF-8)</w:t>
            </w:r>
          </w:p>
        </w:tc>
      </w:tr>
      <w:tr>
        <w:tc>
          <w:tcPr>
            <w:tcW w:type="dxa" w:w="2835"/>
            <w:shd w:val="clear" w:color="auto" w:fill="4C1D95"/>
            <w:tcBorders>
              <w:top w:val="single" w:sz="4" w:color="7C3AED"/>
              <w:left w:val="single" w:sz="4" w:color="7C3AED"/>
              <w:bottom w:val="single" w:sz="4" w:color="7C3AED"/>
              <w:right w:val="single" w:sz="4" w:color="7C3AED"/>
            </w:tcBorders>
          </w:tcPr>
          <w:p>
            <w:pPr>
              <w:spacing w:before="120" w:after="120"/>
            </w:pPr>
            <w:r>
              <w:rPr>
                <w:b/>
                <w:color w:val="FFFFFF"/>
                <w:sz w:val="19"/>
              </w:rPr>
              <w:t>●  STEPPER  (barra de pasos)</w:t>
            </w:r>
          </w:p>
        </w:tc>
        <w:tc>
          <w:tcPr>
            <w:tcW w:type="dxa" w:w="4592"/>
            <w:shd w:val="clear" w:color="auto" w:fill="F5F3FF"/>
            <w:tcBorders>
              <w:top w:val="single" w:sz="4" w:color="DDD6FE"/>
              <w:left w:val="single" w:sz="4" w:color="DDD6FE"/>
              <w:bottom w:val="single" w:sz="4" w:color="DDD6FE"/>
              <w:right w:val="single" w:sz="4" w:color="DDD6FE"/>
            </w:tcBorders>
          </w:tcPr>
          <w:p>
            <w:pPr>
              <w:spacing w:before="120" w:after="120"/>
            </w:pPr>
            <w:r>
              <w:rPr>
                <w:sz w:val="20"/>
              </w:rPr>
              <w:t>Muestra los 4 pasos del flujo. Los pasos completados muestran ✓ verde. Puedes hacer clic en cualquier paso para navegar directamente.</w:t>
            </w:r>
          </w:p>
        </w:tc>
      </w:tr>
      <w:tr>
        <w:tc>
          <w:tcPr>
            <w:tcW w:type="dxa" w:w="2835"/>
            <w:shd w:val="clear" w:color="auto" w:fill="4C1D95"/>
            <w:tcBorders>
              <w:top w:val="single" w:sz="4" w:color="7C3AED"/>
              <w:left w:val="single" w:sz="4" w:color="7C3AED"/>
              <w:bottom w:val="single" w:sz="4" w:color="7C3AED"/>
              <w:right w:val="single" w:sz="4" w:color="7C3AED"/>
            </w:tcBorders>
          </w:tcPr>
          <w:p>
            <w:pPr>
              <w:spacing w:before="120" w:after="120"/>
            </w:pPr>
            <w:r>
              <w:rPr>
                <w:b/>
                <w:color w:val="FFFFFF"/>
                <w:sz w:val="19"/>
              </w:rPr>
              <w:t>◼  ZONA CENTRAL</w:t>
            </w:r>
          </w:p>
        </w:tc>
        <w:tc>
          <w:tcPr>
            <w:tcW w:type="dxa" w:w="4592"/>
            <w:shd w:val="clear" w:color="auto" w:fill="F5F3FF"/>
            <w:tcBorders>
              <w:top w:val="single" w:sz="4" w:color="DDD6FE"/>
              <w:left w:val="single" w:sz="4" w:color="DDD6FE"/>
              <w:bottom w:val="single" w:sz="4" w:color="DDD6FE"/>
              <w:right w:val="single" w:sz="4" w:color="DDD6FE"/>
            </w:tcBorders>
          </w:tcPr>
          <w:p>
            <w:pPr>
              <w:spacing w:before="120" w:after="120"/>
            </w:pPr>
            <w:r>
              <w:rPr>
                <w:sz w:val="20"/>
              </w:rPr>
              <w:t>El contenido cambia según el paso activo: Ingreso / Opciones / Visualización / Exportación.</w:t>
            </w:r>
          </w:p>
        </w:tc>
      </w:tr>
      <w:tr>
        <w:tc>
          <w:tcPr>
            <w:tcW w:type="dxa" w:w="2835"/>
            <w:shd w:val="clear" w:color="auto" w:fill="4C1D95"/>
            <w:tcBorders>
              <w:top w:val="single" w:sz="4" w:color="7C3AED"/>
              <w:left w:val="single" w:sz="4" w:color="7C3AED"/>
              <w:bottom w:val="single" w:sz="4" w:color="7C3AED"/>
              <w:right w:val="single" w:sz="4" w:color="7C3AED"/>
            </w:tcBorders>
          </w:tcPr>
          <w:p>
            <w:pPr>
              <w:spacing w:before="120" w:after="120"/>
            </w:pPr>
            <w:r>
              <w:rPr>
                <w:b/>
                <w:color w:val="FFFFFF"/>
                <w:sz w:val="19"/>
              </w:rPr>
              <w:t>▼  FOOTER BAR  (abajo)</w:t>
            </w:r>
          </w:p>
        </w:tc>
        <w:tc>
          <w:tcPr>
            <w:tcW w:type="dxa" w:w="4592"/>
            <w:shd w:val="clear" w:color="auto" w:fill="F5F3FF"/>
            <w:tcBorders>
              <w:top w:val="single" w:sz="4" w:color="DDD6FE"/>
              <w:left w:val="single" w:sz="4" w:color="DDD6FE"/>
              <w:bottom w:val="single" w:sz="4" w:color="DDD6FE"/>
              <w:right w:val="single" w:sz="4" w:color="DDD6FE"/>
            </w:tcBorders>
          </w:tcPr>
          <w:p>
            <w:pPr>
              <w:spacing w:before="120" w:after="120"/>
            </w:pPr>
            <w:r>
              <w:rPr>
                <w:sz w:val="20"/>
              </w:rPr>
              <w:t>Indica el paso actual, el estado del pipeline (ejecutado/no) y los botones ← Anterior y Siguiente →.</w:t>
            </w:r>
          </w:p>
        </w:tc>
      </w:tr>
    </w:tbl>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Flujo recomendado</w:t>
            </w:r>
          </w:p>
          <w:p>
            <w:pPr>
              <w:spacing w:before="20" w:after="20"/>
              <w:ind w:left="227"/>
            </w:pPr>
            <w:r>
              <w:rPr>
                <w:sz w:val="20"/>
              </w:rPr>
              <w:t>El orden natural es  1 → 2 → 3 → 4, pero puedes navegar libremente entre pasos.</w:t>
            </w:r>
          </w:p>
          <w:p>
            <w:pPr>
              <w:spacing w:before="20" w:after="20"/>
              <w:ind w:left="227"/>
            </w:pPr>
            <w:r>
              <w:rPr>
                <w:sz w:val="20"/>
              </w:rPr>
              <w:t>Si ya procesaste texto, los pasos 1 y 2 quedan marcados como completados (✓) aunque los visites de nuevo.</w:t>
            </w:r>
          </w:p>
          <w:p>
            <w:pPr>
              <w:spacing w:after="80"/>
            </w:pPr>
          </w:p>
        </w:tc>
      </w:tr>
    </w:tbl>
    <w:p>
      <w:pPr>
        <w:spacing w:after="120"/>
      </w:pPr>
    </w:p>
    <w:p>
      <w:r>
        <w:br w:type="page"/>
      </w:r>
    </w:p>
    <w:tbl>
      <w:tblPr>
        <w:tblStyle w:val="TableGrid"/>
        <w:tblW w:type="auto" w:w="0"/>
        <w:jc w:val="left"/>
        <w:tblLook w:firstColumn="1" w:firstRow="1" w:lastColumn="0" w:lastRow="0" w:noHBand="0" w:noVBand="1" w:val="04A0"/>
      </w:tblPr>
      <w:tblGrid>
        <w:gridCol w:w="4592"/>
        <w:gridCol w:w="4592"/>
      </w:tblGrid>
      <w:tr>
        <w:tc>
          <w:tcPr>
            <w:tcW w:type="dxa" w:w="794"/>
            <w:shd w:val="clear" w:color="auto" w:fill="7C3AED"/>
            <w:tcBorders>
              <w:top w:val="single" w:sz="4" w:color="7C3AED"/>
              <w:left w:val="single" w:sz="4" w:color="7C3AED"/>
              <w:bottom w:val="single" w:sz="4" w:color="7C3AED"/>
              <w:right w:val="single" w:sz="4" w:color="7C3AED"/>
            </w:tcBorders>
          </w:tcPr>
          <w:p>
            <w:pPr>
              <w:spacing w:before="120" w:after="40"/>
              <w:jc w:val="center"/>
            </w:pPr>
            <w:r>
              <w:rPr>
                <w:b/>
                <w:color w:val="FFFFFF"/>
                <w:sz w:val="44"/>
              </w:rPr>
              <w:t>1</w:t>
            </w:r>
          </w:p>
          <w:p>
            <w:pPr>
              <w:spacing w:before="0" w:after="120"/>
              <w:jc w:val="center"/>
            </w:pPr>
            <w:r>
              <w:rPr>
                <w:b/>
                <w:color w:val="C4B5FD"/>
                <w:sz w:val="14"/>
              </w:rPr>
              <w:t>PASO</w:t>
            </w:r>
          </w:p>
        </w:tc>
        <w:tc>
          <w:tcPr>
            <w:tcW w:type="dxa" w:w="4592"/>
            <w:shd w:val="clear" w:color="auto" w:fill="F3EEFF"/>
            <w:tcBorders>
              <w:top w:val="single" w:sz="4" w:color="7C3AED"/>
              <w:left w:val="single" w:sz="4" w:color="7C3AED"/>
              <w:bottom w:val="single" w:sz="4" w:color="7C3AED"/>
              <w:right w:val="single" w:sz="4" w:color="7C3AED"/>
            </w:tcBorders>
          </w:tcPr>
          <w:p>
            <w:pPr>
              <w:spacing w:before="160" w:after="40"/>
            </w:pPr>
            <w:r>
              <w:rPr>
                <w:b/>
                <w:color w:val="4C1D95"/>
                <w:sz w:val="28"/>
              </w:rPr>
              <w:t>INGRESO DE DATOS</w:t>
            </w:r>
          </w:p>
          <w:p>
            <w:pPr>
              <w:spacing w:before="0" w:after="160"/>
            </w:pPr>
            <w:r>
              <w:rPr>
                <w:i/>
                <w:color w:val="7C3AED"/>
                <w:sz w:val="20"/>
              </w:rPr>
              <w:t>Carga el corpus que deseas analizar</w:t>
            </w:r>
          </w:p>
        </w:tc>
      </w:tr>
    </w:tbl>
    <w:p>
      <w:pPr>
        <w:spacing w:after="80"/>
      </w:pPr>
    </w:p>
    <w:p>
      <w:pPr>
        <w:spacing w:before="0" w:after="100"/>
      </w:pPr>
      <w:r>
        <w:rPr>
          <w:sz w:val="21"/>
        </w:rPr>
        <w:t>El Paso 1 presenta dos tarjetas lado a lado: el Editor de texto (izquierda) y la zona de Carga de archivo (derecha).</w:t>
      </w:r>
    </w:p>
    <w:p>
      <w:pPr>
        <w:spacing w:before="200" w:after="120"/>
      </w:pPr>
      <w:r>
        <w:rPr>
          <w:b/>
          <w:color w:val="4C1D95"/>
          <w:sz w:val="28"/>
        </w:rPr>
        <w:t>Editor de texto</w:t>
      </w:r>
    </w:p>
    <w:p>
      <w:pPr>
        <w:spacing w:before="0" w:after="100"/>
      </w:pPr>
      <w:r>
        <w:rPr>
          <w:sz w:val="21"/>
        </w:rPr>
        <w:t>El editor es un área de texto grande donde puedes escribir o pegar directamente el corpus.</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Cargar ejemplo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Botón en la esquina superior derecha del editor. Inserta un texto de ejemplo sobre NLP para probar el pipeline sin necesidad de tener tu propio corpus.</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Limpiar texto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Borra todo el contenido del editor y reinicia el nombre del archivo cargado. Se activa solo cuando hay texto.</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Contador en tiempo real</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Bajo el editor aparecen tres badges: cantidad de caracteres, palabras y líneas del texto actual.</w:t>
            </w:r>
          </w:p>
        </w:tc>
      </w:tr>
    </w:tbl>
    <w:p>
      <w:pPr>
        <w:spacing w:after="20"/>
      </w:pP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Texto pegado vs. archivo</w:t>
            </w:r>
          </w:p>
          <w:p>
            <w:pPr>
              <w:spacing w:before="20" w:after="20"/>
              <w:ind w:left="227"/>
            </w:pPr>
            <w:r>
              <w:rPr>
                <w:sz w:val="20"/>
              </w:rPr>
              <w:t>Puedes combinar ambas formas: carga un archivo .txt y luego edita el texto directamente en el editor.</w:t>
            </w:r>
          </w:p>
          <w:p>
            <w:pPr>
              <w:spacing w:before="20" w:after="20"/>
              <w:ind w:left="227"/>
            </w:pPr>
            <w:r>
              <w:rPr>
                <w:sz w:val="20"/>
              </w:rPr>
              <w:t>Los cambios en el editor siempre prevalecen sobre el archivo cargado.</w:t>
            </w:r>
          </w:p>
          <w:p>
            <w:pPr>
              <w:spacing w:after="80"/>
            </w:pPr>
          </w:p>
        </w:tc>
      </w:tr>
    </w:tbl>
    <w:p>
      <w:pPr>
        <w:spacing w:after="120"/>
      </w:pPr>
    </w:p>
    <w:p>
      <w:pPr>
        <w:spacing w:before="200" w:after="120"/>
      </w:pPr>
      <w:r>
        <w:rPr>
          <w:b/>
          <w:color w:val="4C1D95"/>
          <w:sz w:val="28"/>
        </w:rPr>
        <w:t>Carga de archivo (.txt)</w:t>
      </w:r>
    </w:p>
    <w:p>
      <w:pPr>
        <w:spacing w:before="0" w:after="100"/>
      </w:pPr>
      <w:r>
        <w:rPr>
          <w:sz w:val="21"/>
        </w:rPr>
        <w:t>La tarjeta derecha ofrece una zona de arrastrar y soltar para cargar archivos de texto.</w:t>
      </w:r>
    </w:p>
    <w:p>
      <w:pPr>
        <w:pStyle w:val="ListBullet"/>
        <w:spacing w:after="60"/>
        <w:ind w:left="340"/>
      </w:pPr>
      <w:r>
        <w:rPr>
          <w:sz w:val="21"/>
        </w:rPr>
        <w:t>Haz clic en la zona punteada o arrastra un archivo .txt directamente desde tu explorador de archivos.</w:t>
      </w:r>
    </w:p>
    <w:p>
      <w:pPr>
        <w:pStyle w:val="ListBullet"/>
        <w:spacing w:after="60"/>
        <w:ind w:left="340"/>
      </w:pPr>
      <w:r>
        <w:rPr>
          <w:sz w:val="21"/>
        </w:rPr>
        <w:t>Solo se aceptan archivos .txt en codificación UTF-8. Tamaño máximo recomendado: 5 MB.</w:t>
      </w:r>
    </w:p>
    <w:p>
      <w:pPr>
        <w:pStyle w:val="ListBullet"/>
        <w:spacing w:after="60"/>
        <w:ind w:left="340"/>
      </w:pPr>
      <w:r>
        <w:rPr>
          <w:sz w:val="21"/>
        </w:rPr>
        <w:t>El contenido del archivo se carga automáticamente en el editor de texto de la izquierda.</w:t>
      </w:r>
    </w:p>
    <w:p>
      <w:pPr>
        <w:pStyle w:val="ListBullet"/>
        <w:spacing w:after="60"/>
        <w:ind w:left="340"/>
      </w:pPr>
      <w:r>
        <w:rPr>
          <w:sz w:val="21"/>
        </w:rPr>
        <w:t>Una vez cargado, el nombre del archivo aparece como badge verde debajo del editor.</w:t>
      </w:r>
    </w:p>
    <w:tbl>
      <w:tblPr>
        <w:tblStyle w:val="TableGrid"/>
        <w:tblW w:type="auto" w:w="0"/>
        <w:jc w:val="left"/>
        <w:tblLook w:firstColumn="1" w:firstRow="1" w:lastColumn="0" w:lastRow="0" w:noHBand="0" w:noVBand="1" w:val="04A0"/>
      </w:tblPr>
      <w:tblGrid>
        <w:gridCol w:w="9184"/>
      </w:tblGrid>
      <w:tr>
        <w:tc>
          <w:tcPr>
            <w:tcW w:type="dxa" w:w="9184"/>
            <w:shd w:val="clear" w:color="auto" w:fill="FFFBEB"/>
            <w:tcBorders>
              <w:top w:val="single" w:sz="8" w:color="D97706"/>
              <w:left w:val="single" w:sz="8" w:color="D97706"/>
              <w:bottom w:val="single" w:sz="8" w:color="D97706"/>
              <w:right w:val="single" w:sz="8" w:color="D97706"/>
            </w:tcBorders>
          </w:tcPr>
          <w:p>
            <w:pPr>
              <w:spacing w:before="80" w:after="60"/>
            </w:pPr>
            <w:r>
              <w:rPr>
                <w:b/>
                <w:color w:val="FCD34D"/>
                <w:sz w:val="21"/>
              </w:rPr>
              <w:t>⚠️ Archivos que no son .txt</w:t>
            </w:r>
          </w:p>
          <w:p>
            <w:pPr>
              <w:spacing w:before="20" w:after="20"/>
              <w:ind w:left="227"/>
            </w:pPr>
            <w:r>
              <w:rPr>
                <w:sz w:val="20"/>
              </w:rPr>
              <w:t>Si intentas cargar un archivo .docx, .pdf o cualquier otro formato, la aplicación mostrará</w:t>
            </w:r>
          </w:p>
          <w:p>
            <w:pPr>
              <w:spacing w:before="20" w:after="20"/>
              <w:ind w:left="227"/>
            </w:pPr>
            <w:r>
              <w:rPr>
                <w:sz w:val="20"/>
              </w:rPr>
              <w:t>un mensaje de error: "Formato no permitido. Solo se aceptan archivos .txt."</w:t>
            </w:r>
          </w:p>
          <w:p>
            <w:pPr>
              <w:spacing w:before="20" w:after="20"/>
              <w:ind w:left="227"/>
            </w:pPr>
            <w:r>
              <w:rPr>
                <w:sz w:val="20"/>
              </w:rPr>
              <w:t>Convierte el archivo a .txt antes de cargarlo.</w:t>
            </w:r>
          </w:p>
          <w:p>
            <w:pPr>
              <w:spacing w:after="80"/>
            </w:pPr>
          </w:p>
        </w:tc>
      </w:tr>
    </w:tbl>
    <w:p>
      <w:pPr>
        <w:spacing w:after="120"/>
      </w:pPr>
    </w:p>
    <w:p>
      <w:pPr>
        <w:spacing w:before="200" w:after="120"/>
      </w:pPr>
      <w:r>
        <w:rPr>
          <w:b/>
          <w:color w:val="4C1D95"/>
          <w:sz w:val="28"/>
        </w:rPr>
        <w:t>Continuar al Paso 2</w:t>
      </w:r>
    </w:p>
    <w:tbl>
      <w:tblPr>
        <w:tblStyle w:val="TableGrid"/>
        <w:tblW w:type="auto" w:w="0"/>
        <w:jc w:val="left"/>
        <w:tblLook w:firstColumn="1" w:firstRow="1" w:lastColumn="0" w:lastRow="0" w:noHBand="0" w:noVBand="1" w:val="04A0"/>
      </w:tblPr>
      <w:tblGrid>
        <w:gridCol w:w="9184"/>
      </w:tblGrid>
      <w:tr>
        <w:tc>
          <w:tcPr>
            <w:tcW w:type="dxa" w:w="9184"/>
            <w:shd w:val="clear" w:color="auto" w:fill="F3EEFF"/>
            <w:tcBorders>
              <w:top w:val="single" w:sz="8" w:color="7C3AED"/>
              <w:left w:val="single" w:sz="8" w:color="7C3AED"/>
              <w:bottom w:val="single" w:sz="8" w:color="7C3AED"/>
              <w:right w:val="single" w:sz="8" w:color="7C3AED"/>
            </w:tcBorders>
          </w:tcPr>
          <w:p>
            <w:pPr>
              <w:spacing w:before="80" w:after="60"/>
            </w:pPr>
            <w:r>
              <w:rPr>
                <w:b/>
                <w:color w:val="C4B5FD"/>
                <w:sz w:val="21"/>
              </w:rPr>
              <w:t>▶ Cómo avanzar al Paso 2</w:t>
            </w:r>
          </w:p>
          <w:p>
            <w:pPr>
              <w:spacing w:before="20" w:after="20"/>
              <w:ind w:left="227"/>
            </w:pPr>
            <w:r>
              <w:rPr>
                <w:sz w:val="20"/>
              </w:rPr>
              <w:t>Opción A:  Haz clic en  Siguiente →  en el footer bar (parte inferior de la pantalla).</w:t>
            </w:r>
          </w:p>
          <w:p>
            <w:pPr>
              <w:spacing w:before="20" w:after="20"/>
              <w:ind w:left="227"/>
            </w:pPr>
            <w:r>
              <w:rPr>
                <w:sz w:val="20"/>
              </w:rPr>
              <w:t>Opción B:  Haz clic directamente en el paso  2 · Opciones  en el stepper superior.</w:t>
            </w:r>
          </w:p>
          <w:p>
            <w:pPr>
              <w:spacing w:before="20" w:after="20"/>
              <w:ind w:left="227"/>
            </w:pPr>
            <w:r>
              <w:rPr>
                <w:sz w:val="20"/>
              </w:rPr>
              <w:t>Nota:  no es necesario tener texto para avanzar, pero sin texto no podrás ejecutar el pipeline.</w:t>
            </w:r>
          </w:p>
          <w:p>
            <w:pPr>
              <w:spacing w:after="80"/>
            </w:pPr>
          </w:p>
        </w:tc>
      </w:tr>
    </w:tbl>
    <w:p>
      <w:pPr>
        <w:spacing w:after="120"/>
      </w:pPr>
    </w:p>
    <w:p>
      <w:r>
        <w:br w:type="page"/>
      </w:r>
    </w:p>
    <w:tbl>
      <w:tblPr>
        <w:tblStyle w:val="TableGrid"/>
        <w:tblW w:type="auto" w:w="0"/>
        <w:jc w:val="left"/>
        <w:tblLook w:firstColumn="1" w:firstRow="1" w:lastColumn="0" w:lastRow="0" w:noHBand="0" w:noVBand="1" w:val="04A0"/>
      </w:tblPr>
      <w:tblGrid>
        <w:gridCol w:w="4592"/>
        <w:gridCol w:w="4592"/>
      </w:tblGrid>
      <w:tr>
        <w:tc>
          <w:tcPr>
            <w:tcW w:type="dxa" w:w="794"/>
            <w:shd w:val="clear" w:color="auto" w:fill="7C3AED"/>
            <w:tcBorders>
              <w:top w:val="single" w:sz="4" w:color="7C3AED"/>
              <w:left w:val="single" w:sz="4" w:color="7C3AED"/>
              <w:bottom w:val="single" w:sz="4" w:color="7C3AED"/>
              <w:right w:val="single" w:sz="4" w:color="7C3AED"/>
            </w:tcBorders>
          </w:tcPr>
          <w:p>
            <w:pPr>
              <w:spacing w:before="120" w:after="40"/>
              <w:jc w:val="center"/>
            </w:pPr>
            <w:r>
              <w:rPr>
                <w:b/>
                <w:color w:val="FFFFFF"/>
                <w:sz w:val="44"/>
              </w:rPr>
              <w:t>2</w:t>
            </w:r>
          </w:p>
          <w:p>
            <w:pPr>
              <w:spacing w:before="0" w:after="120"/>
              <w:jc w:val="center"/>
            </w:pPr>
            <w:r>
              <w:rPr>
                <w:b/>
                <w:color w:val="C4B5FD"/>
                <w:sz w:val="14"/>
              </w:rPr>
              <w:t>PASO</w:t>
            </w:r>
          </w:p>
        </w:tc>
        <w:tc>
          <w:tcPr>
            <w:tcW w:type="dxa" w:w="4592"/>
            <w:shd w:val="clear" w:color="auto" w:fill="F3EEFF"/>
            <w:tcBorders>
              <w:top w:val="single" w:sz="4" w:color="7C3AED"/>
              <w:left w:val="single" w:sz="4" w:color="7C3AED"/>
              <w:bottom w:val="single" w:sz="4" w:color="7C3AED"/>
              <w:right w:val="single" w:sz="4" w:color="7C3AED"/>
            </w:tcBorders>
          </w:tcPr>
          <w:p>
            <w:pPr>
              <w:spacing w:before="160" w:after="40"/>
            </w:pPr>
            <w:r>
              <w:rPr>
                <w:b/>
                <w:color w:val="4C1D95"/>
                <w:sz w:val="28"/>
              </w:rPr>
              <w:t>CONFIGURAR EL PIPELINE</w:t>
            </w:r>
          </w:p>
          <w:p>
            <w:pPr>
              <w:spacing w:before="0" w:after="160"/>
            </w:pPr>
            <w:r>
              <w:rPr>
                <w:i/>
                <w:color w:val="7C3AED"/>
                <w:sz w:val="20"/>
              </w:rPr>
              <w:t>Elige qué transformaciones aplicar al texto</w:t>
            </w:r>
          </w:p>
        </w:tc>
      </w:tr>
    </w:tbl>
    <w:p>
      <w:pPr>
        <w:spacing w:after="80"/>
      </w:pPr>
    </w:p>
    <w:p>
      <w:pPr>
        <w:spacing w:before="0" w:after="100"/>
      </w:pPr>
      <w:r>
        <w:rPr>
          <w:sz w:val="21"/>
        </w:rPr>
        <w:t>El Paso 2 muestra dos columnas: a la izquierda el Pipeline de procesamiento (las 6 operaciones) y a la derecha el Resumen del pipeline y la Vista previa del flujo (pseudocódigo).</w:t>
      </w:r>
    </w:p>
    <w:p>
      <w:pPr>
        <w:spacing w:before="0" w:after="160"/>
      </w:pPr>
      <w:r>
        <w:rPr>
          <w:sz w:val="21"/>
        </w:rPr>
        <w:t>Cada operación tiene un interruptor (checkbox) para activarla o desactivarla, y su propia sección expandible con opciones adicionales. Las operaciones se ejecutan en orden descendente: 1 → 2 → 3 → 4 → 5 → 6.</w:t>
      </w:r>
    </w:p>
    <w:p>
      <w:pPr>
        <w:spacing w:before="240" w:after="120"/>
      </w:pPr>
      <w:r>
        <w:rPr>
          <w:b/>
          <w:color w:val="6D28D9"/>
          <w:sz w:val="28"/>
        </w:rPr>
        <w:t>Operación 1 · Convertir a minúsculas</w:t>
      </w:r>
    </w:p>
    <w:p>
      <w:pPr>
        <w:spacing w:before="0" w:after="100"/>
      </w:pPr>
      <w:r>
        <w:rPr>
          <w:sz w:val="21"/>
        </w:rPr>
        <w:t>Transforma todo el texto a letras minúsculas antes de cualquier otra operación.</w:t>
      </w:r>
    </w:p>
    <w:p>
      <w:pPr>
        <w:spacing w:before="40" w:after="120"/>
        <w:ind w:left="567"/>
      </w:pPr>
      <w:r>
        <w:rPr>
          <w:rFonts w:ascii="Courier New" w:hAnsi="Courier New"/>
          <w:color w:val="16A34A"/>
          <w:sz w:val="19"/>
        </w:rPr>
        <w:t>texto' = lower(texto)</w:t>
      </w:r>
    </w:p>
    <w:p>
      <w:pPr>
        <w:spacing w:before="0" w:after="100"/>
      </w:pPr>
      <w:r>
        <w:rPr>
          <w:sz w:val="21"/>
        </w:rPr>
        <w:t>Útil cuando: quieres que 'NLP', 'nlp' y 'Nlp' sean tratados como el mismo token. Recomendado activar en la mayoría de análisis de frecuencia y clasificación de texto.</w:t>
      </w: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¿Cuándo desactivarlo?</w:t>
            </w:r>
          </w:p>
          <w:p>
            <w:pPr>
              <w:spacing w:before="20" w:after="20"/>
              <w:ind w:left="227"/>
            </w:pPr>
            <w:r>
              <w:rPr>
                <w:sz w:val="20"/>
              </w:rPr>
              <w:t>Si tu análisis depende de las mayúsculas (p. ej., reconocimiento de entidades nombradas),</w:t>
            </w:r>
          </w:p>
          <w:p>
            <w:pPr>
              <w:spacing w:before="20" w:after="20"/>
              <w:ind w:left="227"/>
            </w:pPr>
            <w:r>
              <w:rPr>
                <w:sz w:val="20"/>
              </w:rPr>
              <w:t>desactiva esta opción para preservar la capitalización original.</w:t>
            </w:r>
          </w:p>
          <w:p>
            <w:pPr>
              <w:spacing w:after="80"/>
            </w:pPr>
          </w:p>
        </w:tc>
      </w:tr>
    </w:tbl>
    <w:p>
      <w:pPr>
        <w:spacing w:after="120"/>
      </w:pPr>
    </w:p>
    <w:p>
      <w:pPr>
        <w:spacing w:before="240" w:after="120"/>
      </w:pPr>
      <w:r>
        <w:rPr>
          <w:b/>
          <w:color w:val="6D28D9"/>
          <w:sz w:val="28"/>
        </w:rPr>
        <w:t>Operación 2 · Eliminar números</w:t>
      </w:r>
    </w:p>
    <w:p>
      <w:pPr>
        <w:spacing w:before="0" w:after="100"/>
      </w:pPr>
      <w:r>
        <w:rPr>
          <w:sz w:val="21"/>
        </w:rPr>
        <w:t>Reemplaza todas las secuencias numéricas por un espacio en blanco.</w:t>
      </w:r>
    </w:p>
    <w:p>
      <w:pPr>
        <w:spacing w:before="40" w:after="120"/>
        <w:ind w:left="567"/>
      </w:pPr>
      <w:r>
        <w:rPr>
          <w:rFonts w:ascii="Courier New" w:hAnsi="Courier New"/>
          <w:color w:val="16A34A"/>
          <w:sz w:val="19"/>
        </w:rPr>
        <w:t>texto' = re.sub(r'\d+', ' ', texto)</w:t>
      </w:r>
    </w:p>
    <w:p>
      <w:pPr>
        <w:spacing w:before="0" w:after="100"/>
      </w:pPr>
      <w:r>
        <w:rPr>
          <w:sz w:val="21"/>
        </w:rPr>
        <w:t>Útil cuando: los números no aportan valor semántico a tu análisis (artículos de opinión, reseñas, transcripciones). Los números son reemplazados por espacio, no eliminados directamente, para evitar fusionar palabras adyacentes.</w:t>
      </w:r>
    </w:p>
    <w:p>
      <w:pPr>
        <w:spacing w:before="240" w:after="120"/>
      </w:pPr>
      <w:r>
        <w:rPr>
          <w:b/>
          <w:color w:val="6D28D9"/>
          <w:sz w:val="28"/>
        </w:rPr>
        <w:t>Operación 3 · Normalizar espacios</w:t>
      </w:r>
    </w:p>
    <w:p>
      <w:pPr>
        <w:spacing w:before="0" w:after="100"/>
      </w:pPr>
      <w:r>
        <w:rPr>
          <w:sz w:val="21"/>
        </w:rPr>
        <w:t>Elimina espacios dobles, tabulaciones y saltos de línea redundantes, dejando un único espacio entre palabras.</w:t>
      </w:r>
    </w:p>
    <w:p>
      <w:pPr>
        <w:spacing w:before="40" w:after="120"/>
        <w:ind w:left="567"/>
      </w:pPr>
      <w:r>
        <w:rPr>
          <w:rFonts w:ascii="Courier New" w:hAnsi="Courier New"/>
          <w:color w:val="16A34A"/>
          <w:sz w:val="19"/>
        </w:rPr>
        <w:t>texto' = re.sub(r'\s+', ' ', texto).strip()</w:t>
      </w:r>
    </w:p>
    <w:p>
      <w:pPr>
        <w:spacing w:before="0" w:after="100"/>
      </w:pPr>
      <w:r>
        <w:rPr>
          <w:sz w:val="21"/>
        </w:rPr>
        <w:t>Esta operación se aplica siempre después de la limpieza de símbolos para evitar que los caracteres eliminados dejen espacios múltiples. Se recomienda tenerla activa si activaste alguna de las operaciones anteriores.</w:t>
      </w:r>
    </w:p>
    <w:p>
      <w:pPr>
        <w:spacing w:before="240" w:after="120"/>
      </w:pPr>
      <w:r>
        <w:rPr>
          <w:b/>
          <w:color w:val="6D28D9"/>
          <w:sz w:val="28"/>
        </w:rPr>
        <w:t>Operación 4 · Limpiar símbolos</w:t>
      </w:r>
    </w:p>
    <w:p>
      <w:pPr>
        <w:spacing w:before="0" w:after="100"/>
      </w:pPr>
      <w:r>
        <w:rPr>
          <w:sz w:val="21"/>
        </w:rPr>
        <w:t>Elimina caracteres de puntuación y símbolos especiales del texto. Al expandir esta sección verás una lista de chips interactivos.</w:t>
      </w:r>
    </w:p>
    <w:p>
      <w:pPr>
        <w:spacing w:before="40" w:after="120"/>
        <w:ind w:left="567"/>
      </w:pPr>
      <w:r>
        <w:rPr>
          <w:rFonts w:ascii="Courier New" w:hAnsi="Courier New"/>
          <w:color w:val="16A34A"/>
          <w:sz w:val="19"/>
        </w:rPr>
        <w:t>texto_limpio = re.sub(pattern, ' ', texto)</w:t>
      </w:r>
    </w:p>
    <w:p>
      <w:pPr>
        <w:spacing w:before="0" w:after="60"/>
      </w:pPr>
      <w:r>
        <w:rPr>
          <w:sz w:val="21"/>
        </w:rPr>
        <w:t>Cómo usar los chips de símbolos:</w:t>
      </w:r>
    </w:p>
    <w:p>
      <w:pPr>
        <w:pStyle w:val="ListBullet"/>
        <w:spacing w:after="60"/>
        <w:ind w:left="567"/>
      </w:pPr>
      <w:r>
        <w:rPr>
          <w:sz w:val="21"/>
        </w:rPr>
        <w:t>Cada chip representa un símbolo. Los chips resaltados en morado serán eliminados.</w:t>
      </w:r>
    </w:p>
    <w:p>
      <w:pPr>
        <w:pStyle w:val="ListBullet"/>
        <w:spacing w:after="60"/>
        <w:ind w:left="567"/>
      </w:pPr>
      <w:r>
        <w:rPr>
          <w:sz w:val="21"/>
        </w:rPr>
        <w:t>Haz clic en un chip para activarlo o desactivarlo individualmente.</w:t>
      </w:r>
    </w:p>
    <w:p>
      <w:pPr>
        <w:pStyle w:val="ListBullet"/>
        <w:spacing w:after="60"/>
        <w:ind w:left="567"/>
      </w:pPr>
      <w:r>
        <w:rPr>
          <w:sz w:val="21"/>
        </w:rPr>
        <w:t>Por defecto se activan todos los símbolos de la lista predeterminada (más de 40).</w:t>
      </w:r>
    </w:p>
    <w:p>
      <w:pPr>
        <w:spacing w:before="0" w:after="60"/>
      </w:pPr>
      <w:r>
        <w:rPr>
          <w:sz w:val="21"/>
        </w:rPr>
        <w:t>Agregar símbolos personalizados:</w:t>
      </w:r>
    </w:p>
    <w:p>
      <w:pPr>
        <w:pStyle w:val="ListBullet"/>
        <w:spacing w:after="60"/>
        <w:ind w:left="567"/>
      </w:pPr>
      <w:r>
        <w:rPr>
          <w:sz w:val="21"/>
        </w:rPr>
        <w:t>Escribe el/los símbolo(s) en el campo de texto y presiona Agregar o Enter.</w:t>
      </w:r>
    </w:p>
    <w:p>
      <w:pPr>
        <w:pStyle w:val="ListBullet"/>
        <w:spacing w:after="60"/>
        <w:ind w:left="567"/>
      </w:pPr>
      <w:r>
        <w:rPr>
          <w:sz w:val="21"/>
        </w:rPr>
        <w:t>Los símbolos extra aparecen como chips morados con una ✕ para eliminarlos.</w:t>
      </w:r>
    </w:p>
    <w:tbl>
      <w:tblPr>
        <w:tblStyle w:val="TableGrid"/>
        <w:tblW w:type="auto" w:w="0"/>
        <w:jc w:val="left"/>
        <w:tblLook w:firstColumn="1" w:firstRow="1" w:lastColumn="0" w:lastRow="0" w:noHBand="0" w:noVBand="1" w:val="04A0"/>
      </w:tblPr>
      <w:tblGrid>
        <w:gridCol w:w="9184"/>
      </w:tblGrid>
      <w:tr>
        <w:tc>
          <w:tcPr>
            <w:tcW w:type="dxa" w:w="9184"/>
            <w:shd w:val="clear" w:color="auto" w:fill="F0F9FF"/>
            <w:tcBorders>
              <w:top w:val="single" w:sz="8" w:color="0284C7"/>
              <w:left w:val="single" w:sz="8" w:color="0284C7"/>
              <w:bottom w:val="single" w:sz="8" w:color="0284C7"/>
              <w:right w:val="single" w:sz="8" w:color="0284C7"/>
            </w:tcBorders>
          </w:tcPr>
          <w:p>
            <w:pPr>
              <w:spacing w:before="80" w:after="60"/>
            </w:pPr>
            <w:r>
              <w:rPr>
                <w:b/>
                <w:color w:val="7DD3FC"/>
                <w:sz w:val="21"/>
              </w:rPr>
              <w:t>📌 Contador de símbolos</w:t>
            </w:r>
          </w:p>
          <w:p>
            <w:pPr>
              <w:spacing w:before="20" w:after="20"/>
              <w:ind w:left="227"/>
            </w:pPr>
            <w:r>
              <w:rPr>
                <w:sz w:val="20"/>
              </w:rPr>
              <w:t>Debajo del listado de chips aparece:  'X de Y símbolos serán eliminados'</w:t>
            </w:r>
          </w:p>
          <w:p>
            <w:pPr>
              <w:spacing w:before="20" w:after="20"/>
              <w:ind w:left="227"/>
            </w:pPr>
            <w:r>
              <w:rPr>
                <w:sz w:val="20"/>
              </w:rPr>
              <w:t>X = chips activos · Y = total de chips (predeterminados + personalizados)</w:t>
            </w:r>
          </w:p>
          <w:p>
            <w:pPr>
              <w:spacing w:after="80"/>
            </w:pPr>
          </w:p>
        </w:tc>
      </w:tr>
    </w:tbl>
    <w:p>
      <w:pPr>
        <w:spacing w:after="120"/>
      </w:pPr>
    </w:p>
    <w:p>
      <w:pPr>
        <w:spacing w:before="240" w:after="120"/>
      </w:pPr>
      <w:r>
        <w:rPr>
          <w:b/>
          <w:color w:val="6D28D9"/>
          <w:sz w:val="28"/>
        </w:rPr>
        <w:t>Operación 5 · Tokenizar</w:t>
      </w:r>
    </w:p>
    <w:p>
      <w:pPr>
        <w:spacing w:before="0" w:after="100"/>
      </w:pPr>
      <w:r>
        <w:rPr>
          <w:sz w:val="21"/>
        </w:rPr>
        <w:t>Divide el texto en unidades llamadas tokens. Al activar esta operación aparece una selección de tres modos:</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Modo</w:t>
            </w:r>
          </w:p>
        </w:tc>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Función interna</w:t>
            </w:r>
          </w:p>
        </w:tc>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Descripción</w:t>
            </w:r>
          </w:p>
        </w:tc>
      </w:tr>
      <w:tr>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b/>
                <w:color w:val="6D28D9"/>
                <w:sz w:val="19"/>
              </w:rPr>
              <w:t>Palabras</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word_tokenize()</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sz w:val="19"/>
              </w:rPr>
              <w:t>El modo estándar. Separa el texto en palabras individuales y maneja correctamente contracciones en inglés y puntuación compuesta.</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b/>
                <w:color w:val="6D28D9"/>
                <w:sz w:val="19"/>
              </w:rPr>
              <w:t>Palabras + símbolos</w:t>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regexp \w+|[^\w\s]</w:t>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t>Genera tokens para palabras Y para cada símbolo aislado. Útil cuando los símbolos tienen significado en el dominio (emojis, código, fórmulas).</w:t>
            </w:r>
          </w:p>
        </w:tc>
      </w:tr>
      <w:tr>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b/>
                <w:color w:val="6D28D9"/>
                <w:sz w:val="19"/>
              </w:rPr>
              <w:t>Caracteres</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list(text)</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sz w:val="19"/>
              </w:rPr>
              <w:t>Genera un token por cada carácter individual. Produce listas muy largas. Útil para análisis de secuencias a nivel de carácter o modelos de lenguaje.</w:t>
            </w:r>
          </w:p>
        </w:tc>
      </w:tr>
    </w:tbl>
    <w:p/>
    <w:p>
      <w:pPr>
        <w:spacing w:before="240" w:after="120"/>
      </w:pPr>
      <w:r>
        <w:rPr>
          <w:b/>
          <w:color w:val="6D28D9"/>
          <w:sz w:val="28"/>
        </w:rPr>
        <w:t>Operación 6 · Eliminar stopwords</w:t>
      </w:r>
    </w:p>
    <w:p>
      <w:pPr>
        <w:spacing w:before="0" w:after="100"/>
      </w:pPr>
      <w:r>
        <w:rPr>
          <w:sz w:val="21"/>
        </w:rPr>
        <w:t>Filtra los tokens que pertenecen a una lista predefinida de palabras vacías (stopwords). Las stopwords son palabras muy frecuentes que generalmente no aportan significado al análisis (artículos, preposiciones, conjunciones).</w:t>
      </w:r>
    </w:p>
    <w:p>
      <w:pPr>
        <w:spacing w:before="40" w:after="120"/>
        <w:ind w:left="567"/>
      </w:pPr>
      <w:r>
        <w:rPr>
          <w:rFonts w:ascii="Courier New" w:hAnsi="Courier New"/>
          <w:color w:val="16A34A"/>
          <w:sz w:val="19"/>
        </w:rPr>
        <w:t>T' = { t ∈ T : lower(t) ∉ S }   donde S = conjunto de stopwords</w:t>
      </w:r>
    </w:p>
    <w:p>
      <w:pPr>
        <w:spacing w:before="0" w:after="100"/>
      </w:pPr>
      <w:r>
        <w:rPr>
          <w:sz w:val="21"/>
        </w:rPr>
        <w:t>La lista predeterminada incluye más de 500 stopwords en español e inglés combinados, cargadas del corpus NLTK.</w:t>
      </w:r>
    </w:p>
    <w:p>
      <w:pPr>
        <w:spacing w:before="0" w:after="60"/>
      </w:pPr>
      <w:r>
        <w:rPr>
          <w:sz w:val="21"/>
        </w:rPr>
        <w:t>Agregar stopwords personalizadas:</w:t>
      </w:r>
    </w:p>
    <w:p>
      <w:pPr>
        <w:pStyle w:val="ListBullet"/>
        <w:spacing w:after="60"/>
        <w:ind w:left="567"/>
      </w:pPr>
      <w:r>
        <w:rPr>
          <w:sz w:val="21"/>
        </w:rPr>
        <w:t>Escribe las palabras en el campo de texto, separadas por coma o espacio, y presiona Agregar.</w:t>
      </w:r>
    </w:p>
    <w:p>
      <w:pPr>
        <w:pStyle w:val="ListBullet"/>
        <w:spacing w:after="60"/>
        <w:ind w:left="567"/>
      </w:pPr>
      <w:r>
        <w:rPr>
          <w:sz w:val="21"/>
        </w:rPr>
        <w:t>Cada palabra personalizada aparece como chip morado con ✕ para eliminarla.</w:t>
      </w:r>
    </w:p>
    <w:p>
      <w:pPr>
        <w:pStyle w:val="ListBullet"/>
        <w:spacing w:after="60"/>
        <w:ind w:left="567"/>
      </w:pPr>
      <w:r>
        <w:rPr>
          <w:sz w:val="21"/>
        </w:rPr>
        <w:t>Para ver la lista base completa, expande Ver lista base (N) dentro de la sección.</w:t>
      </w: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Stopwords específicas de dominio</w:t>
            </w:r>
          </w:p>
          <w:p>
            <w:pPr>
              <w:spacing w:before="20" w:after="20"/>
              <w:ind w:left="227"/>
            </w:pPr>
            <w:r>
              <w:rPr>
                <w:sz w:val="20"/>
              </w:rPr>
              <w:t>Agrega términos propios de tu corpus que aparecen demasiado frecuentemente y no aportan valor.</w:t>
            </w:r>
          </w:p>
          <w:p>
            <w:pPr>
              <w:spacing w:before="20" w:after="20"/>
              <w:ind w:left="227"/>
            </w:pPr>
            <w:r>
              <w:rPr>
                <w:sz w:val="20"/>
              </w:rPr>
              <w:t>Ejemplo: si analizas artículos de tecnología, palabras como 'empresa', 'producto', 'usuario'</w:t>
            </w:r>
          </w:p>
          <w:p>
            <w:pPr>
              <w:spacing w:before="20" w:after="20"/>
              <w:ind w:left="227"/>
            </w:pPr>
            <w:r>
              <w:rPr>
                <w:sz w:val="20"/>
              </w:rPr>
              <w:t>pueden ser stopwords de dominio si aparecen en casi todos los documentos.</w:t>
            </w:r>
          </w:p>
          <w:p>
            <w:pPr>
              <w:spacing w:after="80"/>
            </w:pPr>
          </w:p>
        </w:tc>
      </w:tr>
    </w:tbl>
    <w:p>
      <w:pPr>
        <w:spacing w:after="120"/>
      </w:pPr>
    </w:p>
    <w:p>
      <w:pPr>
        <w:spacing w:before="280" w:after="120"/>
      </w:pPr>
      <w:r>
        <w:rPr>
          <w:b/>
          <w:color w:val="4C1D95"/>
          <w:sz w:val="28"/>
        </w:rPr>
        <w:t>Resumen del pipeline y vista previa de flujo</w:t>
      </w:r>
    </w:p>
    <w:p>
      <w:pPr>
        <w:spacing w:before="0" w:after="100"/>
      </w:pPr>
      <w:r>
        <w:rPr>
          <w:sz w:val="21"/>
        </w:rPr>
        <w:t>En la columna derecha del Paso 2 hay dos tarjetas permanentes que se actualizan en tiempo real a medida que configuras las opciones:</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Resumen del pipeline</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Lista las 6 operaciones con badges ON / OFF. Los fondos morados indican operaciones activas. Te permite verificar de un vistazo qué transformaciones se aplicarán.</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&lt;&gt;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Vista previa del flujo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Muestra el pseudocódigo equivalente del pipeline configurado, actualizado al instante. Útil para documentar o compartir la configuración con colegas.</w:t>
            </w:r>
          </w:p>
        </w:tc>
      </w:tr>
    </w:tbl>
    <w:p>
      <w:pPr>
        <w:spacing w:after="20"/>
      </w:pPr>
    </w:p>
    <w:p>
      <w:pPr>
        <w:spacing w:before="240" w:after="120"/>
      </w:pPr>
      <w:r>
        <w:rPr>
          <w:b/>
          <w:color w:val="4C1D95"/>
          <w:sz w:val="28"/>
        </w:rPr>
        <w:t>Ejecutar el pipeline</w:t>
      </w:r>
    </w:p>
    <w:tbl>
      <w:tblPr>
        <w:tblStyle w:val="TableGrid"/>
        <w:tblW w:type="auto" w:w="0"/>
        <w:jc w:val="left"/>
        <w:tblLook w:firstColumn="1" w:firstRow="1" w:lastColumn="0" w:lastRow="0" w:noHBand="0" w:noVBand="1" w:val="04A0"/>
      </w:tblPr>
      <w:tblGrid>
        <w:gridCol w:w="9184"/>
      </w:tblGrid>
      <w:tr>
        <w:tc>
          <w:tcPr>
            <w:tcW w:type="dxa" w:w="9184"/>
            <w:shd w:val="clear" w:color="auto" w:fill="F3EEFF"/>
            <w:tcBorders>
              <w:top w:val="single" w:sz="8" w:color="7C3AED"/>
              <w:left w:val="single" w:sz="8" w:color="7C3AED"/>
              <w:bottom w:val="single" w:sz="8" w:color="7C3AED"/>
              <w:right w:val="single" w:sz="8" w:color="7C3AED"/>
            </w:tcBorders>
          </w:tcPr>
          <w:p>
            <w:pPr>
              <w:spacing w:before="80" w:after="60"/>
            </w:pPr>
            <w:r>
              <w:rPr>
                <w:b/>
                <w:color w:val="C4B5FD"/>
                <w:sz w:val="21"/>
              </w:rPr>
              <w:t>▶ Formas de procesar</w:t>
            </w:r>
          </w:p>
          <w:p>
            <w:pPr>
              <w:spacing w:before="20" w:after="20"/>
              <w:ind w:left="227"/>
            </w:pPr>
            <w:r>
              <w:rPr>
                <w:sz w:val="20"/>
              </w:rPr>
              <w:t>Opción A:  Botón  ▶ Procesar  dentro de la tarjeta Resumen del pipeline.</w:t>
            </w:r>
          </w:p>
          <w:p>
            <w:pPr>
              <w:spacing w:before="20" w:after="20"/>
              <w:ind w:left="227"/>
            </w:pPr>
            <w:r>
              <w:rPr>
                <w:sz w:val="20"/>
              </w:rPr>
              <w:t>Opción B:  Botón  ▶ Procesar  en el footer bar (esquina inferior derecha).</w:t>
            </w:r>
          </w:p>
          <w:p>
            <w:pPr>
              <w:spacing w:before="20" w:after="20"/>
              <w:ind w:left="227"/>
            </w:pPr>
            <w:r>
              <w:rPr>
                <w:sz w:val="20"/>
              </w:rPr>
              <w:t xml:space="preserve">           Ambos botones ejecutan exactamente la misma acción.</w:t>
            </w:r>
          </w:p>
          <w:p>
            <w:pPr>
              <w:spacing w:before="20" w:after="20"/>
              <w:ind w:left="227"/>
            </w:pPr>
            <w:r>
              <w:rPr>
                <w:sz w:val="20"/>
              </w:rPr>
            </w:r>
          </w:p>
          <w:p>
            <w:pPr>
              <w:spacing w:before="20" w:after="20"/>
              <w:ind w:left="227"/>
            </w:pPr>
            <w:r>
              <w:rPr>
                <w:sz w:val="20"/>
              </w:rPr>
              <w:t>Mientras se procesa, el botón muestra  Procesando…  y está deshabilitado.</w:t>
            </w:r>
          </w:p>
          <w:p>
            <w:pPr>
              <w:spacing w:before="20" w:after="20"/>
              <w:ind w:left="227"/>
            </w:pPr>
            <w:r>
              <w:rPr>
                <w:sz w:val="20"/>
              </w:rPr>
              <w:t>Al terminar, la aplicación navega automáticamente al Paso 3.</w:t>
            </w:r>
          </w:p>
          <w:p>
            <w:pPr>
              <w:spacing w:after="80"/>
            </w:pPr>
          </w:p>
        </w:tc>
      </w:tr>
    </w:tbl>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FFFBEB"/>
            <w:tcBorders>
              <w:top w:val="single" w:sz="8" w:color="D97706"/>
              <w:left w:val="single" w:sz="8" w:color="D97706"/>
              <w:bottom w:val="single" w:sz="8" w:color="D97706"/>
              <w:right w:val="single" w:sz="8" w:color="D97706"/>
            </w:tcBorders>
          </w:tcPr>
          <w:p>
            <w:pPr>
              <w:spacing w:before="80" w:after="60"/>
            </w:pPr>
            <w:r>
              <w:rPr>
                <w:b/>
                <w:color w:val="FCD34D"/>
                <w:sz w:val="21"/>
              </w:rPr>
              <w:t>⚠️ Errores comunes al procesar</w:t>
            </w:r>
          </w:p>
          <w:p>
            <w:pPr>
              <w:spacing w:before="20" w:after="20"/>
              <w:ind w:left="227"/>
            </w:pPr>
            <w:r>
              <w:rPr>
                <w:sz w:val="20"/>
              </w:rPr>
              <w:t>• Sin texto: debes ingresar o cargar texto antes de procesar.</w:t>
            </w:r>
          </w:p>
          <w:p>
            <w:pPr>
              <w:spacing w:before="20" w:after="20"/>
              <w:ind w:left="227"/>
            </w:pPr>
            <w:r>
              <w:rPr>
                <w:sz w:val="20"/>
              </w:rPr>
              <w:t>• Sin opciones: al menos una operación debe estar activa.</w:t>
            </w:r>
          </w:p>
          <w:p>
            <w:pPr>
              <w:spacing w:before="20" w:after="20"/>
              <w:ind w:left="227"/>
            </w:pPr>
            <w:r>
              <w:rPr>
                <w:sz w:val="20"/>
              </w:rPr>
              <w:t>• Sin tokens: si el pipeline elimina todo el texto, se mostrará un aviso.</w:t>
            </w:r>
          </w:p>
          <w:p>
            <w:pPr>
              <w:spacing w:before="20" w:after="20"/>
              <w:ind w:left="227"/>
            </w:pPr>
            <w:r>
              <w:rPr>
                <w:sz w:val="20"/>
              </w:rPr>
              <w:t>• Backend apagado: verifica que start_backend.bat esté corriendo.</w:t>
            </w:r>
          </w:p>
          <w:p>
            <w:pPr>
              <w:spacing w:after="80"/>
            </w:pPr>
          </w:p>
        </w:tc>
      </w:tr>
    </w:tbl>
    <w:p>
      <w:pPr>
        <w:spacing w:after="120"/>
      </w:pPr>
    </w:p>
    <w:p>
      <w:r>
        <w:br w:type="page"/>
      </w:r>
    </w:p>
    <w:tbl>
      <w:tblPr>
        <w:tblStyle w:val="TableGrid"/>
        <w:tblW w:type="auto" w:w="0"/>
        <w:jc w:val="left"/>
        <w:tblLook w:firstColumn="1" w:firstRow="1" w:lastColumn="0" w:lastRow="0" w:noHBand="0" w:noVBand="1" w:val="04A0"/>
      </w:tblPr>
      <w:tblGrid>
        <w:gridCol w:w="4592"/>
        <w:gridCol w:w="4592"/>
      </w:tblGrid>
      <w:tr>
        <w:tc>
          <w:tcPr>
            <w:tcW w:type="dxa" w:w="794"/>
            <w:shd w:val="clear" w:color="auto" w:fill="7C3AED"/>
            <w:tcBorders>
              <w:top w:val="single" w:sz="4" w:color="7C3AED"/>
              <w:left w:val="single" w:sz="4" w:color="7C3AED"/>
              <w:bottom w:val="single" w:sz="4" w:color="7C3AED"/>
              <w:right w:val="single" w:sz="4" w:color="7C3AED"/>
            </w:tcBorders>
          </w:tcPr>
          <w:p>
            <w:pPr>
              <w:spacing w:before="120" w:after="40"/>
              <w:jc w:val="center"/>
            </w:pPr>
            <w:r>
              <w:rPr>
                <w:b/>
                <w:color w:val="FFFFFF"/>
                <w:sz w:val="44"/>
              </w:rPr>
              <w:t>3</w:t>
            </w:r>
          </w:p>
          <w:p>
            <w:pPr>
              <w:spacing w:before="0" w:after="120"/>
              <w:jc w:val="center"/>
            </w:pPr>
            <w:r>
              <w:rPr>
                <w:b/>
                <w:color w:val="C4B5FD"/>
                <w:sz w:val="14"/>
              </w:rPr>
              <w:t>PASO</w:t>
            </w:r>
          </w:p>
        </w:tc>
        <w:tc>
          <w:tcPr>
            <w:tcW w:type="dxa" w:w="4592"/>
            <w:shd w:val="clear" w:color="auto" w:fill="F3EEFF"/>
            <w:tcBorders>
              <w:top w:val="single" w:sz="4" w:color="7C3AED"/>
              <w:left w:val="single" w:sz="4" w:color="7C3AED"/>
              <w:bottom w:val="single" w:sz="4" w:color="7C3AED"/>
              <w:right w:val="single" w:sz="4" w:color="7C3AED"/>
            </w:tcBorders>
          </w:tcPr>
          <w:p>
            <w:pPr>
              <w:spacing w:before="160" w:after="40"/>
            </w:pPr>
            <w:r>
              <w:rPr>
                <w:b/>
                <w:color w:val="4C1D95"/>
                <w:sz w:val="28"/>
              </w:rPr>
              <w:t>VISUALIZAR RESULTADOS</w:t>
            </w:r>
          </w:p>
          <w:p>
            <w:pPr>
              <w:spacing w:before="0" w:after="160"/>
            </w:pPr>
            <w:r>
              <w:rPr>
                <w:i/>
                <w:color w:val="7C3AED"/>
                <w:sz w:val="20"/>
              </w:rPr>
              <w:t>Analiza los resultados del pipeline en cuatro perspectivas</w:t>
            </w:r>
          </w:p>
        </w:tc>
      </w:tr>
    </w:tbl>
    <w:p>
      <w:pPr>
        <w:spacing w:after="80"/>
      </w:pPr>
    </w:p>
    <w:p>
      <w:pPr>
        <w:spacing w:before="0" w:after="100"/>
      </w:pPr>
      <w:r>
        <w:rPr>
          <w:sz w:val="21"/>
        </w:rPr>
        <w:t>El Paso 3 presenta una tarjeta principal con cuatro pestañas y un Panel de fórmulas colapsable debajo. Un badge verde  ✓ Pipeline ejecutado  confirma que los resultados son válidos.</w:t>
      </w:r>
    </w:p>
    <w:p>
      <w:pPr>
        <w:spacing w:before="240" w:after="120"/>
      </w:pPr>
      <w:r>
        <w:rPr>
          <w:b/>
          <w:color w:val="4C1D95"/>
          <w:sz w:val="28"/>
        </w:rPr>
        <w:t>Pestaña · Resumen</w:t>
      </w:r>
    </w:p>
    <w:p>
      <w:pPr>
        <w:spacing w:before="0" w:after="100"/>
      </w:pPr>
      <w:r>
        <w:rPr>
          <w:sz w:val="21"/>
        </w:rPr>
        <w:t>Muestra seis tarjetas de métricas con los indicadores clave del procesamiento:</w:t>
      </w:r>
    </w:p>
    <w:tbl>
      <w:tblPr>
        <w:tblStyle w:val="TableGrid"/>
        <w:tblW w:type="auto" w:w="0"/>
        <w:jc w:val="left"/>
        <w:tblLook w:firstColumn="1" w:firstRow="1" w:lastColumn="0" w:lastRow="0" w:noHBand="0" w:noVBand="1" w:val="04A0"/>
      </w:tblPr>
      <w:tblGrid>
        <w:gridCol w:w="4592"/>
        <w:gridCol w:w="4592"/>
      </w:tblGrid>
      <w:tr>
        <w:tc>
          <w:tcPr>
            <w:tcW w:type="dxa" w:w="255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Métrica</w:t>
            </w:r>
          </w:p>
        </w:tc>
        <w:tc>
          <w:tcPr>
            <w:tcW w:type="dxa" w:w="4592"/>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Descripción</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Palabras originales</w:t>
            </w:r>
          </w:p>
        </w:tc>
        <w:tc>
          <w:tcPr>
            <w:tcW w:type="dxa" w:w="4592"/>
            <w:shd w:val="clear" w:color="auto" w:fill="F5F3FF"/>
            <w:tcBorders>
              <w:top w:val="single" w:sz="4" w:color="E5E7EB"/>
              <w:left w:val="single" w:sz="4" w:color="E5E7EB"/>
              <w:bottom w:val="single" w:sz="4" w:color="E5E7EB"/>
              <w:right w:val="single" w:sz="4" w:color="E5E7EB"/>
            </w:tcBorders>
          </w:tcPr>
          <w:p>
            <w:pPr>
              <w:spacing w:before="100" w:after="100"/>
            </w:pPr>
            <w:r>
              <w:rPr>
                <w:b w:val="0"/>
                <w:sz w:val="19"/>
              </w:rPr>
              <w:t>Cantidad de palabras en el texto de entrada (split por espacio).</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Tokens finales</w:t>
            </w:r>
          </w:p>
        </w:tc>
        <w:tc>
          <w:tcPr>
            <w:tcW w:type="dxa" w:w="4592"/>
            <w:shd w:val="clear" w:color="auto" w:fill="FFFFFF"/>
            <w:tcBorders>
              <w:top w:val="single" w:sz="4" w:color="E5E7EB"/>
              <w:left w:val="single" w:sz="4" w:color="E5E7EB"/>
              <w:bottom w:val="single" w:sz="4" w:color="E5E7EB"/>
              <w:right w:val="single" w:sz="4" w:color="E5E7EB"/>
            </w:tcBorders>
          </w:tcPr>
          <w:p>
            <w:pPr>
              <w:spacing w:before="100" w:after="100"/>
            </w:pPr>
            <w:r>
              <w:rPr>
                <w:b w:val="0"/>
                <w:sz w:val="19"/>
              </w:rPr>
              <w:t>Número de tokens tras todas las transformaciones.</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Tokens únicos</w:t>
            </w:r>
          </w:p>
        </w:tc>
        <w:tc>
          <w:tcPr>
            <w:tcW w:type="dxa" w:w="4592"/>
            <w:shd w:val="clear" w:color="auto" w:fill="F5F3FF"/>
            <w:tcBorders>
              <w:top w:val="single" w:sz="4" w:color="E5E7EB"/>
              <w:left w:val="single" w:sz="4" w:color="E5E7EB"/>
              <w:bottom w:val="single" w:sz="4" w:color="E5E7EB"/>
              <w:right w:val="single" w:sz="4" w:color="E5E7EB"/>
            </w:tcBorders>
          </w:tcPr>
          <w:p>
            <w:pPr>
              <w:spacing w:before="100" w:after="100"/>
            </w:pPr>
            <w:r>
              <w:rPr>
                <w:b w:val="0"/>
                <w:sz w:val="19"/>
              </w:rPr>
              <w:t>Tamaño del vocabulario resultante (tipos distintos). También se muestra el porcentaje sobre el total.</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Stopwords eliminadas</w:t>
            </w:r>
          </w:p>
        </w:tc>
        <w:tc>
          <w:tcPr>
            <w:tcW w:type="dxa" w:w="4592"/>
            <w:shd w:val="clear" w:color="auto" w:fill="FFFFFF"/>
            <w:tcBorders>
              <w:top w:val="single" w:sz="4" w:color="E5E7EB"/>
              <w:left w:val="single" w:sz="4" w:color="E5E7EB"/>
              <w:bottom w:val="single" w:sz="4" w:color="E5E7EB"/>
              <w:right w:val="single" w:sz="4" w:color="E5E7EB"/>
            </w:tcBorders>
          </w:tcPr>
          <w:p>
            <w:pPr>
              <w:spacing w:before="100" w:after="100"/>
            </w:pPr>
            <w:r>
              <w:rPr>
                <w:b w:val="0"/>
                <w:sz w:val="19"/>
              </w:rPr>
              <w:t>Cuántas palabras vacías fueron filtradas en la Operación 6.</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Reducción</w:t>
            </w:r>
          </w:p>
        </w:tc>
        <w:tc>
          <w:tcPr>
            <w:tcW w:type="dxa" w:w="4592"/>
            <w:shd w:val="clear" w:color="auto" w:fill="F5F3FF"/>
            <w:tcBorders>
              <w:top w:val="single" w:sz="4" w:color="E5E7EB"/>
              <w:left w:val="single" w:sz="4" w:color="E5E7EB"/>
              <w:bottom w:val="single" w:sz="4" w:color="E5E7EB"/>
              <w:right w:val="single" w:sz="4" w:color="E5E7EB"/>
            </w:tcBorders>
          </w:tcPr>
          <w:p>
            <w:pPr>
              <w:spacing w:before="100" w:after="100"/>
            </w:pPr>
            <w:r>
              <w:rPr>
                <w:b w:val="0"/>
                <w:sz w:val="19"/>
              </w:rPr>
              <w:t>Porcentaje de reducción respecto al texto original. Indica qué tan comprimido quedó el corpus.</w:t>
            </w:r>
          </w:p>
        </w:tc>
      </w:tr>
      <w:tr>
        <w:tc>
          <w:tcPr>
            <w:tcW w:type="dxa" w:w="2551"/>
            <w:shd w:val="clear" w:color="auto" w:fill="EDE9FE"/>
            <w:tcBorders>
              <w:top w:val="single" w:sz="4" w:color="DDD6FE"/>
              <w:left w:val="single" w:sz="4" w:color="DDD6FE"/>
              <w:bottom w:val="single" w:sz="4" w:color="DDD6FE"/>
              <w:right w:val="single" w:sz="4" w:color="DDD6FE"/>
            </w:tcBorders>
          </w:tcPr>
          <w:p>
            <w:pPr>
              <w:spacing w:before="100" w:after="100"/>
            </w:pPr>
            <w:r>
              <w:rPr>
                <w:b/>
                <w:color w:val="6D28D9"/>
                <w:sz w:val="19"/>
              </w:rPr>
              <w:t>Token más frecuente</w:t>
            </w:r>
          </w:p>
        </w:tc>
        <w:tc>
          <w:tcPr>
            <w:tcW w:type="dxa" w:w="4592"/>
            <w:shd w:val="clear" w:color="auto" w:fill="FFFFFF"/>
            <w:tcBorders>
              <w:top w:val="single" w:sz="4" w:color="E5E7EB"/>
              <w:left w:val="single" w:sz="4" w:color="E5E7EB"/>
              <w:bottom w:val="single" w:sz="4" w:color="E5E7EB"/>
              <w:right w:val="single" w:sz="4" w:color="E5E7EB"/>
            </w:tcBorders>
          </w:tcPr>
          <w:p>
            <w:pPr>
              <w:spacing w:before="100" w:after="100"/>
            </w:pPr>
            <w:r>
              <w:rPr>
                <w:b w:val="0"/>
                <w:sz w:val="19"/>
              </w:rPr>
              <w:t>El token que aparece más veces en el resultado final, con su conteo de apariciones.</w:t>
            </w:r>
          </w:p>
        </w:tc>
      </w:tr>
    </w:tbl>
    <w:p/>
    <w:p>
      <w:pPr>
        <w:spacing w:before="240" w:after="120"/>
      </w:pPr>
      <w:r>
        <w:rPr>
          <w:b/>
          <w:color w:val="4C1D95"/>
          <w:sz w:val="28"/>
        </w:rPr>
        <w:t>Pestaña · Comparación</w:t>
      </w:r>
    </w:p>
    <w:p>
      <w:pPr>
        <w:spacing w:before="0" w:after="100"/>
      </w:pPr>
      <w:r>
        <w:rPr>
          <w:sz w:val="21"/>
        </w:rPr>
        <w:t>Muestra tres columnas de texto lado a lado para comparar visualmente cada etapa del procesamiento:</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1E40AF"/>
                <w:sz w:val="24"/>
              </w:rPr>
              <w:t>1</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1E40AF"/>
                <w:sz w:val="20"/>
              </w:rPr>
              <w:t>Texto original</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El texto exactamente como fue ingresado, sin ninguna modificación.</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1E40AF"/>
                <w:sz w:val="24"/>
              </w:rPr>
              <w:t>2</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1E40AF"/>
                <w:sz w:val="20"/>
              </w:rPr>
              <w:t>Texto limpio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El texto tras aplicar normalización (minúsculas, números, espacios) y limpieza de símbolos, pero antes de tokenizar.</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1E40AF"/>
                <w:sz w:val="24"/>
              </w:rPr>
              <w:t>3</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1E40AF"/>
                <w:sz w:val="20"/>
              </w:rPr>
              <w:t>Texto procesado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Los tokens finales unidos por espacio. Cada token aparece resaltado en morado.</w:t>
            </w:r>
          </w:p>
        </w:tc>
      </w:tr>
    </w:tbl>
    <w:p>
      <w:pPr>
        <w:spacing w:after="20"/>
      </w:pP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Para qué sirve esta vista</w:t>
            </w:r>
          </w:p>
          <w:p>
            <w:pPr>
              <w:spacing w:before="20" w:after="20"/>
              <w:ind w:left="227"/>
            </w:pPr>
            <w:r>
              <w:rPr>
                <w:sz w:val="20"/>
              </w:rPr>
              <w:t>Permite detectar si las operaciones están eliminando contenido inesperado.</w:t>
            </w:r>
          </w:p>
          <w:p>
            <w:pPr>
              <w:spacing w:before="20" w:after="20"/>
              <w:ind w:left="227"/>
            </w:pPr>
            <w:r>
              <w:rPr>
                <w:sz w:val="20"/>
              </w:rPr>
              <w:t>Si ves palabras fusionadas o perdidas, revisa el orden de operaciones en el Paso 2.</w:t>
            </w:r>
          </w:p>
          <w:p>
            <w:pPr>
              <w:spacing w:after="80"/>
            </w:pPr>
          </w:p>
        </w:tc>
      </w:tr>
    </w:tbl>
    <w:p>
      <w:pPr>
        <w:spacing w:after="120"/>
      </w:pPr>
    </w:p>
    <w:p>
      <w:pPr>
        <w:spacing w:before="240" w:after="120"/>
      </w:pPr>
      <w:r>
        <w:rPr>
          <w:b/>
          <w:color w:val="4C1D95"/>
          <w:sz w:val="28"/>
        </w:rPr>
        <w:t>Pestaña · Tokens</w:t>
      </w:r>
    </w:p>
    <w:p>
      <w:pPr>
        <w:spacing w:before="0" w:after="100"/>
      </w:pPr>
      <w:r>
        <w:rPr>
          <w:sz w:val="21"/>
        </w:rPr>
        <w:t>Muestra dos listas de tokens en paralelo con codificación de colores:</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DC2626"/>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DC2626"/>
                <w:sz w:val="20"/>
              </w:rPr>
              <w:t>Antes de stopwords</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Lista completa de tokens generados por la tokenización. Los tokens que serán eliminados por las stopwords aparecen en rojo tachado. Los que sobrevivirán están en gris normal.</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Después de stopwords</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Lista final de tokens, todos resaltados en morado. Estos son los datos que se exportarán.</w:t>
            </w:r>
          </w:p>
        </w:tc>
      </w:tr>
    </w:tbl>
    <w:p>
      <w:pPr>
        <w:spacing w:after="20"/>
      </w:pPr>
    </w:p>
    <w:p>
      <w:pPr>
        <w:spacing w:before="0" w:after="100"/>
      </w:pPr>
      <w:r>
        <w:rPr>
          <w:sz w:val="21"/>
        </w:rPr>
        <w:t>Si hay más de 500 tokens en alguna lista, se muestra un indicador  …y N más  al final para no saturar la pantalla.</w:t>
      </w:r>
    </w:p>
    <w:tbl>
      <w:tblPr>
        <w:tblStyle w:val="TableGrid"/>
        <w:tblW w:type="auto" w:w="0"/>
        <w:jc w:val="left"/>
        <w:tblLook w:firstColumn="1" w:firstRow="1" w:lastColumn="0" w:lastRow="0" w:noHBand="0" w:noVBand="1" w:val="04A0"/>
      </w:tblPr>
      <w:tblGrid>
        <w:gridCol w:w="9184"/>
      </w:tblGrid>
      <w:tr>
        <w:tc>
          <w:tcPr>
            <w:tcW w:type="dxa" w:w="9184"/>
            <w:shd w:val="clear" w:color="auto" w:fill="F0F9FF"/>
            <w:tcBorders>
              <w:top w:val="single" w:sz="8" w:color="0284C7"/>
              <w:left w:val="single" w:sz="8" w:color="0284C7"/>
              <w:bottom w:val="single" w:sz="8" w:color="0284C7"/>
              <w:right w:val="single" w:sz="8" w:color="0284C7"/>
            </w:tcBorders>
          </w:tcPr>
          <w:p>
            <w:pPr>
              <w:spacing w:before="80" w:after="60"/>
            </w:pPr>
            <w:r>
              <w:rPr>
                <w:b/>
                <w:color w:val="7DD3FC"/>
                <w:sz w:val="21"/>
              </w:rPr>
              <w:t>📌 ¿Por qué aparecen tachados en rojo?</w:t>
            </w:r>
          </w:p>
          <w:p>
            <w:pPr>
              <w:spacing w:before="20" w:after="20"/>
              <w:ind w:left="227"/>
            </w:pPr>
            <w:r>
              <w:rPr>
                <w:sz w:val="20"/>
              </w:rPr>
              <w:t>Los tokens tachados en la columna izquierda son aquellos cuyo valor (en minúsculas) coincide</w:t>
            </w:r>
          </w:p>
          <w:p>
            <w:pPr>
              <w:spacing w:before="20" w:after="20"/>
              <w:ind w:left="227"/>
            </w:pPr>
            <w:r>
              <w:rPr>
                <w:sz w:val="20"/>
              </w:rPr>
              <w:t>con alguna stopword de la lista activa. Esto te permite ver exactamente qué se está filtrando.</w:t>
            </w:r>
          </w:p>
          <w:p>
            <w:pPr>
              <w:spacing w:before="20" w:after="20"/>
              <w:ind w:left="227"/>
            </w:pPr>
            <w:r>
              <w:rPr>
                <w:sz w:val="20"/>
              </w:rPr>
              <w:t>Esta vista solo muestra el tachado si la Operación 6 (Eliminar stopwords) está activa.</w:t>
            </w:r>
          </w:p>
          <w:p>
            <w:pPr>
              <w:spacing w:after="80"/>
            </w:pPr>
          </w:p>
        </w:tc>
      </w:tr>
    </w:tbl>
    <w:p>
      <w:pPr>
        <w:spacing w:after="120"/>
      </w:pPr>
    </w:p>
    <w:p>
      <w:pPr>
        <w:spacing w:before="240" w:after="120"/>
      </w:pPr>
      <w:r>
        <w:rPr>
          <w:b/>
          <w:color w:val="4C1D95"/>
          <w:sz w:val="28"/>
        </w:rPr>
        <w:t>Pestaña · Frecuencias</w:t>
      </w:r>
    </w:p>
    <w:p>
      <w:pPr>
        <w:spacing w:before="0" w:after="100"/>
      </w:pPr>
      <w:r>
        <w:rPr>
          <w:sz w:val="21"/>
        </w:rPr>
        <w:t>Tabla de distribución de frecuencias de los tokens finales, ordenada de mayor a menor.</w:t>
      </w:r>
    </w:p>
    <w:p>
      <w:pPr>
        <w:spacing w:before="0" w:after="60"/>
      </w:pPr>
      <w:r>
        <w:rPr>
          <w:sz w:val="21"/>
        </w:rPr>
        <w:t>Columnas de la tabla:</w:t>
      </w:r>
    </w:p>
    <w:p>
      <w:pPr>
        <w:pStyle w:val="ListBullet"/>
        <w:spacing w:after="60"/>
        <w:ind w:left="567"/>
      </w:pPr>
      <w:r>
        <w:rPr>
          <w:sz w:val="21"/>
        </w:rPr>
        <w:t>#   —  Ranking (01, 02, 03…)</w:t>
      </w:r>
    </w:p>
    <w:p>
      <w:pPr>
        <w:pStyle w:val="ListBullet"/>
        <w:spacing w:after="60"/>
        <w:ind w:left="567"/>
      </w:pPr>
      <w:r>
        <w:rPr>
          <w:sz w:val="21"/>
        </w:rPr>
        <w:t>Token  —  El token en su forma procesada.</w:t>
      </w:r>
    </w:p>
    <w:p>
      <w:pPr>
        <w:pStyle w:val="ListBullet"/>
        <w:spacing w:after="60"/>
        <w:ind w:left="567"/>
      </w:pPr>
      <w:r>
        <w:rPr>
          <w:sz w:val="21"/>
        </w:rPr>
        <w:t>Conteo  —  Número de apariciones absolutas en el corpus.</w:t>
      </w:r>
    </w:p>
    <w:p>
      <w:pPr>
        <w:pStyle w:val="ListBullet"/>
        <w:spacing w:after="60"/>
        <w:ind w:left="567"/>
      </w:pPr>
      <w:r>
        <w:rPr>
          <w:sz w:val="21"/>
        </w:rPr>
        <w:t>Frecuencia  —  Frecuencia relativa expresada como porcentaje. Fórmula: f(t) = count(t) / Σ count(tᵢ)</w:t>
      </w:r>
    </w:p>
    <w:p>
      <w:pPr>
        <w:pStyle w:val="ListBullet"/>
        <w:spacing w:after="60"/>
        <w:ind w:left="567"/>
      </w:pPr>
      <w:r>
        <w:rPr>
          <w:sz w:val="21"/>
        </w:rPr>
        <w:t>Distribución  —  Barra proporcional al conteo máximo.</w:t>
      </w:r>
    </w:p>
    <w:p>
      <w:pPr>
        <w:spacing w:before="0" w:after="100"/>
      </w:pPr>
      <w:r>
        <w:rPr>
          <w:sz w:val="21"/>
        </w:rPr>
        <w:t>Selector Top-N: limita la tabla a los 10 / 25 / 50 / 100 tokens más frecuentes. Usa el selector en la esquina superior izquierda de la tabla.</w:t>
      </w:r>
    </w:p>
    <w:p>
      <w:pPr>
        <w:spacing w:before="240" w:after="120"/>
      </w:pPr>
      <w:r>
        <w:rPr>
          <w:b/>
          <w:color w:val="4C1D95"/>
          <w:sz w:val="28"/>
        </w:rPr>
        <w:t>Panel de fórmulas ejecutadas</w:t>
      </w:r>
    </w:p>
    <w:p>
      <w:pPr>
        <w:spacing w:before="0" w:after="100"/>
      </w:pPr>
      <w:r>
        <w:rPr>
          <w:sz w:val="21"/>
        </w:rPr>
        <w:t>Debajo de la tarjeta principal hay un panel colapsable titulado  Fórmulas ejecutadas. Al desplegarlo muestra, en notación matemática, cada etapa que estuvo activa:</w:t>
      </w:r>
    </w:p>
    <w:p>
      <w:pPr>
        <w:spacing w:before="0" w:after="60"/>
      </w:pPr>
      <w:r>
        <w:rPr>
          <w:sz w:val="21"/>
        </w:rPr>
        <w:t>Ejemplo de línea de fórmula:</w:t>
      </w:r>
    </w:p>
    <w:p>
      <w:pPr>
        <w:spacing w:before="40" w:after="120"/>
        <w:ind w:left="567"/>
      </w:pPr>
      <w:r>
        <w:rPr>
          <w:rFonts w:ascii="Courier New" w:hAnsi="Courier New"/>
          <w:color w:val="16A34A"/>
          <w:sz w:val="19"/>
        </w:rPr>
        <w:t>03  [tokenize]   T₅(s) = split(s, 'words')   →   |T| = 112</w:t>
      </w:r>
    </w:p>
    <w:p>
      <w:pPr>
        <w:spacing w:before="0" w:after="100"/>
      </w:pPr>
      <w:r>
        <w:rPr>
          <w:sz w:val="21"/>
        </w:rPr>
        <w:t>Donde: el número es el orden de ejecución, el nombre entre corchetes es el identificador de la etapa, y a la derecha aparece el resultado cuantitativo (longitud del texto, cantidad de tokens, etc.).</w:t>
      </w: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Para documentar tu pipeline</w:t>
            </w:r>
          </w:p>
          <w:p>
            <w:pPr>
              <w:spacing w:before="20" w:after="20"/>
              <w:ind w:left="227"/>
            </w:pPr>
            <w:r>
              <w:rPr>
                <w:sz w:val="20"/>
              </w:rPr>
              <w:t>Puedes capturar este panel para documentar exactamente qué transformaciones aplicaste.</w:t>
            </w:r>
          </w:p>
          <w:p>
            <w:pPr>
              <w:spacing w:before="20" w:after="20"/>
              <w:ind w:left="227"/>
            </w:pPr>
            <w:r>
              <w:rPr>
                <w:sz w:val="20"/>
              </w:rPr>
              <w:t>La reducción final también se muestra aquí como: Δ = (|T| − |T'|) / |T| = XX%</w:t>
            </w:r>
          </w:p>
          <w:p>
            <w:pPr>
              <w:spacing w:after="80"/>
            </w:pPr>
          </w:p>
        </w:tc>
      </w:tr>
    </w:tbl>
    <w:p>
      <w:pPr>
        <w:spacing w:after="120"/>
      </w:pPr>
    </w:p>
    <w:p>
      <w:r>
        <w:br w:type="page"/>
      </w:r>
    </w:p>
    <w:tbl>
      <w:tblPr>
        <w:tblStyle w:val="TableGrid"/>
        <w:tblW w:type="auto" w:w="0"/>
        <w:jc w:val="left"/>
        <w:tblLook w:firstColumn="1" w:firstRow="1" w:lastColumn="0" w:lastRow="0" w:noHBand="0" w:noVBand="1" w:val="04A0"/>
      </w:tblPr>
      <w:tblGrid>
        <w:gridCol w:w="4592"/>
        <w:gridCol w:w="4592"/>
      </w:tblGrid>
      <w:tr>
        <w:tc>
          <w:tcPr>
            <w:tcW w:type="dxa" w:w="794"/>
            <w:shd w:val="clear" w:color="auto" w:fill="7C3AED"/>
            <w:tcBorders>
              <w:top w:val="single" w:sz="4" w:color="7C3AED"/>
              <w:left w:val="single" w:sz="4" w:color="7C3AED"/>
              <w:bottom w:val="single" w:sz="4" w:color="7C3AED"/>
              <w:right w:val="single" w:sz="4" w:color="7C3AED"/>
            </w:tcBorders>
          </w:tcPr>
          <w:p>
            <w:pPr>
              <w:spacing w:before="120" w:after="40"/>
              <w:jc w:val="center"/>
            </w:pPr>
            <w:r>
              <w:rPr>
                <w:b/>
                <w:color w:val="FFFFFF"/>
                <w:sz w:val="44"/>
              </w:rPr>
              <w:t>4</w:t>
            </w:r>
          </w:p>
          <w:p>
            <w:pPr>
              <w:spacing w:before="0" w:after="120"/>
              <w:jc w:val="center"/>
            </w:pPr>
            <w:r>
              <w:rPr>
                <w:b/>
                <w:color w:val="C4B5FD"/>
                <w:sz w:val="14"/>
              </w:rPr>
              <w:t>PASO</w:t>
            </w:r>
          </w:p>
        </w:tc>
        <w:tc>
          <w:tcPr>
            <w:tcW w:type="dxa" w:w="4592"/>
            <w:shd w:val="clear" w:color="auto" w:fill="F3EEFF"/>
            <w:tcBorders>
              <w:top w:val="single" w:sz="4" w:color="7C3AED"/>
              <w:left w:val="single" w:sz="4" w:color="7C3AED"/>
              <w:bottom w:val="single" w:sz="4" w:color="7C3AED"/>
              <w:right w:val="single" w:sz="4" w:color="7C3AED"/>
            </w:tcBorders>
          </w:tcPr>
          <w:p>
            <w:pPr>
              <w:spacing w:before="160" w:after="40"/>
            </w:pPr>
            <w:r>
              <w:rPr>
                <w:b/>
                <w:color w:val="4C1D95"/>
                <w:sz w:val="28"/>
              </w:rPr>
              <w:t>EXPORTAR RESULTADOS</w:t>
            </w:r>
          </w:p>
          <w:p>
            <w:pPr>
              <w:spacing w:before="0" w:after="160"/>
            </w:pPr>
            <w:r>
              <w:rPr>
                <w:i/>
                <w:color w:val="7C3AED"/>
                <w:sz w:val="20"/>
              </w:rPr>
              <w:t>Descarga el reporte y el dataset para análisis posterior</w:t>
            </w:r>
          </w:p>
        </w:tc>
      </w:tr>
    </w:tbl>
    <w:p>
      <w:pPr>
        <w:spacing w:after="80"/>
      </w:pPr>
    </w:p>
    <w:p>
      <w:pPr>
        <w:spacing w:before="0" w:after="100"/>
      </w:pPr>
      <w:r>
        <w:rPr>
          <w:sz w:val="21"/>
        </w:rPr>
        <w:t>El Paso 4 ofrece dos tipos de exportación en tarjetas separadas: un Reporte de procesamiento en formato .txt y un Dataset estructurado en formato .csv.</w:t>
      </w:r>
    </w:p>
    <w:p>
      <w:pPr>
        <w:spacing w:before="240" w:after="120"/>
      </w:pPr>
      <w:r>
        <w:rPr>
          <w:b/>
          <w:color w:val="4C1D95"/>
          <w:sz w:val="28"/>
        </w:rPr>
        <w:t>Reporte de procesamiento (.txt)</w:t>
      </w:r>
    </w:p>
    <w:p>
      <w:pPr>
        <w:spacing w:before="0" w:after="100"/>
      </w:pPr>
      <w:r>
        <w:rPr>
          <w:sz w:val="21"/>
        </w:rPr>
        <w:t>Genera un archivo de texto legible con un resumen estructurado del procesamiento. Es ideal para archivar o compartir los resultados.</w:t>
      </w:r>
    </w:p>
    <w:p>
      <w:pPr>
        <w:spacing w:before="0" w:after="60"/>
      </w:pPr>
      <w:r>
        <w:rPr>
          <w:sz w:val="21"/>
        </w:rPr>
        <w:t>Estructura del archivo generado:</w:t>
      </w:r>
    </w:p>
    <w:p>
      <w:pPr>
        <w:spacing w:before="40" w:after="120"/>
        <w:ind w:left="567"/>
      </w:pPr>
      <w:r>
        <w:rPr>
          <w:rFonts w:ascii="Courier New" w:hAnsi="Courier New"/>
          <w:color w:val="16A34A"/>
          <w:sz w:val="19"/>
        </w:rPr>
        <w:t># PipeNLP · Reporte de procesamiento</w:t>
      </w:r>
    </w:p>
    <w:p>
      <w:pPr>
        <w:spacing w:before="40" w:after="120"/>
        <w:ind w:left="567"/>
      </w:pPr>
      <w:r>
        <w:rPr>
          <w:rFonts w:ascii="Courier New" w:hAnsi="Courier New"/>
          <w:color w:val="16A34A"/>
          <w:sz w:val="19"/>
        </w:rPr>
        <w:t># Generado: 2026-05-27 14:32:18 UTC</w:t>
      </w:r>
    </w:p>
    <w:p>
      <w:pPr>
        <w:spacing w:before="40" w:after="120"/>
        <w:ind w:left="567"/>
      </w:pPr>
      <w:r>
        <w:rPr>
          <w:rFonts w:ascii="Courier New" w:hAnsi="Courier New"/>
          <w:color w:val="16A34A"/>
          <w:sz w:val="19"/>
        </w:rPr>
        <w:t># Pipeline ID: pl_8f7a2c</w:t>
      </w:r>
    </w:p>
    <w:p>
      <w:pPr>
        <w:spacing w:before="40" w:after="120"/>
        <w:ind w:left="567"/>
      </w:pPr>
      <w:r>
        <w:rPr>
          <w:rFonts w:ascii="Courier New" w:hAnsi="Courier New"/>
          <w:color w:val="16A34A"/>
          <w:sz w:val="19"/>
        </w:rPr>
      </w:r>
    </w:p>
    <w:p>
      <w:pPr>
        <w:spacing w:before="40" w:after="120"/>
        <w:ind w:left="567"/>
      </w:pPr>
      <w:r>
        <w:rPr>
          <w:rFonts w:ascii="Courier New" w:hAnsi="Courier New"/>
          <w:color w:val="16A34A"/>
          <w:sz w:val="19"/>
        </w:rPr>
        <w:t>[ENTRADA]</w:t>
      </w:r>
    </w:p>
    <w:p>
      <w:pPr>
        <w:spacing w:before="40" w:after="120"/>
        <w:ind w:left="567"/>
      </w:pPr>
      <w:r>
        <w:rPr>
          <w:rFonts w:ascii="Courier New" w:hAnsi="Courier New"/>
          <w:color w:val="16A34A"/>
          <w:sz w:val="19"/>
        </w:rPr>
        <w:t xml:space="preserve">  caracteres ........... 1 234</w:t>
      </w:r>
    </w:p>
    <w:p>
      <w:pPr>
        <w:spacing w:before="40" w:after="120"/>
        <w:ind w:left="567"/>
      </w:pPr>
      <w:r>
        <w:rPr>
          <w:rFonts w:ascii="Courier New" w:hAnsi="Courier New"/>
          <w:color w:val="16A34A"/>
          <w:sz w:val="19"/>
        </w:rPr>
        <w:t xml:space="preserve">  palabras ............. 220</w:t>
      </w:r>
    </w:p>
    <w:p>
      <w:pPr>
        <w:spacing w:before="40" w:after="120"/>
        <w:ind w:left="567"/>
      </w:pPr>
      <w:r>
        <w:rPr>
          <w:rFonts w:ascii="Courier New" w:hAnsi="Courier New"/>
          <w:color w:val="16A34A"/>
          <w:sz w:val="19"/>
        </w:rPr>
        <w:t xml:space="preserve">  líneas ............... 8</w:t>
      </w:r>
    </w:p>
    <w:p>
      <w:pPr>
        <w:spacing w:before="40" w:after="120"/>
        <w:ind w:left="567"/>
      </w:pPr>
      <w:r>
        <w:rPr>
          <w:rFonts w:ascii="Courier New" w:hAnsi="Courier New"/>
          <w:color w:val="16A34A"/>
          <w:sz w:val="19"/>
        </w:rPr>
      </w:r>
    </w:p>
    <w:p>
      <w:pPr>
        <w:spacing w:before="40" w:after="120"/>
        <w:ind w:left="567"/>
      </w:pPr>
      <w:r>
        <w:rPr>
          <w:rFonts w:ascii="Courier New" w:hAnsi="Courier New"/>
          <w:color w:val="16A34A"/>
          <w:sz w:val="19"/>
        </w:rPr>
        <w:t>[PIPELINE]</w:t>
      </w:r>
    </w:p>
    <w:p>
      <w:pPr>
        <w:spacing w:before="40" w:after="120"/>
        <w:ind w:left="567"/>
      </w:pPr>
      <w:r>
        <w:rPr>
          <w:rFonts w:ascii="Courier New" w:hAnsi="Courier New"/>
          <w:color w:val="16A34A"/>
          <w:sz w:val="19"/>
        </w:rPr>
        <w:t xml:space="preserve">  ✓ minúsculas</w:t>
      </w:r>
    </w:p>
    <w:p>
      <w:pPr>
        <w:spacing w:before="40" w:after="120"/>
        <w:ind w:left="567"/>
      </w:pPr>
      <w:r>
        <w:rPr>
          <w:rFonts w:ascii="Courier New" w:hAnsi="Courier New"/>
          <w:color w:val="16A34A"/>
          <w:sz w:val="19"/>
        </w:rPr>
        <w:t xml:space="preserve">  ✓ limpiar símbolos (42)</w:t>
      </w:r>
    </w:p>
    <w:p>
      <w:pPr>
        <w:spacing w:before="40" w:after="120"/>
        <w:ind w:left="567"/>
      </w:pPr>
      <w:r>
        <w:rPr>
          <w:rFonts w:ascii="Courier New" w:hAnsi="Courier New"/>
          <w:color w:val="16A34A"/>
          <w:sz w:val="19"/>
        </w:rPr>
        <w:t xml:space="preserve">  ✓ tokenizar (words)</w:t>
      </w:r>
    </w:p>
    <w:p>
      <w:pPr>
        <w:spacing w:before="40" w:after="120"/>
        <w:ind w:left="567"/>
      </w:pPr>
      <w:r>
        <w:rPr>
          <w:rFonts w:ascii="Courier New" w:hAnsi="Courier New"/>
          <w:color w:val="16A34A"/>
          <w:sz w:val="19"/>
        </w:rPr>
        <w:t xml:space="preserve">  ✓ stopwords (0 extra)</w:t>
      </w:r>
    </w:p>
    <w:p>
      <w:pPr>
        <w:spacing w:before="40" w:after="120"/>
        <w:ind w:left="567"/>
      </w:pPr>
      <w:r>
        <w:rPr>
          <w:rFonts w:ascii="Courier New" w:hAnsi="Courier New"/>
          <w:color w:val="16A34A"/>
          <w:sz w:val="19"/>
        </w:rPr>
      </w:r>
    </w:p>
    <w:p>
      <w:pPr>
        <w:spacing w:before="40" w:after="120"/>
        <w:ind w:left="567"/>
      </w:pPr>
      <w:r>
        <w:rPr>
          <w:rFonts w:ascii="Courier New" w:hAnsi="Courier New"/>
          <w:color w:val="16A34A"/>
          <w:sz w:val="19"/>
        </w:rPr>
        <w:t>[SALIDA]</w:t>
      </w:r>
    </w:p>
    <w:p>
      <w:pPr>
        <w:spacing w:before="40" w:after="120"/>
        <w:ind w:left="567"/>
      </w:pPr>
      <w:r>
        <w:rPr>
          <w:rFonts w:ascii="Courier New" w:hAnsi="Courier New"/>
          <w:color w:val="16A34A"/>
          <w:sz w:val="19"/>
        </w:rPr>
        <w:t xml:space="preserve">  tokens totales ....... 80</w:t>
      </w:r>
    </w:p>
    <w:p>
      <w:pPr>
        <w:spacing w:before="40" w:after="120"/>
        <w:ind w:left="567"/>
      </w:pPr>
      <w:r>
        <w:rPr>
          <w:rFonts w:ascii="Courier New" w:hAnsi="Courier New"/>
          <w:color w:val="16A34A"/>
          <w:sz w:val="19"/>
        </w:rPr>
        <w:t xml:space="preserve">  tokens únicos ........ 42</w:t>
      </w:r>
    </w:p>
    <w:p>
      <w:pPr>
        <w:spacing w:before="40" w:after="120"/>
        <w:ind w:left="567"/>
      </w:pPr>
      <w:r>
        <w:rPr>
          <w:rFonts w:ascii="Courier New" w:hAnsi="Courier New"/>
          <w:color w:val="16A34A"/>
          <w:sz w:val="19"/>
        </w:rPr>
        <w:t xml:space="preserve">  reducción ............ 38.5%</w:t>
      </w:r>
    </w:p>
    <w:p>
      <w:pPr>
        <w:spacing w:before="40" w:after="120"/>
        <w:ind w:left="567"/>
      </w:pPr>
      <w:r>
        <w:rPr>
          <w:rFonts w:ascii="Courier New" w:hAnsi="Courier New"/>
          <w:color w:val="16A34A"/>
          <w:sz w:val="19"/>
        </w:rPr>
        <w:t xml:space="preserve">  top token ............ "procesamiento" (6)</w:t>
      </w:r>
    </w:p>
    <w:p>
      <w:pPr>
        <w:spacing w:before="40" w:after="120"/>
        <w:ind w:left="567"/>
      </w:pPr>
      <w:r>
        <w:rPr>
          <w:rFonts w:ascii="Courier New" w:hAnsi="Courier New"/>
          <w:color w:val="16A34A"/>
          <w:sz w:val="19"/>
        </w:rPr>
      </w:r>
    </w:p>
    <w:p>
      <w:pPr>
        <w:spacing w:before="40" w:after="120"/>
        <w:ind w:left="567"/>
      </w:pPr>
      <w:r>
        <w:rPr>
          <w:rFonts w:ascii="Courier New" w:hAnsi="Courier New"/>
          <w:color w:val="16A34A"/>
          <w:sz w:val="19"/>
        </w:rPr>
        <w:t>[TOP-10]</w:t>
      </w:r>
    </w:p>
    <w:p>
      <w:pPr>
        <w:spacing w:before="40" w:after="120"/>
        <w:ind w:left="567"/>
      </w:pPr>
      <w:r>
        <w:rPr>
          <w:rFonts w:ascii="Courier New" w:hAnsi="Courier New"/>
          <w:color w:val="16A34A"/>
          <w:sz w:val="19"/>
        </w:rPr>
        <w:t xml:space="preserve">   1. procesamiento       6</w:t>
      </w:r>
    </w:p>
    <w:p>
      <w:pPr>
        <w:spacing w:before="40" w:after="120"/>
        <w:ind w:left="567"/>
      </w:pPr>
      <w:r>
        <w:rPr>
          <w:rFonts w:ascii="Courier New" w:hAnsi="Courier New"/>
          <w:color w:val="16A34A"/>
          <w:sz w:val="19"/>
        </w:rPr>
        <w:t xml:space="preserve">   2. texto               5  ...</w:t>
      </w:r>
    </w:p>
    <w:p/>
    <w:p>
      <w:pPr>
        <w:spacing w:before="0" w:after="60"/>
      </w:pPr>
      <w:r>
        <w:rPr>
          <w:sz w:val="21"/>
        </w:rPr>
        <w:t>Pasos para generar el reporte:</w:t>
      </w:r>
    </w:p>
    <w:p>
      <w:pPr>
        <w:pStyle w:val="ListBullet"/>
        <w:spacing w:after="60"/>
        <w:ind w:left="340"/>
      </w:pPr>
      <w:r>
        <w:rPr>
          <w:sz w:val="21"/>
        </w:rPr>
        <w:t>Escribe un nombre personalizado en el campo Nombre de archivo (sin extensión).</w:t>
      </w:r>
    </w:p>
    <w:p>
      <w:pPr>
        <w:pStyle w:val="ListBullet"/>
        <w:spacing w:after="60"/>
        <w:ind w:left="340"/>
      </w:pPr>
      <w:r>
        <w:rPr>
          <w:sz w:val="21"/>
        </w:rPr>
        <w:t>Haz clic en  Guardar  — el archivo se guarda en /backend/storage/.</w:t>
      </w:r>
    </w:p>
    <w:p>
      <w:pPr>
        <w:pStyle w:val="ListBullet"/>
        <w:spacing w:after="60"/>
        <w:ind w:left="340"/>
      </w:pPr>
      <w:r>
        <w:rPr>
          <w:sz w:val="21"/>
        </w:rPr>
        <w:t>Haz clic en  Descargar .txt  — el archivo se descarga a tu carpeta de Descargas.</w:t>
      </w:r>
    </w:p>
    <w:p>
      <w:pPr>
        <w:pStyle w:val="ListBullet"/>
        <w:spacing w:after="60"/>
        <w:ind w:left="340"/>
      </w:pPr>
      <w:r>
        <w:rPr>
          <w:sz w:val="21"/>
        </w:rPr>
        <w:t>Aparecerá el badge  ✓ Guardado  con el nombre del archivo.</w:t>
      </w:r>
    </w:p>
    <w:tbl>
      <w:tblPr>
        <w:tblStyle w:val="TableGrid"/>
        <w:tblW w:type="auto" w:w="0"/>
        <w:jc w:val="left"/>
        <w:tblLook w:firstColumn="1" w:firstRow="1" w:lastColumn="0" w:lastRow="0" w:noHBand="0" w:noVBand="1" w:val="04A0"/>
      </w:tblPr>
      <w:tblGrid>
        <w:gridCol w:w="9184"/>
      </w:tblGrid>
      <w:tr>
        <w:tc>
          <w:tcPr>
            <w:tcW w:type="dxa" w:w="9184"/>
            <w:shd w:val="clear" w:color="auto" w:fill="F0F9FF"/>
            <w:tcBorders>
              <w:top w:val="single" w:sz="8" w:color="0284C7"/>
              <w:left w:val="single" w:sz="8" w:color="0284C7"/>
              <w:bottom w:val="single" w:sz="8" w:color="0284C7"/>
              <w:right w:val="single" w:sz="8" w:color="0284C7"/>
            </w:tcBorders>
          </w:tcPr>
          <w:p>
            <w:pPr>
              <w:spacing w:before="80" w:after="60"/>
            </w:pPr>
            <w:r>
              <w:rPr>
                <w:b/>
                <w:color w:val="7DD3FC"/>
                <w:sz w:val="21"/>
              </w:rPr>
              <w:t>📌 Preview en pantalla</w:t>
            </w:r>
          </w:p>
          <w:p>
            <w:pPr>
              <w:spacing w:before="20" w:after="20"/>
              <w:ind w:left="227"/>
            </w:pPr>
            <w:r>
              <w:rPr>
                <w:sz w:val="20"/>
              </w:rPr>
              <w:t>Antes de guardar, el panel muestra una vista previa del contenido del archivo.</w:t>
            </w:r>
          </w:p>
          <w:p>
            <w:pPr>
              <w:spacing w:before="20" w:after="20"/>
              <w:ind w:left="227"/>
            </w:pPr>
            <w:r>
              <w:rPr>
                <w:sz w:val="20"/>
              </w:rPr>
              <w:t>Si no escribes nombre, se usará automáticamente:  pipenlp_reporte_YYYY-MM-DD.txt</w:t>
            </w:r>
          </w:p>
          <w:p>
            <w:pPr>
              <w:spacing w:after="80"/>
            </w:pPr>
          </w:p>
        </w:tc>
      </w:tr>
    </w:tbl>
    <w:p>
      <w:pPr>
        <w:spacing w:after="120"/>
      </w:pPr>
    </w:p>
    <w:p>
      <w:pPr>
        <w:spacing w:before="240" w:after="120"/>
      </w:pPr>
      <w:r>
        <w:rPr>
          <w:b/>
          <w:color w:val="4C1D95"/>
          <w:sz w:val="28"/>
        </w:rPr>
        <w:t>Dataset estructurado (.csv)</w:t>
      </w:r>
    </w:p>
    <w:p>
      <w:pPr>
        <w:spacing w:before="0" w:after="100"/>
      </w:pPr>
      <w:r>
        <w:rPr>
          <w:sz w:val="21"/>
        </w:rPr>
        <w:t>Genera un archivo CSV con una fila por cada token único del resultado. Este formato es ideal para cargar en pandas, Excel, R o cualquier herramienta de análisis de datos.</w:t>
      </w:r>
    </w:p>
    <w:p>
      <w:pPr>
        <w:spacing w:before="0" w:after="60"/>
      </w:pPr>
      <w:r>
        <w:rPr>
          <w:sz w:val="21"/>
        </w:rPr>
        <w:t>Columnas disponibles, agrupadas en tres categorías:</w:t>
      </w:r>
    </w:p>
    <w:tbl>
      <w:tblPr>
        <w:tblStyle w:val="TableGrid"/>
        <w:tblW w:type="auto" w:w="0"/>
        <w:jc w:val="left"/>
        <w:tblLook w:firstColumn="1" w:firstRow="1" w:lastColumn="0" w:lastRow="0" w:noHBand="0" w:noVBand="1" w:val="04A0"/>
      </w:tblPr>
      <w:tblGrid>
        <w:gridCol w:w="3061"/>
        <w:gridCol w:w="3061"/>
        <w:gridCol w:w="3061"/>
      </w:tblGrid>
      <w:tr>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Grupo</w:t>
            </w:r>
          </w:p>
        </w:tc>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Columna</w:t>
            </w:r>
          </w:p>
        </w:tc>
        <w:tc>
          <w:tcPr>
            <w:tcW w:type="dxa" w:w="3061"/>
            <w:shd w:val="clear" w:color="auto" w:fill="4C1D95"/>
            <w:tcBorders>
              <w:top w:val="single" w:sz="4" w:color="7C3AED"/>
              <w:left w:val="single" w:sz="4" w:color="7C3AED"/>
              <w:bottom w:val="single" w:sz="4" w:color="7C3AED"/>
              <w:right w:val="single" w:sz="4" w:color="7C3AED"/>
            </w:tcBorders>
          </w:tcPr>
          <w:p>
            <w:pPr>
              <w:spacing w:before="100" w:after="100"/>
            </w:pPr>
            <w:r>
              <w:rPr>
                <w:b/>
                <w:color w:val="FFFFFF"/>
                <w:sz w:val="19"/>
              </w:rPr>
              <w:t>Descripción</w:t>
            </w:r>
          </w:p>
        </w:tc>
      </w:tr>
      <w:tr>
        <w:tc>
          <w:tcPr>
            <w:tcW w:type="dxa" w:w="3061"/>
            <w:shd w:val="clear" w:color="auto" w:fill="EDE9FE"/>
            <w:tcBorders>
              <w:top w:val="single" w:sz="4" w:color="E9D5FF"/>
              <w:left w:val="single" w:sz="4" w:color="E9D5FF"/>
              <w:bottom w:val="single" w:sz="4" w:color="E9D5FF"/>
              <w:right w:val="single" w:sz="4" w:color="E9D5FF"/>
            </w:tcBorders>
          </w:tcPr>
          <w:p>
            <w:pPr>
              <w:spacing w:before="100" w:after="100"/>
            </w:pPr>
            <w:r>
              <w:rPr>
                <w:b/>
                <w:color w:val="6D28D9"/>
                <w:sz w:val="19"/>
              </w:rPr>
              <w:t>Identificadores</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idx</w:t>
            </w:r>
          </w:p>
        </w:tc>
        <w:tc>
          <w:tcPr>
            <w:tcW w:type="dxa" w:w="3061"/>
            <w:shd w:val="clear" w:color="auto" w:fill="F5F3FF"/>
            <w:tcBorders>
              <w:top w:val="single" w:sz="4" w:color="E5E7EB"/>
              <w:left w:val="single" w:sz="4" w:color="E5E7EB"/>
              <w:bottom w:val="single" w:sz="4" w:color="E5E7EB"/>
              <w:right w:val="single" w:sz="4" w:color="E5E7EB"/>
            </w:tcBorders>
          </w:tcPr>
          <w:p>
            <w:pPr>
              <w:spacing w:before="100" w:after="100"/>
            </w:pPr>
            <w:r>
              <w:rPr>
                <w:sz w:val="19"/>
              </w:rPr>
              <w:t>Índice numérico del token (0, 1, 2…)</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doc_id</w:t>
            </w:r>
          </w:p>
        </w:tc>
        <w:tc>
          <w:tcPr>
            <w:tcW w:type="dxa" w:w="3061"/>
            <w:shd w:val="clear" w:color="auto" w:fill="FFFFFF"/>
            <w:tcBorders>
              <w:top w:val="single" w:sz="4" w:color="E5E7EB"/>
              <w:left w:val="single" w:sz="4" w:color="E5E7EB"/>
              <w:bottom w:val="single" w:sz="4" w:color="E5E7EB"/>
              <w:right w:val="single" w:sz="4" w:color="E5E7EB"/>
            </w:tcBorders>
          </w:tcPr>
          <w:p>
            <w:pPr>
              <w:spacing w:before="100" w:after="100"/>
            </w:pPr>
            <w:r>
              <w:rPr>
                <w:sz w:val="19"/>
              </w:rPr>
              <w:t>ID del documento fuente (doc_001 por defecto)</w:t>
            </w:r>
          </w:p>
        </w:tc>
      </w:tr>
      <w:tr>
        <w:tc>
          <w:tcPr>
            <w:tcW w:type="dxa" w:w="3061"/>
            <w:shd w:val="clear" w:color="auto" w:fill="EDE9FE"/>
            <w:tcBorders>
              <w:top w:val="single" w:sz="4" w:color="E9D5FF"/>
              <w:left w:val="single" w:sz="4" w:color="E9D5FF"/>
              <w:bottom w:val="single" w:sz="4" w:color="E9D5FF"/>
              <w:right w:val="single" w:sz="4" w:color="E9D5FF"/>
            </w:tcBorders>
          </w:tcPr>
          <w:p>
            <w:pPr>
              <w:spacing w:before="100" w:after="100"/>
            </w:pPr>
            <w:r>
              <w:rPr>
                <w:b/>
                <w:color w:val="6D28D9"/>
                <w:sz w:val="19"/>
              </w:rPr>
              <w:t>Contenido</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token</w:t>
            </w:r>
          </w:p>
        </w:tc>
        <w:tc>
          <w:tcPr>
            <w:tcW w:type="dxa" w:w="3061"/>
            <w:shd w:val="clear" w:color="auto" w:fill="F5F3FF"/>
            <w:tcBorders>
              <w:top w:val="single" w:sz="4" w:color="E5E7EB"/>
              <w:left w:val="single" w:sz="4" w:color="E5E7EB"/>
              <w:bottom w:val="single" w:sz="4" w:color="E5E7EB"/>
              <w:right w:val="single" w:sz="4" w:color="E5E7EB"/>
            </w:tcBorders>
          </w:tcPr>
          <w:p>
            <w:pPr>
              <w:spacing w:before="100" w:after="100"/>
            </w:pPr>
            <w:r>
              <w:rPr>
                <w:sz w:val="19"/>
              </w:rPr>
              <w:t>Token en su forma procesada final</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token_original</w:t>
            </w:r>
          </w:p>
        </w:tc>
        <w:tc>
          <w:tcPr>
            <w:tcW w:type="dxa" w:w="3061"/>
            <w:shd w:val="clear" w:color="auto" w:fill="FFFFFF"/>
            <w:tcBorders>
              <w:top w:val="single" w:sz="4" w:color="E5E7EB"/>
              <w:left w:val="single" w:sz="4" w:color="E5E7EB"/>
              <w:bottom w:val="single" w:sz="4" w:color="E5E7EB"/>
              <w:right w:val="single" w:sz="4" w:color="E5E7EB"/>
            </w:tcBorders>
          </w:tcPr>
          <w:p>
            <w:pPr>
              <w:spacing w:before="100" w:after="100"/>
            </w:pPr>
            <w:r>
              <w:rPr>
                <w:sz w:val="19"/>
              </w:rPr>
              <w:t>Forma original del token (igual a token en la implementación actual)</w:t>
            </w:r>
          </w:p>
        </w:tc>
      </w:tr>
      <w:tr>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normalized</w:t>
            </w:r>
          </w:p>
        </w:tc>
        <w:tc>
          <w:tcPr>
            <w:tcW w:type="dxa" w:w="3061"/>
            <w:shd w:val="clear" w:color="auto" w:fill="F5F3FF"/>
            <w:tcBorders>
              <w:top w:val="single" w:sz="4" w:color="E5E7EB"/>
              <w:left w:val="single" w:sz="4" w:color="E5E7EB"/>
              <w:bottom w:val="single" w:sz="4" w:color="E5E7EB"/>
              <w:right w:val="single" w:sz="4" w:color="E5E7EB"/>
            </w:tcBorders>
          </w:tcPr>
          <w:p>
            <w:pPr>
              <w:spacing w:before="100" w:after="100"/>
            </w:pPr>
            <w:r>
              <w:rPr>
                <w:sz w:val="19"/>
              </w:rPr>
              <w:t>Versión en minúsculas del token</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length</w:t>
            </w:r>
          </w:p>
        </w:tc>
        <w:tc>
          <w:tcPr>
            <w:tcW w:type="dxa" w:w="3061"/>
            <w:shd w:val="clear" w:color="auto" w:fill="FFFFFF"/>
            <w:tcBorders>
              <w:top w:val="single" w:sz="4" w:color="E5E7EB"/>
              <w:left w:val="single" w:sz="4" w:color="E5E7EB"/>
              <w:bottom w:val="single" w:sz="4" w:color="E5E7EB"/>
              <w:right w:val="single" w:sz="4" w:color="E5E7EB"/>
            </w:tcBorders>
          </w:tcPr>
          <w:p>
            <w:pPr>
              <w:spacing w:before="100" w:after="100"/>
            </w:pPr>
            <w:r>
              <w:rPr>
                <w:sz w:val="19"/>
              </w:rPr>
              <w:t>Longitud del token en caracteres</w:t>
            </w:r>
          </w:p>
        </w:tc>
      </w:tr>
      <w:tr>
        <w:tc>
          <w:tcPr>
            <w:tcW w:type="dxa" w:w="3061"/>
            <w:shd w:val="clear" w:color="auto" w:fill="EDE9FE"/>
            <w:tcBorders>
              <w:top w:val="single" w:sz="4" w:color="E9D5FF"/>
              <w:left w:val="single" w:sz="4" w:color="E9D5FF"/>
              <w:bottom w:val="single" w:sz="4" w:color="E9D5FF"/>
              <w:right w:val="single" w:sz="4" w:color="E9D5FF"/>
            </w:tcBorders>
          </w:tcPr>
          <w:p>
            <w:pPr>
              <w:spacing w:before="100" w:after="100"/>
            </w:pPr>
            <w:r>
              <w:rPr>
                <w:b/>
                <w:color w:val="6D28D9"/>
                <w:sz w:val="19"/>
              </w:rPr>
              <w:t>Estadísticas</w:t>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count</w:t>
            </w:r>
          </w:p>
        </w:tc>
        <w:tc>
          <w:tcPr>
            <w:tcW w:type="dxa" w:w="3061"/>
            <w:shd w:val="clear" w:color="auto" w:fill="F5F3FF"/>
            <w:tcBorders>
              <w:top w:val="single" w:sz="4" w:color="E5E7EB"/>
              <w:left w:val="single" w:sz="4" w:color="E5E7EB"/>
              <w:bottom w:val="single" w:sz="4" w:color="E5E7EB"/>
              <w:right w:val="single" w:sz="4" w:color="E5E7EB"/>
            </w:tcBorders>
          </w:tcPr>
          <w:p>
            <w:pPr>
              <w:spacing w:before="100" w:after="100"/>
            </w:pPr>
            <w:r>
              <w:rPr>
                <w:sz w:val="19"/>
              </w:rPr>
              <w:t>Número de veces que aparece el token en el corpus</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freq</w:t>
            </w:r>
          </w:p>
        </w:tc>
        <w:tc>
          <w:tcPr>
            <w:tcW w:type="dxa" w:w="3061"/>
            <w:shd w:val="clear" w:color="auto" w:fill="FFFFFF"/>
            <w:tcBorders>
              <w:top w:val="single" w:sz="4" w:color="E5E7EB"/>
              <w:left w:val="single" w:sz="4" w:color="E5E7EB"/>
              <w:bottom w:val="single" w:sz="4" w:color="E5E7EB"/>
              <w:right w:val="single" w:sz="4" w:color="E5E7EB"/>
            </w:tcBorders>
          </w:tcPr>
          <w:p>
            <w:pPr>
              <w:spacing w:before="100" w:after="100"/>
            </w:pPr>
            <w:r>
              <w:rPr>
                <w:sz w:val="19"/>
              </w:rPr>
              <w:t>Frecuencia relativa: count / total_tokens (6 decimales)</w:t>
            </w:r>
          </w:p>
        </w:tc>
      </w:tr>
      <w:tr>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5F3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rank</w:t>
            </w:r>
          </w:p>
        </w:tc>
        <w:tc>
          <w:tcPr>
            <w:tcW w:type="dxa" w:w="3061"/>
            <w:shd w:val="clear" w:color="auto" w:fill="F5F3FF"/>
            <w:tcBorders>
              <w:top w:val="single" w:sz="4" w:color="E5E7EB"/>
              <w:left w:val="single" w:sz="4" w:color="E5E7EB"/>
              <w:bottom w:val="single" w:sz="4" w:color="E5E7EB"/>
              <w:right w:val="single" w:sz="4" w:color="E5E7EB"/>
            </w:tcBorders>
          </w:tcPr>
          <w:p>
            <w:pPr>
              <w:spacing w:before="100" w:after="100"/>
            </w:pPr>
            <w:r>
              <w:rPr>
                <w:sz w:val="19"/>
              </w:rPr>
              <w:t>Posición en el ranking de frecuencias (1 = más frecuente)</w:t>
            </w:r>
          </w:p>
        </w:tc>
      </w:tr>
      <w:tr>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sz w:val="19"/>
              </w:rPr>
            </w:r>
          </w:p>
        </w:tc>
        <w:tc>
          <w:tcPr>
            <w:tcW w:type="dxa" w:w="3061"/>
            <w:shd w:val="clear" w:color="auto" w:fill="FFFFFF"/>
            <w:tcBorders>
              <w:top w:val="single" w:sz="4" w:color="E9D5FF"/>
              <w:left w:val="single" w:sz="4" w:color="E9D5FF"/>
              <w:bottom w:val="single" w:sz="4" w:color="E9D5FF"/>
              <w:right w:val="single" w:sz="4" w:color="E9D5FF"/>
            </w:tcBorders>
          </w:tcPr>
          <w:p>
            <w:pPr>
              <w:spacing w:before="100" w:after="100"/>
            </w:pPr>
            <w:r>
              <w:rPr>
                <w:rFonts w:ascii="Courier New" w:hAnsi="Courier New"/>
                <w:color w:val="16A34A"/>
                <w:sz w:val="19"/>
              </w:rPr>
              <w:t>is_stopword</w:t>
            </w:r>
          </w:p>
        </w:tc>
        <w:tc>
          <w:tcPr>
            <w:tcW w:type="dxa" w:w="3061"/>
            <w:shd w:val="clear" w:color="auto" w:fill="FFFFFF"/>
            <w:tcBorders>
              <w:top w:val="single" w:sz="4" w:color="E5E7EB"/>
              <w:left w:val="single" w:sz="4" w:color="E5E7EB"/>
              <w:bottom w:val="single" w:sz="4" w:color="E5E7EB"/>
              <w:right w:val="single" w:sz="4" w:color="E5E7EB"/>
            </w:tcBorders>
          </w:tcPr>
          <w:p>
            <w:pPr>
              <w:spacing w:before="100" w:after="100"/>
            </w:pPr>
            <w:r>
              <w:rPr>
                <w:sz w:val="19"/>
              </w:rPr>
              <w:t>Siempre false, ya que los tokens exportados pasaron el filtro</w:t>
            </w:r>
          </w:p>
        </w:tc>
      </w:tr>
    </w:tbl>
    <w:p/>
    <w:p>
      <w:pPr>
        <w:spacing w:before="0" w:after="60"/>
      </w:pPr>
      <w:r>
        <w:rPr>
          <w:sz w:val="21"/>
        </w:rPr>
        <w:t>Pasos para exportar el dataset:</w:t>
      </w:r>
    </w:p>
    <w:p>
      <w:pPr>
        <w:pStyle w:val="ListBullet"/>
        <w:spacing w:after="60"/>
        <w:ind w:left="340"/>
      </w:pPr>
      <w:r>
        <w:rPr>
          <w:sz w:val="21"/>
        </w:rPr>
        <w:t>Activa o desactiva columnas haciendo clic en cada fila del selector (columna izquierda de la tarjeta).</w:t>
      </w:r>
    </w:p>
    <w:p>
      <w:pPr>
        <w:pStyle w:val="ListBullet"/>
        <w:spacing w:after="60"/>
        <w:ind w:left="340"/>
      </w:pPr>
      <w:r>
        <w:rPr>
          <w:sz w:val="21"/>
        </w:rPr>
        <w:t>El contador  X/Y  en cada grupo muestra cuántas columnas están seleccionadas vs. disponibles.</w:t>
      </w:r>
    </w:p>
    <w:p>
      <w:pPr>
        <w:pStyle w:val="ListBullet"/>
        <w:spacing w:after="60"/>
        <w:ind w:left="340"/>
      </w:pPr>
      <w:r>
        <w:rPr>
          <w:sz w:val="21"/>
        </w:rPr>
        <w:t>La tabla de preview muestra las primeras 5 filas con los datos reales.</w:t>
      </w:r>
    </w:p>
    <w:p>
      <w:pPr>
        <w:pStyle w:val="ListBullet"/>
        <w:spacing w:after="60"/>
        <w:ind w:left="340"/>
      </w:pPr>
      <w:r>
        <w:rPr>
          <w:sz w:val="21"/>
        </w:rPr>
        <w:t>Escribe el nombre del archivo en el campo inferior y haz clic en  Descargar dataset.</w:t>
      </w:r>
    </w:p>
    <w:p>
      <w:pPr>
        <w:pStyle w:val="ListBullet"/>
        <w:spacing w:after="60"/>
        <w:ind w:left="340"/>
      </w:pPr>
      <w:r>
        <w:rPr>
          <w:sz w:val="21"/>
        </w:rPr>
        <w:t>El botón indica: Descargar dataset (N filas × M cols) con los valores exactos del dataset actual.</w:t>
      </w:r>
    </w:p>
    <w:tbl>
      <w:tblPr>
        <w:tblStyle w:val="TableGrid"/>
        <w:tblW w:type="auto" w:w="0"/>
        <w:jc w:val="left"/>
        <w:tblLook w:firstColumn="1" w:firstRow="1" w:lastColumn="0" w:lastRow="0" w:noHBand="0" w:noVBand="1" w:val="04A0"/>
      </w:tblPr>
      <w:tblGrid>
        <w:gridCol w:w="9184"/>
      </w:tblGrid>
      <w:tr>
        <w:tc>
          <w:tcPr>
            <w:tcW w:type="dxa" w:w="9184"/>
            <w:shd w:val="clear" w:color="auto" w:fill="F0FDF4"/>
            <w:tcBorders>
              <w:top w:val="single" w:sz="8" w:color="16A34A"/>
              <w:left w:val="single" w:sz="8" w:color="16A34A"/>
              <w:bottom w:val="single" w:sz="8" w:color="16A34A"/>
              <w:right w:val="single" w:sz="8" w:color="16A34A"/>
            </w:tcBorders>
          </w:tcPr>
          <w:p>
            <w:pPr>
              <w:spacing w:before="80" w:after="60"/>
            </w:pPr>
            <w:r>
              <w:rPr>
                <w:b/>
                <w:color w:val="4ADE80"/>
                <w:sz w:val="21"/>
              </w:rPr>
              <w:t>💡 Columnas seleccionadas por defecto</w:t>
            </w:r>
          </w:p>
          <w:p>
            <w:pPr>
              <w:spacing w:before="20" w:after="20"/>
              <w:ind w:left="227"/>
            </w:pPr>
            <w:r>
              <w:rPr>
                <w:sz w:val="20"/>
              </w:rPr>
              <w:t>Al entrar al Paso 4, las columnas preseleccionadas son:  idx, token, token_original, count, freq, rank.</w:t>
            </w:r>
          </w:p>
          <w:p>
            <w:pPr>
              <w:spacing w:before="20" w:after="20"/>
              <w:ind w:left="227"/>
            </w:pPr>
            <w:r>
              <w:rPr>
                <w:sz w:val="20"/>
              </w:rPr>
              <w:t>Son las más útiles para análisis de frecuencia y modelado de lenguaje.</w:t>
            </w:r>
          </w:p>
          <w:p>
            <w:pPr>
              <w:spacing w:after="80"/>
            </w:pPr>
          </w:p>
        </w:tc>
      </w:tr>
    </w:tbl>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FFFBEB"/>
            <w:tcBorders>
              <w:top w:val="single" w:sz="8" w:color="D97706"/>
              <w:left w:val="single" w:sz="8" w:color="D97706"/>
              <w:bottom w:val="single" w:sz="8" w:color="D97706"/>
              <w:right w:val="single" w:sz="8" w:color="D97706"/>
            </w:tcBorders>
          </w:tcPr>
          <w:p>
            <w:pPr>
              <w:spacing w:before="80" w:after="60"/>
            </w:pPr>
            <w:r>
              <w:rPr>
                <w:b/>
                <w:color w:val="FCD34D"/>
                <w:sz w:val="21"/>
              </w:rPr>
              <w:t>⚠️ Si no hay columnas seleccionadas</w:t>
            </w:r>
          </w:p>
          <w:p>
            <w:pPr>
              <w:spacing w:before="20" w:after="20"/>
              <w:ind w:left="227"/>
            </w:pPr>
            <w:r>
              <w:rPr>
                <w:sz w:val="20"/>
              </w:rPr>
              <w:t>El botón Descargar dataset se desactiva y aparece un aviso en rojo.</w:t>
            </w:r>
          </w:p>
          <w:p>
            <w:pPr>
              <w:spacing w:before="20" w:after="20"/>
              <w:ind w:left="227"/>
            </w:pPr>
            <w:r>
              <w:rPr>
                <w:sz w:val="20"/>
              </w:rPr>
              <w:t>Selecciona al menos una columna para poder exportar.</w:t>
            </w:r>
          </w:p>
          <w:p>
            <w:pPr>
              <w:spacing w:after="80"/>
            </w:pPr>
          </w:p>
        </w:tc>
      </w:tr>
    </w:tbl>
    <w:p>
      <w:pPr>
        <w:spacing w:after="120"/>
      </w:pPr>
    </w:p>
    <w:p>
      <w:r>
        <w:br w:type="page"/>
      </w:r>
    </w:p>
    <w:p>
      <w:pPr>
        <w:spacing w:before="360" w:after="120"/>
      </w:pPr>
      <w:r>
        <w:rPr>
          <w:b/>
          <w:color w:val="7C3AED"/>
          <w:sz w:val="44"/>
        </w:rPr>
        <w:t>NAVEGACIÓN Y ATAJOS</w:t>
      </w:r>
    </w:p>
    <w:p>
      <w:pPr>
        <w:pBdr>
          <w:bottom w:val="single" w:sz="6" w:space="1" w:color="7C3AED"/>
        </w:pBdr>
        <w:spacing w:before="0" w:after="80"/>
      </w:pPr>
    </w:p>
    <w:p>
      <w:pPr>
        <w:spacing w:before="0" w:after="100"/>
      </w:pPr>
      <w:r>
        <w:rPr>
          <w:sz w:val="21"/>
        </w:rPr>
        <w:t>PipeNLP no tiene atajos de teclado globales, pero el flujo de navegación es muy directo a través del footer bar y el stepper:</w:t>
      </w:r>
    </w:p>
    <w:p>
      <w:pPr>
        <w:spacing w:before="200" w:after="120"/>
      </w:pPr>
      <w:r>
        <w:rPr>
          <w:b/>
          <w:color w:val="4C1D95"/>
          <w:sz w:val="28"/>
        </w:rPr>
        <w:t>Footer bar</w:t>
      </w: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Anterior</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Regresa al paso previo. Desactivado cuando estás en el Paso 1.</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Siguiente</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Avanza al siguiente paso. En el Paso 2 ejecuta el pipeline. Desactivado en el Paso 4.</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Procesar</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Aparece en el footer solo cuando estás en el Paso 2. Ejecuta el pipeline completo.</w:t>
            </w:r>
          </w:p>
        </w:tc>
      </w:tr>
    </w:tbl>
    <w:p>
      <w:pPr>
        <w:spacing w:after="20"/>
      </w:pPr>
    </w:p>
    <w:tbl>
      <w:tblPr>
        <w:tblStyle w:val="TableGrid"/>
        <w:tblW w:type="auto" w:w="0"/>
        <w:jc w:val="left"/>
        <w:tblLook w:firstColumn="1" w:firstRow="1" w:lastColumn="0" w:lastRow="0" w:noHBand="0" w:noVBand="1" w:val="04A0"/>
      </w:tblPr>
      <w:tblGrid>
        <w:gridCol w:w="3061"/>
        <w:gridCol w:w="3061"/>
        <w:gridCol w:w="3061"/>
      </w:tblGrid>
      <w:tr>
        <w:tc>
          <w:tcPr>
            <w:tcW w:type="dxa" w:w="510"/>
            <w:shd w:val="clear" w:color="auto" w:fill="F3EEFF"/>
            <w:tcBorders>
              <w:top w:val="single" w:sz="4" w:color="DDD6FE"/>
              <w:left w:val="single" w:sz="4" w:color="DDD6FE"/>
              <w:bottom w:val="single" w:sz="4" w:color="DDD6FE"/>
              <w:right w:val="single" w:sz="4" w:color="DDD6FE"/>
            </w:tcBorders>
          </w:tcPr>
          <w:p>
            <w:pPr>
              <w:spacing w:before="100" w:after="100"/>
              <w:jc w:val="center"/>
            </w:pPr>
            <w:r>
              <w:rPr>
                <w:color w:val="7C3AED"/>
                <w:sz w:val="24"/>
              </w:rPr>
              <w:t>✓</w:t>
            </w:r>
          </w:p>
        </w:tc>
        <w:tc>
          <w:tcPr>
            <w:tcW w:type="dxa" w:w="2551"/>
            <w:shd w:val="clear" w:color="auto" w:fill="FAF5FF"/>
            <w:tcBorders>
              <w:top w:val="single" w:sz="4" w:color="DDD6FE"/>
              <w:left w:val="single" w:sz="4" w:color="DDD6FE"/>
              <w:bottom w:val="single" w:sz="4" w:color="DDD6FE"/>
              <w:right w:val="single" w:sz="4" w:color="DDD6FE"/>
            </w:tcBorders>
          </w:tcPr>
          <w:p>
            <w:pPr>
              <w:spacing w:before="100" w:after="100"/>
            </w:pPr>
            <w:r>
              <w:rPr>
                <w:b/>
                <w:color w:val="7C3AED"/>
                <w:sz w:val="20"/>
              </w:rPr>
              <w:t>Pipeline ejecutado</w:t>
            </w:r>
          </w:p>
        </w:tc>
        <w:tc>
          <w:tcPr>
            <w:tcW w:type="dxa" w:w="6236"/>
            <w:shd w:val="clear" w:color="auto" w:fill="FFFFFF"/>
            <w:tcBorders>
              <w:top w:val="single" w:sz="4" w:color="E5E7EB"/>
              <w:left w:val="single" w:sz="4" w:color="E5E7EB"/>
              <w:bottom w:val="single" w:sz="4" w:color="E5E7EB"/>
              <w:right w:val="single" w:sz="4" w:color="E5E7EB"/>
            </w:tcBorders>
          </w:tcPr>
          <w:p>
            <w:pPr>
              <w:spacing w:before="100" w:after="100"/>
            </w:pPr>
            <w:r>
              <w:rPr>
                <w:sz w:val="20"/>
              </w:rPr>
              <w:t>Badge verde que aparece en el footer una vez que el pipeline se ha ejecutado al menos una vez.</w:t>
            </w:r>
          </w:p>
        </w:tc>
      </w:tr>
    </w:tbl>
    <w:p>
      <w:pPr>
        <w:spacing w:after="20"/>
      </w:pPr>
    </w:p>
    <w:p>
      <w:pPr>
        <w:spacing w:before="200" w:after="120"/>
      </w:pPr>
      <w:r>
        <w:rPr>
          <w:b/>
          <w:color w:val="4C1D95"/>
          <w:sz w:val="28"/>
        </w:rPr>
        <w:t>Stepper (barra de pasos)</w:t>
      </w:r>
    </w:p>
    <w:p>
      <w:pPr>
        <w:spacing w:before="0" w:after="100"/>
      </w:pPr>
      <w:r>
        <w:rPr>
          <w:sz w:val="21"/>
        </w:rPr>
        <w:t>Haz clic en cualquier paso numerado (1, 2, 3 o 4) para navegar directamente sin pasar por los intermedios. Los pasos completados muestran ✓ en verde. Puedes navegar libremente en cualquier momento.</w:t>
      </w:r>
    </w:p>
    <w:p>
      <w:pPr>
        <w:spacing w:before="200" w:after="120"/>
      </w:pPr>
      <w:r>
        <w:rPr>
          <w:b/>
          <w:color w:val="4C1D95"/>
          <w:sz w:val="28"/>
        </w:rPr>
        <w:t>Atajos de teclado útiles en campos de entrada</w:t>
      </w:r>
    </w:p>
    <w:p>
      <w:pPr>
        <w:spacing w:after="60"/>
        <w:ind w:left="283"/>
      </w:pPr>
      <w:r>
        <w:rPr>
          <w:rFonts w:ascii="Courier New" w:hAnsi="Courier New"/>
          <w:b/>
          <w:color w:val="6D28D9"/>
          <w:sz w:val="19"/>
        </w:rPr>
        <w:t xml:space="preserve">  Enter  </w:t>
      </w:r>
      <w:r>
        <w:rPr>
          <w:sz w:val="20"/>
        </w:rPr>
        <w:t xml:space="preserve">  →  En el campo de símbolo o stopword: agrega el elemento a la lista.</w:t>
      </w:r>
    </w:p>
    <w:p>
      <w:pPr>
        <w:spacing w:after="60"/>
        <w:ind w:left="283"/>
      </w:pPr>
      <w:r>
        <w:rPr>
          <w:rFonts w:ascii="Courier New" w:hAnsi="Courier New"/>
          <w:b/>
          <w:color w:val="6D28D9"/>
          <w:sz w:val="19"/>
        </w:rPr>
        <w:t xml:space="preserve">  Ctrl + A  </w:t>
      </w:r>
      <w:r>
        <w:rPr>
          <w:sz w:val="20"/>
        </w:rPr>
        <w:t xml:space="preserve">  →  En el editor de texto: selecciona todo el contenido.</w:t>
      </w:r>
    </w:p>
    <w:p>
      <w:pPr>
        <w:spacing w:after="60"/>
        <w:ind w:left="283"/>
      </w:pPr>
      <w:r>
        <w:rPr>
          <w:rFonts w:ascii="Courier New" w:hAnsi="Courier New"/>
          <w:b/>
          <w:color w:val="6D28D9"/>
          <w:sz w:val="19"/>
        </w:rPr>
        <w:t xml:space="preserve">  Ctrl + Z  </w:t>
      </w:r>
      <w:r>
        <w:rPr>
          <w:sz w:val="20"/>
        </w:rPr>
        <w:t xml:space="preserve">  →  En el editor de texto: deshace el último cambio.</w:t>
      </w:r>
    </w:p>
    <w:p>
      <w:pPr>
        <w:spacing w:after="60"/>
        <w:ind w:left="283"/>
      </w:pPr>
      <w:r>
        <w:rPr>
          <w:rFonts w:ascii="Courier New" w:hAnsi="Courier New"/>
          <w:b/>
          <w:color w:val="6D28D9"/>
          <w:sz w:val="19"/>
        </w:rPr>
        <w:t xml:space="preserve">  Tab  </w:t>
      </w:r>
      <w:r>
        <w:rPr>
          <w:sz w:val="20"/>
        </w:rPr>
        <w:t xml:space="preserve">  →  Navega entre campos de formulario.</w:t>
      </w:r>
    </w:p>
    <w:tbl>
      <w:tblPr>
        <w:tblStyle w:val="TableGrid"/>
        <w:tblW w:type="auto" w:w="0"/>
        <w:jc w:val="left"/>
        <w:tblLook w:firstColumn="1" w:firstRow="1" w:lastColumn="0" w:lastRow="0" w:noHBand="0" w:noVBand="1" w:val="04A0"/>
      </w:tblPr>
      <w:tblGrid>
        <w:gridCol w:w="9184"/>
      </w:tblGrid>
      <w:tr>
        <w:tc>
          <w:tcPr>
            <w:tcW w:type="dxa" w:w="9184"/>
            <w:shd w:val="clear" w:color="auto" w:fill="F0F9FF"/>
            <w:tcBorders>
              <w:top w:val="single" w:sz="8" w:color="0284C7"/>
              <w:left w:val="single" w:sz="8" w:color="0284C7"/>
              <w:bottom w:val="single" w:sz="8" w:color="0284C7"/>
              <w:right w:val="single" w:sz="8" w:color="0284C7"/>
            </w:tcBorders>
          </w:tcPr>
          <w:p>
            <w:pPr>
              <w:spacing w:before="80" w:after="60"/>
            </w:pPr>
            <w:r>
              <w:rPr>
                <w:b/>
                <w:color w:val="7DD3FC"/>
                <w:sz w:val="21"/>
              </w:rPr>
              <w:t>📌 Botón Reiniciar pipeline</w:t>
            </w:r>
          </w:p>
          <w:p>
            <w:pPr>
              <w:spacing w:before="20" w:after="20"/>
              <w:ind w:left="227"/>
            </w:pPr>
            <w:r>
              <w:rPr>
                <w:sz w:val="20"/>
              </w:rPr>
              <w:t>Dentro del Paso 2, el botón  Reiniciar pipeline  borra TODAS las opciones y vuelve</w:t>
            </w:r>
          </w:p>
          <w:p>
            <w:pPr>
              <w:spacing w:before="20" w:after="20"/>
              <w:ind w:left="227"/>
            </w:pPr>
            <w:r>
              <w:rPr>
                <w:sz w:val="20"/>
              </w:rPr>
              <w:t>al estado inicial (todas las operaciones desactivadas). El texto de entrada NO se borra.</w:t>
            </w:r>
          </w:p>
          <w:p>
            <w:pPr>
              <w:spacing w:before="20" w:after="20"/>
              <w:ind w:left="227"/>
            </w:pPr>
            <w:r>
              <w:rPr>
                <w:sz w:val="20"/>
              </w:rPr>
              <w:t>Para borrar el texto, usa el botón  Limpiar texto  en el editor del Paso 1.</w:t>
            </w:r>
          </w:p>
          <w:p>
            <w:pPr>
              <w:spacing w:after="80"/>
            </w:pPr>
          </w:p>
        </w:tc>
      </w:tr>
    </w:tbl>
    <w:p>
      <w:pPr>
        <w:spacing w:after="120"/>
      </w:pPr>
    </w:p>
    <w:p>
      <w:r>
        <w:br w:type="page"/>
      </w:r>
    </w:p>
    <w:p>
      <w:pPr>
        <w:spacing w:before="360" w:after="120"/>
      </w:pPr>
      <w:r>
        <w:rPr>
          <w:b/>
          <w:color w:val="7C3AED"/>
          <w:sz w:val="44"/>
        </w:rPr>
        <w:t>PREGUNTAS FRECUENTES</w:t>
      </w:r>
    </w:p>
    <w:p>
      <w:pPr>
        <w:pBdr>
          <w:bottom w:val="single" w:sz="6" w:space="1" w:color="7C3AED"/>
        </w:pBdr>
        <w:spacing w:before="0" w:after="8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¿Por qué el botón Procesar no hace nada?</w:t>
            </w:r>
          </w:p>
        </w:tc>
      </w:tr>
    </w:tbl>
    <w:p>
      <w:pPr>
        <w:spacing w:before="40" w:after="40"/>
        <w:ind w:left="340"/>
      </w:pPr>
      <w:r>
        <w:rPr>
          <w:sz w:val="20"/>
        </w:rPr>
        <w:t>Verifica que tengas texto en el editor del Paso 1.</w:t>
      </w:r>
    </w:p>
    <w:p>
      <w:pPr>
        <w:spacing w:before="40" w:after="40"/>
        <w:ind w:left="340"/>
      </w:pPr>
      <w:r>
        <w:rPr>
          <w:sz w:val="20"/>
        </w:rPr>
        <w:t>Verifica que al menos una operación esté activa en el Paso 2.</w:t>
      </w:r>
    </w:p>
    <w:p>
      <w:pPr>
        <w:spacing w:before="40" w:after="40"/>
        <w:ind w:left="340"/>
      </w:pPr>
      <w:r>
        <w:rPr>
          <w:sz w:val="20"/>
        </w:rPr>
        <w:t>Verifica que el backend esté corriendo (start_backend.bat debe estar abierto).</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¿Por qué aparece 'No se encontraron tokens'?</w:t>
            </w:r>
          </w:p>
        </w:tc>
      </w:tr>
    </w:tbl>
    <w:p>
      <w:pPr>
        <w:spacing w:before="40" w:after="40"/>
        <w:ind w:left="340"/>
      </w:pPr>
      <w:r>
        <w:rPr>
          <w:sz w:val="20"/>
        </w:rPr>
        <w:t>El pipeline eliminó todo el contenido del texto. Posibles causas:</w:t>
      </w:r>
    </w:p>
    <w:p>
      <w:pPr>
        <w:spacing w:before="40" w:after="40"/>
        <w:ind w:left="340"/>
      </w:pPr>
      <w:r>
        <w:rPr>
          <w:sz w:val="20"/>
        </w:rPr>
        <w:t xml:space="preserve">  • Activaste 'Eliminar stopwords' con un texto que solo contiene stopwords.</w:t>
      </w:r>
    </w:p>
    <w:p>
      <w:pPr>
        <w:spacing w:before="40" w:after="40"/>
        <w:ind w:left="340"/>
      </w:pPr>
      <w:r>
        <w:rPr>
          <w:sz w:val="20"/>
        </w:rPr>
        <w:t xml:space="preserve">  • Activaste 'Limpiar símbolos' con un texto que era todo símbolos.</w:t>
      </w:r>
    </w:p>
    <w:p>
      <w:pPr>
        <w:spacing w:before="40" w:after="40"/>
        <w:ind w:left="340"/>
      </w:pPr>
      <w:r>
        <w:rPr>
          <w:sz w:val="20"/>
        </w:rPr>
        <w:t xml:space="preserve">  • El texto original estaba vacío o solo tenía espacios.</w:t>
      </w:r>
    </w:p>
    <w:p>
      <w:pPr>
        <w:spacing w:before="40" w:after="40"/>
        <w:ind w:left="340"/>
      </w:pPr>
      <w:r>
        <w:rPr>
          <w:sz w:val="20"/>
        </w:rPr>
        <w:t>Prueba desactivando alguna operación o usando el botón Cargar ejemplo.</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¿Puedo procesar múltiples documentos a la vez?</w:t>
            </w:r>
          </w:p>
        </w:tc>
      </w:tr>
    </w:tbl>
    <w:p>
      <w:pPr>
        <w:spacing w:before="40" w:after="40"/>
        <w:ind w:left="340"/>
      </w:pPr>
      <w:r>
        <w:rPr>
          <w:sz w:val="20"/>
        </w:rPr>
        <w:t>La interfaz web procesa un solo bloque de texto por vez.</w:t>
      </w:r>
    </w:p>
    <w:p>
      <w:pPr>
        <w:spacing w:before="40" w:after="40"/>
        <w:ind w:left="340"/>
      </w:pPr>
      <w:r>
        <w:rPr>
          <w:sz w:val="20"/>
        </w:rPr>
        <w:t>Para múltiples documentos, puedes concatenarlos en un solo .txt antes de cargarlos,</w:t>
      </w:r>
    </w:p>
    <w:p>
      <w:pPr>
        <w:spacing w:before="40" w:after="40"/>
        <w:ind w:left="340"/>
      </w:pPr>
      <w:r>
        <w:rPr>
          <w:sz w:val="20"/>
        </w:rPr>
        <w:t>o usar la API del backend directamente (POST /process/text) con automatización.</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¿El texto procesado se guarda automáticamente?</w:t>
            </w:r>
          </w:p>
        </w:tc>
      </w:tr>
    </w:tbl>
    <w:p>
      <w:pPr>
        <w:spacing w:before="40" w:after="40"/>
        <w:ind w:left="340"/>
      </w:pPr>
      <w:r>
        <w:rPr>
          <w:sz w:val="20"/>
        </w:rPr>
        <w:t>No. Los resultados solo se guardan si haces clic en  Guardar  en el Paso 4.</w:t>
      </w:r>
    </w:p>
    <w:p>
      <w:pPr>
        <w:spacing w:before="40" w:after="40"/>
        <w:ind w:left="340"/>
      </w:pPr>
      <w:r>
        <w:rPr>
          <w:sz w:val="20"/>
        </w:rPr>
        <w:t>Si recargas la página, los resultados se pierden. Exporta antes de cerrar.</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¿Qué diferencia hay entre 'Texto limpio' y 'Texto procesado'?</w:t>
            </w:r>
          </w:p>
        </w:tc>
      </w:tr>
    </w:tbl>
    <w:p>
      <w:pPr>
        <w:spacing w:before="40" w:after="40"/>
        <w:ind w:left="340"/>
      </w:pPr>
      <w:r>
        <w:rPr>
          <w:sz w:val="20"/>
        </w:rPr>
        <w:t>Texto limpio = resultado tras las operaciones 1-4 (normalización y limpieza), antes de tokenizar.</w:t>
      </w:r>
    </w:p>
    <w:p>
      <w:pPr>
        <w:spacing w:before="40" w:after="40"/>
        <w:ind w:left="340"/>
      </w:pPr>
      <w:r>
        <w:rPr>
          <w:sz w:val="20"/>
        </w:rPr>
        <w:t>Texto procesado = los tokens finales (post stopwords) unidos por espacio.</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¿Por qué la columna 'token_original' tiene el mismo valor que 'token' en el CSV?</w:t>
            </w:r>
          </w:p>
        </w:tc>
      </w:tr>
    </w:tbl>
    <w:p>
      <w:pPr>
        <w:spacing w:before="40" w:after="40"/>
        <w:ind w:left="340"/>
      </w:pPr>
      <w:r>
        <w:rPr>
          <w:sz w:val="20"/>
        </w:rPr>
        <w:t>La implementación actual no rastrea la forma pre-lowercase de cada token individualmente.</w:t>
      </w:r>
    </w:p>
    <w:p>
      <w:pPr>
        <w:spacing w:before="40" w:after="40"/>
        <w:ind w:left="340"/>
      </w:pPr>
      <w:r>
        <w:rPr>
          <w:sz w:val="20"/>
        </w:rPr>
        <w:t>Ambas columnas contienen el token en su forma procesada. En versiones futuras se</w:t>
      </w:r>
    </w:p>
    <w:p>
      <w:pPr>
        <w:spacing w:before="40" w:after="40"/>
        <w:ind w:left="340"/>
      </w:pPr>
      <w:r>
        <w:rPr>
          <w:sz w:val="20"/>
        </w:rPr>
        <w:t>podrá rastrear la forma original antes de aplicar minúsculas.</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¿Puedo usar el sistema offline?</w:t>
            </w:r>
          </w:p>
        </w:tc>
      </w:tr>
    </w:tbl>
    <w:p>
      <w:pPr>
        <w:spacing w:before="40" w:after="40"/>
        <w:ind w:left="340"/>
      </w:pPr>
      <w:r>
        <w:rPr>
          <w:sz w:val="20"/>
        </w:rPr>
        <w:t>Sí, una vez instalado. La aplicación corre completamente en local.</w:t>
      </w:r>
    </w:p>
    <w:p>
      <w:pPr>
        <w:spacing w:before="40" w:after="40"/>
        <w:ind w:left="340"/>
      </w:pPr>
      <w:r>
        <w:rPr>
          <w:sz w:val="20"/>
        </w:rPr>
        <w:t>La única dependencia en internet es la primera ejecución del backend, que descarga</w:t>
      </w:r>
    </w:p>
    <w:p>
      <w:pPr>
        <w:spacing w:before="40" w:after="40"/>
        <w:ind w:left="340"/>
      </w:pPr>
      <w:r>
        <w:rPr>
          <w:sz w:val="20"/>
        </w:rPr>
        <w:t>los datos NLTK (punkt, stopwords). Después puede funcionar sin conexión.</w:t>
      </w:r>
    </w:p>
    <w:p>
      <w:pPr>
        <w:spacing w:after="120"/>
      </w:pPr>
    </w:p>
    <w:tbl>
      <w:tblPr>
        <w:tblStyle w:val="TableGrid"/>
        <w:tblW w:type="auto" w:w="0"/>
        <w:jc w:val="left"/>
        <w:tblLook w:firstColumn="1" w:firstRow="1" w:lastColumn="0" w:lastRow="0" w:noHBand="0" w:noVBand="1" w:val="04A0"/>
      </w:tblPr>
      <w:tblGrid>
        <w:gridCol w:w="9184"/>
      </w:tblGrid>
      <w:tr>
        <w:tc>
          <w:tcPr>
            <w:tcW w:type="dxa" w:w="9184"/>
            <w:shd w:val="clear" w:color="auto" w:fill="EDE9FE"/>
            <w:tcBorders>
              <w:top w:val="single" w:sz="4" w:color="7C3AED"/>
              <w:left w:val="single" w:sz="4" w:color="7C3AED"/>
              <w:bottom w:val="single" w:sz="4" w:color="7C3AED"/>
              <w:right w:val="single" w:sz="4" w:color="7C3AED"/>
            </w:tcBorders>
          </w:tcPr>
          <w:p>
            <w:pPr>
              <w:spacing w:before="120" w:after="120"/>
            </w:pPr>
            <w:r>
              <w:rPr>
                <w:b/>
                <w:color w:val="4C1D95"/>
                <w:sz w:val="21"/>
              </w:rPr>
              <w:t>❓  ¿Cómo agrego stopwords en inglés?</w:t>
            </w:r>
          </w:p>
        </w:tc>
      </w:tr>
    </w:tbl>
    <w:p>
      <w:pPr>
        <w:spacing w:before="40" w:after="40"/>
        <w:ind w:left="340"/>
      </w:pPr>
      <w:r>
        <w:rPr>
          <w:sz w:val="20"/>
        </w:rPr>
        <w:t>La lista predeterminada ya incluye más de 500 stopwords en español E inglés combinados.</w:t>
      </w:r>
    </w:p>
    <w:p>
      <w:pPr>
        <w:spacing w:before="40" w:after="40"/>
        <w:ind w:left="340"/>
      </w:pPr>
      <w:r>
        <w:rPr>
          <w:sz w:val="20"/>
        </w:rPr>
        <w:t>Si necesitas términos adicionales, agrégalos manualmente en el campo de la Operación 6.</w:t>
      </w:r>
    </w:p>
    <w:p>
      <w:pPr>
        <w:spacing w:after="120"/>
      </w:pPr>
    </w:p>
    <w:p>
      <w:r>
        <w:br w:type="page"/>
      </w:r>
    </w:p>
    <w:tbl>
      <w:tblPr>
        <w:tblW w:type="auto" w:w="0"/>
        <w:jc w:val="left"/>
        <w:tblLook w:firstColumn="1" w:firstRow="1" w:lastColumn="0" w:lastRow="0" w:noHBand="0" w:noVBand="1" w:val="04A0"/>
      </w:tblPr>
      <w:tblGrid>
        <w:gridCol w:w="9184"/>
      </w:tblGrid>
      <w:tr>
        <w:tc>
          <w:tcPr>
            <w:tcW w:type="dxa" w:w="9184"/>
            <w:shd w:val="clear" w:color="auto" w:fill="1E1B4B"/>
            <w:tcBorders>
              <w:top w:val="single" w:sz="4" w:color="1E1B4B"/>
              <w:left w:val="single" w:sz="4" w:color="1E1B4B"/>
              <w:bottom w:val="single" w:sz="4" w:color="1E1B4B"/>
              <w:right w:val="single" w:sz="4" w:color="1E1B4B"/>
            </w:tcBorders>
          </w:tcPr>
          <w:p>
            <w:pPr>
              <w:spacing w:before="320" w:after="80"/>
              <w:jc w:val="center"/>
            </w:pPr>
            <w:r>
              <w:rPr>
                <w:b/>
                <w:color w:val="A78BFA"/>
                <w:sz w:val="28"/>
              </w:rPr>
              <w:t>PipeNLP · Manual de Usuario</w:t>
            </w:r>
          </w:p>
          <w:p>
            <w:pPr>
              <w:spacing w:after="320"/>
              <w:jc w:val="center"/>
            </w:pPr>
            <w:r>
              <w:rPr>
                <w:color w:val="64748B"/>
                <w:sz w:val="20"/>
              </w:rPr>
              <w:t>v1.0  ·  27 de May de 2026</w:t>
            </w:r>
          </w:p>
        </w:tc>
      </w:tr>
    </w:tbl>
    <w:sectPr w:rsidR="00FC693F" w:rsidRPr="0006063C" w:rsidSect="00034616">
      <w:pgSz w:w="11906" w:h="16838"/>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