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Play-bold.ttf" ContentType="application/x-font-ttf"/>
  <Override PartName="/word/fonts/Play-regular.ttf" ContentType="application/x-font-ttf"/>
  <Override PartName="/word/fonts/RobotoMono-bold.ttf" ContentType="application/x-font-ttf"/>
  <Override PartName="/word/fonts/RobotoMono-boldItalic.ttf" ContentType="application/x-font-ttf"/>
  <Override PartName="/word/fonts/RobotoMono-italic.ttf" ContentType="application/x-font-ttf"/>
  <Override PartName="/word/fonts/RobotoMon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60" w:line="256.8" w:lineRule="auto"/>
        <w:ind w:right="20" w:firstLine="720"/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UNIVERSIDAD NACIONAL MAYOR DE SAN MARCOS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(Universidad del Perú, Decana de América)</w:t>
      </w:r>
    </w:p>
    <w:p w:rsidR="00000000" w:rsidDel="00000000" w:rsidP="00000000" w:rsidRDefault="00000000" w:rsidRPr="00000000" w14:paraId="00000002">
      <w:pPr>
        <w:spacing w:after="0" w:before="60" w:line="256.8" w:lineRule="auto"/>
        <w:ind w:right="20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FACULTAD DE INGENIERÍA DE SISTEMAS E INFORMÁTICA</w:t>
      </w:r>
    </w:p>
    <w:p w:rsidR="00000000" w:rsidDel="00000000" w:rsidP="00000000" w:rsidRDefault="00000000" w:rsidRPr="00000000" w14:paraId="00000003">
      <w:pPr>
        <w:spacing w:after="0" w:before="180" w:line="276" w:lineRule="auto"/>
        <w:ind w:right="20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ESCUELA ACADÉMICA PROFESIONAL DE INGENIERÍA DE SOFTWARE</w:t>
      </w:r>
    </w:p>
    <w:p w:rsidR="00000000" w:rsidDel="00000000" w:rsidP="00000000" w:rsidRDefault="00000000" w:rsidRPr="00000000" w14:paraId="00000004">
      <w:pPr>
        <w:spacing w:after="0" w:before="180" w:line="276" w:lineRule="auto"/>
        <w:ind w:right="20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1809750</wp:posOffset>
            </wp:positionH>
            <wp:positionV relativeFrom="paragraph">
              <wp:posOffset>152400</wp:posOffset>
            </wp:positionV>
            <wp:extent cx="1944053" cy="2438693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44053" cy="243869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5">
      <w:pPr>
        <w:spacing w:after="0" w:line="276" w:lineRule="auto"/>
        <w:ind w:left="20" w:right="20" w:firstLine="0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after="0" w:line="276" w:lineRule="auto"/>
        <w:ind w:left="20" w:right="20" w:firstLine="0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76" w:lineRule="auto"/>
        <w:ind w:left="20" w:right="20" w:firstLine="0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76" w:lineRule="auto"/>
        <w:ind w:left="20" w:right="20" w:firstLine="0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76" w:lineRule="auto"/>
        <w:ind w:left="20" w:right="20" w:firstLine="0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76" w:lineRule="auto"/>
        <w:ind w:left="20" w:right="20" w:firstLine="0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76" w:lineRule="auto"/>
        <w:ind w:left="20" w:right="20" w:firstLine="0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76" w:lineRule="auto"/>
        <w:ind w:left="20" w:right="20" w:firstLine="0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76" w:lineRule="auto"/>
        <w:ind w:left="20" w:right="20" w:firstLine="0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76" w:lineRule="auto"/>
        <w:ind w:left="20" w:right="20" w:firstLine="0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40" w:line="276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MANUAL DE APLICACIÓN</w:t>
      </w:r>
    </w:p>
    <w:p w:rsidR="00000000" w:rsidDel="00000000" w:rsidP="00000000" w:rsidRDefault="00000000" w:rsidRPr="00000000" w14:paraId="00000010">
      <w:pPr>
        <w:spacing w:after="240" w:before="40" w:line="276" w:lineRule="auto"/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 DOCENTE: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</w:t>
      </w:r>
      <w:r w:rsidDel="00000000" w:rsidR="00000000" w:rsidRPr="00000000">
        <w:rPr>
          <w:sz w:val="30"/>
          <w:szCs w:val="30"/>
          <w:rtl w:val="0"/>
        </w:rPr>
        <w:t xml:space="preserve">DAVID CALDERON VILCA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40" w:line="276" w:lineRule="auto"/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CURSO: </w:t>
      </w:r>
      <w:r w:rsidDel="00000000" w:rsidR="00000000" w:rsidRPr="00000000">
        <w:rPr>
          <w:sz w:val="30"/>
          <w:szCs w:val="30"/>
          <w:rtl w:val="0"/>
        </w:rPr>
        <w:t xml:space="preserve">MINERÍA DE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EJERCICIO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before="40" w:line="240" w:lineRule="auto"/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ALUMNOS: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14">
      <w:pPr>
        <w:spacing w:after="0" w:before="40" w:line="240" w:lineRule="auto"/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76" w:lineRule="auto"/>
        <w:ind w:left="2160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Calle Ramos Guillermo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before="0" w:line="276" w:lineRule="auto"/>
        <w:ind w:left="2160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Romani Moscoso Anthony Paolo </w:t>
      </w:r>
    </w:p>
    <w:p w:rsidR="00000000" w:rsidDel="00000000" w:rsidP="00000000" w:rsidRDefault="00000000" w:rsidRPr="00000000" w14:paraId="00000017">
      <w:pPr>
        <w:spacing w:after="0" w:before="0" w:line="276" w:lineRule="auto"/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before="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Lima, Perú</w:t>
      </w:r>
    </w:p>
    <w:p w:rsidR="00000000" w:rsidDel="00000000" w:rsidP="00000000" w:rsidRDefault="00000000" w:rsidRPr="00000000" w14:paraId="00000019">
      <w:pPr>
        <w:spacing w:after="0" w:before="0"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2026</w:t>
      </w:r>
    </w:p>
    <w:p w:rsidR="00000000" w:rsidDel="00000000" w:rsidP="00000000" w:rsidRDefault="00000000" w:rsidRPr="00000000" w14:paraId="0000001A">
      <w:pPr>
        <w:spacing w:after="0" w:before="0" w:line="480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before="0" w:line="480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4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50"/>
        <w:gridCol w:w="1895"/>
        <w:tblGridChange w:id="0">
          <w:tblGrid>
            <w:gridCol w:w="2450"/>
            <w:gridCol w:w="18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line="360" w:lineRule="auto"/>
              <w:jc w:val="center"/>
              <w:rPr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Texto original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line="360" w:lineRule="auto"/>
              <w:jc w:val="center"/>
              <w:rPr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Texto procesado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line="360" w:lineRule="auto"/>
              <w:jc w:val="both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¡Hola, este es un texto!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line="360" w:lineRule="auto"/>
              <w:jc w:val="both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hola texto</w:t>
            </w:r>
          </w:p>
        </w:tc>
      </w:tr>
    </w:tbl>
    <w:tbl>
      <w:tblPr>
        <w:tblStyle w:val="Table2"/>
        <w:tblW w:w="61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95"/>
        <w:gridCol w:w="3620"/>
        <w:tblGridChange w:id="0">
          <w:tblGrid>
            <w:gridCol w:w="2495"/>
            <w:gridCol w:w="36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line="360" w:lineRule="auto"/>
              <w:jc w:val="center"/>
              <w:rPr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Texto procesado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line="360" w:lineRule="auto"/>
              <w:jc w:val="center"/>
              <w:rPr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Tokens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line="360" w:lineRule="auto"/>
              <w:jc w:val="both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niño presenta bajo peso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line="360" w:lineRule="auto"/>
              <w:jc w:val="both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["niño", "presenta", "bajo", "peso"]</w:t>
            </w:r>
          </w:p>
        </w:tc>
      </w:tr>
    </w:tbl>
    <w:p>
      <w:pPr>
        <w:pStyle w:val="Heading1"/>
      </w:pPr>
      <w:r>
        <w:t>Descripción general de la aplicación</w:t>
      </w:r>
    </w:p>
    <w:p>
      <w:pPr/>
      <w:r>
        <w:t>NLP Pipeline es una aplicación web de preprocesamiento de texto desarrollada con Vite + React + Tailwind CSS en el frontend y Python + FastAPI en el backend. Permite al usuario ingresar texto libre o cargar un archivo .txt y aplicar un pipeline NLP configurable que comprende: limpieza de símbolos (predefinidos y personalizados), eliminación de stopwords (español e inglés, con opción de agregar palabras personalizadas) y tokenización (por palabras, palabras con símbolos o por caracteres).</w:t>
      </w:r>
    </w:p>
    <w:p>
      <w:pPr/>
      <w:r>
        <w:t>La interfaz muestra en tiempo real las fórmulas algorítmicas de cada paso activo. Los resultados —texto limpio, tokens y tabla de frecuencias— se visualizan en pantalla y pueden exportarse como archivo .txt estructurado.</w:t>
      </w:r>
    </w:p>
    <w:p>
      <w:pPr>
        <w:pStyle w:val="Heading1"/>
      </w:pPr>
      <w:r>
        <w:t>Procedimiento de puesta en marcha</w:t>
      </w:r>
    </w:p>
    <w:p>
      <w:pPr>
        <w:pStyle w:val="Heading2"/>
      </w:pPr>
      <w:r>
        <w:t>Requisitos previos</w:t>
      </w:r>
    </w:p>
    <w:p>
      <w:pPr>
        <w:ind w:left="432"/>
      </w:pPr>
      <w:r>
        <w:t>•  Python 3.10 o superior</w:t>
      </w:r>
    </w:p>
    <w:p>
      <w:pPr>
        <w:ind w:left="432"/>
      </w:pPr>
      <w:r>
        <w:t>•  Node.js 18 o superior</w:t>
      </w:r>
    </w:p>
    <w:p>
      <w:pPr>
        <w:ind w:left="432"/>
      </w:pPr>
      <w:r>
        <w:t>•  npm (incluido con Node.js)</w:t>
      </w:r>
    </w:p>
    <w:p>
      <w:pPr>
        <w:ind w:left="432"/>
      </w:pPr>
      <w:r>
        <w:t>•  Navegador web moderno (Chrome, Firefox, Edge)</w:t>
      </w:r>
    </w:p>
    <w:p>
      <w:pPr>
        <w:ind w:left="432"/>
      </w:pPr>
      <w:r>
        <w:t>•  Sistema operativo: Windows, macOS o Linux</w:t>
      </w:r>
    </w:p>
    <w:p>
      <w:pPr>
        <w:pStyle w:val="Heading2"/>
      </w:pPr>
      <w:r>
        <w:t>Instalación de dependencias</w:t>
      </w:r>
    </w:p>
    <w:p>
      <w:pPr/>
      <w:r>
        <w:t>Backend (desde la raíz del proyecto):</w:t>
      </w:r>
    </w:p>
    <w:p>
      <w:pPr/>
      <w:r>
        <w:rPr>
          <w:rFonts w:ascii="Courier New" w:hAnsi="Courier New"/>
          <w:sz w:val="18"/>
        </w:rPr>
        <w:t>python -m pip install -r backend/requirements.txt</w:t>
      </w:r>
    </w:p>
    <w:p>
      <w:pPr/>
      <w:r>
        <w:t>Frontend:</w:t>
      </w:r>
    </w:p>
    <w:p>
      <w:pPr/>
      <w:r>
        <w:rPr>
          <w:rFonts w:ascii="Courier New" w:hAnsi="Courier New"/>
          <w:sz w:val="18"/>
        </w:rPr>
        <w:t>cd frontend</w:t>
        <w:br/>
        <w:t>npm install</w:t>
      </w:r>
    </w:p>
    <w:p>
      <w:pPr>
        <w:pStyle w:val="Heading2"/>
      </w:pPr>
      <w:r>
        <w:t>Ejecución de la aplicación</w:t>
      </w:r>
    </w:p>
    <w:p>
      <w:pPr/>
      <w:r>
        <w:t>Backend (ejecutar desde la raíz del proyecto):</w:t>
      </w:r>
    </w:p>
    <w:p>
      <w:pPr/>
      <w:r>
        <w:rPr>
          <w:rFonts w:ascii="Courier New" w:hAnsi="Courier New"/>
          <w:sz w:val="18"/>
        </w:rPr>
        <w:t>python -m uvicorn backend.main:app --host 127.0.0.1 --port 8001 --reload</w:t>
      </w:r>
    </w:p>
    <w:p>
      <w:pPr/>
      <w:r>
        <w:t>Frontend (en otra terminal):</w:t>
      </w:r>
    </w:p>
    <w:p>
      <w:pPr/>
      <w:r>
        <w:rPr>
          <w:rFonts w:ascii="Courier New" w:hAnsi="Courier New"/>
          <w:sz w:val="18"/>
        </w:rPr>
        <w:t>cd frontend</w:t>
        <w:br/>
        <w:t>npm run dev</w:t>
      </w:r>
    </w:p>
    <w:p>
      <w:pPr/>
      <w:r>
        <w:t>También puede ejecutar los scripts incluidos: start_backend.bat y start_frontend.bat (Windows).</w:t>
      </w:r>
    </w:p>
    <w:p>
      <w:pPr>
        <w:pStyle w:val="Heading2"/>
      </w:pPr>
      <w:r>
        <w:t>Acceso a la interfaz</w:t>
      </w:r>
    </w:p>
    <w:p>
      <w:pPr/>
      <w:r>
        <w:t>Abrir el navegador en la siguiente dirección:</w:t>
      </w:r>
    </w:p>
    <w:p>
      <w:pPr/>
      <w:r>
        <w:rPr>
          <w:rFonts w:ascii="Courier New" w:hAnsi="Courier New"/>
          <w:sz w:val="18"/>
        </w:rPr>
        <w:t>http://localhost:5173</w:t>
      </w:r>
    </w:p>
    <w:p>
      <w:pPr/>
      <w:r>
        <w:t>La API del backend estará disponible en http://127.0.0.1:8001 y su documentación interactiva en http://127.0.0.1:8001/docs</w:t>
      </w:r>
    </w:p>
    <w:p>
      <w:pPr>
        <w:pStyle w:val="Heading1"/>
      </w:pPr>
      <w:r>
        <w:t>Restricciones de uso</w:t>
      </w:r>
    </w:p>
    <w:p>
      <w:pPr>
        <w:ind w:left="432"/>
      </w:pPr>
      <w:r>
        <w:t>•  Solo se aceptan archivos de entrada en formato .txt (texto plano).</w:t>
      </w:r>
    </w:p>
    <w:p>
      <w:pPr>
        <w:ind w:left="432"/>
      </w:pPr>
      <w:r>
        <w:t>•  El resultado exportado se genera únicamente en formato .txt.</w:t>
      </w:r>
    </w:p>
    <w:p>
      <w:pPr>
        <w:ind w:left="432"/>
      </w:pPr>
      <w:r>
        <w:t>•  El texto de entrada debe estar codificado en UTF-8; otros encodings pueden producir caracteres incorrectos.</w:t>
      </w:r>
    </w:p>
    <w:p>
      <w:pPr>
        <w:ind w:left="432"/>
      </w:pPr>
      <w:r>
        <w:t>•  La aplicación está optimizada para textos en español e inglés; en otros idiomas las stopwords predefinidas no serán efectivas.</w:t>
      </w:r>
    </w:p>
    <w:p>
      <w:pPr>
        <w:ind w:left="432"/>
      </w:pPr>
      <w:r>
        <w:t>•  La aplicación no realiza análisis semántico, clasificación ni extracción de entidades; se limita al preprocesamiento textual.</w:t>
      </w:r>
    </w:p>
    <w:p>
      <w:pPr>
        <w:ind w:left="432"/>
      </w:pPr>
      <w:r>
        <w:t>•  Textos de gran tamaño (más de 1 MB) pueden aumentar el tiempo de procesamiento.</w:t>
      </w:r>
    </w:p>
    <w:p>
      <w:pPr>
        <w:ind w:left="432"/>
      </w:pPr>
      <w:r>
        <w:t>•  Los archivos de resultado se almacenan localmente en la carpeta backend/storage/.</w:t>
      </w:r>
    </w:p>
    <w:p>
      <w:pPr>
        <w:pStyle w:val="Heading1"/>
      </w:pPr>
      <w:r>
        <w:t>Ingreso de datos</w:t>
      </w:r>
    </w:p>
    <w:p>
      <w:pPr>
        <w:pStyle w:val="Heading2"/>
      </w:pPr>
      <w:r>
        <w:t>Pegar texto</w:t>
      </w:r>
    </w:p>
    <w:p>
      <w:pPr/>
      <w:r>
        <w:t>Seleccionar el modo 'Pegar texto' en la sección 1. El usuario puede escribir o pegar texto directamente en el área de texto. La interfaz muestra en tiempo real el número de caracteres y la cantidad aproximada de palabras del contenido actual. El área es redimensionable verticalmente.</w:t>
      </w:r>
    </w:p>
    <w:p>
      <w:pPr>
        <w:pStyle w:val="Heading2"/>
      </w:pPr>
      <w:r>
        <w:t>Subir archivo .txt</w:t>
      </w:r>
    </w:p>
    <w:p>
      <w:pPr/>
      <w:r>
        <w:t>Seleccionar el modo 'Subir archivo .txt'. Hacer clic en el área punteada o arrastrar un archivo con extensión .txt. El sistema lee el archivo usando codificación UTF-8 y carga su contenido automáticamente en el área de texto, permitiendo al usuario revisarlo o editarlo antes de procesarlo.</w:t>
      </w:r>
    </w:p>
    <w:p>
      <w:pPr/>
      <w:r>
        <w:t>Nota: si se intenta cargar un archivo con extensión diferente a .txt, la aplicación mostrará un mensaje de error y no cargará el archivo.</w:t>
      </w:r>
    </w:p>
    <w:p>
      <w:pPr>
        <w:pStyle w:val="Heading1"/>
      </w:pPr>
      <w:r>
        <w:t>Aplicación del preprocesamiento</w:t>
      </w:r>
    </w:p>
    <w:p>
      <w:pPr>
        <w:pStyle w:val="Heading2"/>
      </w:pPr>
      <w:r>
        <w:t>Limpieza de símbolos</w:t>
      </w:r>
    </w:p>
    <w:p>
      <w:pPr/>
      <w:r>
        <w:t>Activar la casilla 'Limpiar símbolos'. Se muestra la lista de 39 símbolos predefinidos (signos de puntuación, operadores, caracteres especiales) como chips. Hacer clic en un chip para activarlo (color violeta) o desactivarlo (color gris). Solo los chips activos se eliminarán del texto.</w:t>
      </w:r>
    </w:p>
    <w:p>
      <w:pPr/>
      <w:r>
        <w:t>Para agregar un símbolo inusual no incluido en la lista predefinida, escribirlo en el campo 'Agregar símbolo inusual' y presionar el botón '+' o la tecla Enter. El símbolo aparecerá con borde violeta y puede eliminarse haciendo clic en '✕'.</w:t>
      </w:r>
    </w:p>
    <w:p>
      <w:pPr/>
      <w:r>
        <w:t>Fórmula aplicada:</w:t>
      </w:r>
    </w:p>
    <w:p>
      <w:pPr/>
      <w:r>
        <w:rPr>
          <w:rFonts w:ascii="Courier New" w:hAnsi="Courier New"/>
          <w:sz w:val="18"/>
        </w:rPr>
        <w:t>texto_limpio = re.sub(r'[simbolos]', ' ', texto)</w:t>
      </w:r>
    </w:p>
    <w:p>
      <w:pPr>
        <w:pStyle w:val="Heading2"/>
      </w:pPr>
      <w:r>
        <w:t>Eliminación de stopwords</w:t>
      </w:r>
    </w:p>
    <w:p>
      <w:pPr/>
      <w:r>
        <w:t>Activar la casilla 'Eliminar stopwords'. Se aplica automáticamente la lista predefinida de 504 palabras vacías en español e inglés. El número de stopwords predefinidas se muestra junto al nombre de la opción.</w:t>
      </w:r>
    </w:p>
    <w:p>
      <w:pPr/>
      <w:r>
        <w:t>Para agregar palabras personalizadas adicionales, escribirlas en el campo de texto separadas por comas o saltos de línea y presionar '+'. Las palabras agregadas aparecerán como chips con borde violeta y pueden eliminarse con '✕'.</w:t>
      </w:r>
    </w:p>
    <w:p>
      <w:pPr/>
      <w:r>
        <w:t>Fórmula aplicada:</w:t>
      </w:r>
    </w:p>
    <w:p>
      <w:pPr/>
      <w:r>
        <w:rPr>
          <w:rFonts w:ascii="Courier New" w:hAnsi="Courier New"/>
          <w:sz w:val="18"/>
        </w:rPr>
        <w:t>tokens = [t for t in tokens if t.lower() not in stopwords]</w:t>
      </w:r>
    </w:p>
    <w:p>
      <w:pPr>
        <w:pStyle w:val="Heading2"/>
      </w:pPr>
      <w:r>
        <w:t>Tokenización</w:t>
      </w:r>
    </w:p>
    <w:p>
      <w:pPr/>
      <w:r>
        <w:t>Activar la casilla 'Tokenizar'. Seleccionar el modo deseado:</w:t>
      </w:r>
    </w:p>
    <w:p>
      <w:pPr>
        <w:ind w:left="432"/>
      </w:pPr>
      <w:r>
        <w:t>•  Palabras (word_tokenize): NLTK divide el texto en palabras individuales. Ideal para análisis de frecuencia de palabras.</w:t>
      </w:r>
    </w:p>
    <w:p>
      <w:pPr>
        <w:ind w:left="432"/>
      </w:pPr>
      <w:r>
        <w:t>•  Palabras + símbolos (regexp_tokenize): genera tokens tanto para palabras como para cada símbolo aislado. Útil cuando los símbolos son informativos.</w:t>
      </w:r>
    </w:p>
    <w:p>
      <w:pPr>
        <w:ind w:left="432"/>
      </w:pPr>
      <w:r>
        <w:t>•  Caracteres (list): genera un token por cada carácter. Útil para análisis a nivel de carácter.</w:t>
      </w:r>
    </w:p>
    <w:p>
      <w:pPr/>
      <w:r>
        <w:t>El panel 'Fórmulas aplicadas' en la parte derecha de la pantalla muestra la expresión algorítmica exacta correspondiente al modo seleccionado.</w:t>
      </w:r>
    </w:p>
    <w:p>
      <w:pPr>
        <w:pStyle w:val="Heading1"/>
      </w:pPr>
      <w:r>
        <w:t>Obtención de resultados</w:t>
      </w:r>
    </w:p>
    <w:p>
      <w:pPr/>
      <w:r>
        <w:t>Luego de presionar el botón 'Procesar', la sección 3 'Visualización' muestra los resultados organizados en las siguientes subsecciones:</w:t>
      </w:r>
    </w:p>
    <w:p>
      <w:pPr>
        <w:ind w:left="432"/>
      </w:pPr>
      <w:r>
        <w:t>•  Tarjetas de resumen: muestran el total de tokens, la cantidad de tokens únicos y el token más frecuente del texto procesado.</w:t>
      </w:r>
    </w:p>
    <w:p>
      <w:pPr>
        <w:ind w:left="432"/>
      </w:pPr>
      <w:r>
        <w:t>•  Texto limpio: cuadro de texto con scroll que muestra el resultado de la limpieza configurada.</w:t>
      </w:r>
    </w:p>
    <w:p>
      <w:pPr>
        <w:ind w:left="432"/>
      </w:pPr>
      <w:r>
        <w:t>•  Tokens: lista visual de todos los tokens como chips con fuente monoespaciada (se muestran hasta 300 chips; el resto se indica con un contador).</w:t>
      </w:r>
    </w:p>
    <w:p>
      <w:pPr>
        <w:ind w:left="432"/>
      </w:pPr>
      <w:r>
        <w:t>•  Tabla de frecuencias: lista ordenada de mayor a menor frecuencia, con columnas Token, Conteo, Frecuencia relativa y barra proporcional. Fórmula: f(t) = count(t) / sum(count(ti)). Se muestran hasta los 100 primeros tokens únicos.</w:t>
      </w:r>
    </w:p>
    <w:p>
      <w:pPr/>
      <w:r>
        <w:t>Para exportar el resultado:</w:t>
      </w:r>
    </w:p>
    <w:p>
      <w:pPr>
        <w:ind w:left="432"/>
      </w:pPr>
      <w:r>
        <w:t>•  En la sección 4 'Exportar resultado', ingresar un nombre de archivo sin extensión (opcional). Si se deja en blanco, se genera un nombre automático con fecha y hora.</w:t>
      </w:r>
    </w:p>
    <w:p>
      <w:pPr>
        <w:ind w:left="432"/>
      </w:pPr>
      <w:r>
        <w:t>•  Presionar 'Guardar .txt' para almacenar el archivo en backend/storage/.</w:t>
      </w:r>
    </w:p>
    <w:p>
      <w:pPr>
        <w:ind w:left="432"/>
      </w:pPr>
      <w:r>
        <w:t>•  Una vez guardado, presionar 'Descargar .txt' para descargarlo al equipo.</w:t>
      </w:r>
    </w:p>
    <w:p>
      <w:pPr/>
      <w:r>
        <w:t>El archivo .txt generado tiene la siguiente estructura: encabezado con fecha y hora de generación, sección [TEXTO LIMPIO], sección [TOKENS] con un token por línea y sección [TABLA DE FRECUENCIAS] en formato tabular.</w:t>
      </w:r>
    </w:p>
    <w:p>
      <w:pPr>
        <w:pStyle w:val="Heading1"/>
      </w:pPr>
      <w:r>
        <w:t>Registro de versión</w:t>
      </w:r>
    </w:p>
    <w:p>
      <w:pPr>
        <w:ind w:left="432"/>
      </w:pPr>
      <w:r>
        <w:t>•  Versión de la aplicación: 1.0</w:t>
      </w:r>
    </w:p>
    <w:p>
      <w:pPr>
        <w:ind w:left="432"/>
      </w:pPr>
      <w:r>
        <w:t>•  Fecha: 2026</w:t>
      </w:r>
    </w:p>
    <w:p>
      <w:pPr>
        <w:ind w:left="432"/>
      </w:pPr>
      <w:r>
        <w:t>•  Desarrolladores: Calle Ramos Guillermo, Romani Moscoso Anthony Paolo</w:t>
      </w:r>
    </w:p>
    <w:p>
      <w:pPr>
        <w:ind w:left="432"/>
      </w:pPr>
      <w:r>
        <w:t>•  Curso: Minería de Datos</w:t>
      </w:r>
    </w:p>
    <w:p>
      <w:pPr>
        <w:ind w:left="432"/>
      </w:pPr>
      <w:r>
        <w:t>•  Docente: David Calderon Vilca</w:t>
      </w:r>
    </w:p>
    <w:p>
      <w:pPr>
        <w:ind w:left="432"/>
      </w:pPr>
      <w:r>
        <w:t>•  Universidad: Universidad Nacional Mayor de San Marcos</w:t>
      </w:r>
    </w:p>
    <w:p>
      <w:pPr/>
      <w:r>
        <w:t>Descripción de la versión:</w:t>
      </w:r>
    </w:p>
    <w:p>
      <w:pPr/>
      <w:r>
        <w:t>Primera versión de NLP Pipeline. Incluye ingreso de texto libre y carga de archivos .txt, pipeline NLP con limpieza de símbolos (39 predefinidos + personalizados), eliminación de stopwords (504 palabras ES+EN + personalizadas), tokenización en tres modos (word_tokenize, regexp_tokenize, list), visualización de texto limpio, tokens y tabla de frecuencias, y exportación de resultados en formato .txt estructurado con fecha y hora.</w:t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Play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upperRoman"/>
      <w:lvlText w:val="%1."/>
      <w:lvlJc w:val="righ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-PE"/>
      </w:rPr>
    </w:rPrDefault>
    <w:pPrDefault>
      <w:pPr>
        <w:spacing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hd w:fill="ffffff" w:val="clear"/>
      <w:spacing w:after="161" w:before="161" w:lineRule="auto"/>
      <w:ind w:left="720" w:hanging="360"/>
    </w:pPr>
    <w:rPr>
      <w:rFonts w:ascii="Times New Roman" w:cs="Times New Roman" w:eastAsia="Times New Roman" w:hAnsi="Times New Roman"/>
      <w:b w:val="1"/>
      <w:bCs w:val="1"/>
      <w:color w:val="0f476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3ENInl2f08jYtbPYxKVnSiLqrQ==">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b6975e89-8bad-4377-88b4-2c33a3f9c063</vt:lpwstr>
  </property>
</Properties>
</file>