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0" w:lineRule="auto"/>
        <w:ind w:right="0"/>
        <w:jc w:val="left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f0zcv3dd58u" w:id="0"/>
      <w:bookmarkEnd w:id="0"/>
      <w:r w:rsidDel="00000000" w:rsidR="00000000" w:rsidRPr="00000000">
        <w:rPr>
          <w:b w:val="0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jc w:val="left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Pensamento Computacional na vida </w:t>
      </w:r>
      <w:r w:rsidDel="00000000" w:rsidR="00000000" w:rsidRPr="00000000">
        <w:rPr>
          <w:rtl w:val="0"/>
        </w:rPr>
        <w:t xml:space="preserve">cotidiana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Cada grupo de trabalho deve escolher uma situação cotidiana em 5 minutos, depois em um documento compartilhado (google docs ou similar), em cada categoria de Pensamento Computacional, refletir aquilo que eles conseguem identificar na situação do modelo escolhido.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jc w:val="left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Identificar os elementos do Pensamento Computacional (detecção de padrões, decomposição de problemas, abstração do que é importante e detecção de algoritmos presentes) em situações da vida cotidiana. Isso nos permitirá ter uma imagem clara do problema e de sua solução.</w:t>
      </w:r>
    </w:p>
    <w:p w:rsidR="00000000" w:rsidDel="00000000" w:rsidP="00000000" w:rsidRDefault="00000000" w:rsidRPr="00000000" w14:paraId="00000006">
      <w:pPr>
        <w:pStyle w:val="Heading3"/>
        <w:pageBreakBefore w:val="0"/>
        <w:rPr>
          <w:rFonts w:ascii="Rajdhani" w:cs="Rajdhani" w:eastAsia="Rajdhani" w:hAnsi="Rajdhani"/>
          <w:b w:val="1"/>
          <w:sz w:val="34"/>
          <w:szCs w:val="34"/>
        </w:rPr>
      </w:pPr>
      <w:bookmarkStart w:colFirst="0" w:colLast="0" w:name="_37jxg69mstv6" w:id="3"/>
      <w:bookmarkEnd w:id="3"/>
      <w:r w:rsidDel="00000000" w:rsidR="00000000" w:rsidRPr="00000000">
        <w:rPr>
          <w:rtl w:val="0"/>
        </w:rPr>
        <w:t xml:space="preserve">Exemplo “viajar de metrô”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6121050" cy="3098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23675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2640"/>
        <w:gridCol w:w="2505"/>
        <w:gridCol w:w="2520"/>
        <w:tblGridChange w:id="0">
          <w:tblGrid>
            <w:gridCol w:w="1920"/>
            <w:gridCol w:w="2640"/>
            <w:gridCol w:w="2505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Padrões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Decompor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Abstrações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Algoritmos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Vagões e pessoas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Entrada e saída do vagão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 para entrar ou sair.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Vidro nas portas para comunicar o que acontece em cada lado.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Ficar à direita quando possível.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Sair do vagão com prioridade antes de entrar novos passageiros.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Momentos de abertura, fechamento, problemas quando partes do corpo ficam presas.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Pessoas com Deficiências.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Sensibilidade do sistema de abertura, velocidade, anúncio de ativação.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guarda é responsável por acionar o mecanismo, mas é desabilitada se o trem estiver em movimento, mantendo as portas fechadas.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Quantidade de passageiros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Localização de pessoas, em pé, com mobilidade reduzida.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Corrimão para pessoas com bagagem, que estão em pé dentro do vagão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Regras em cartazes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21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Duas pistas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Ida e volta.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Informações sobre para onde ir nos túneis com iconografia particular, diferente de publicidades.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Separar passageiros.</w:t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pageBreakBefore w:val="0"/>
        <w:rPr/>
      </w:pPr>
      <w:bookmarkStart w:colFirst="0" w:colLast="0" w:name="_j544q281g1s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Agora é a sua vez, pense em um cenário como este, completando cada categoria com valores que nos ajudem a ter um modelo mental do problema.</w:t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Boa sorte!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104775</wp:posOffset>
            </wp:positionV>
            <wp:extent cx="1049147" cy="1524402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9147" cy="1524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-47624</wp:posOffset>
          </wp:positionV>
          <wp:extent cx="7553325" cy="1019175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