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“Lista de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e aplicar as funções auxiliares relacionadas ao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array que contenha nomes de produtos para compra.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isso, exiba no console os resultados das funções relacionadas aos arrays, que são: Join, Pop, Push, Shift e Unshift.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Também se deve escrever com suas palavras, o que cada função realiza. Seguem abaixo alguns exemplos.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Join realiza tal coisa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console.log(RESULTADO_DO_JOIN)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Solução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[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"Feijão"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"Sabonete"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"Arroz"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"Escova"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"Farinha"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"O método Join junta índices de um array, podendo colocar um caractere entre cada índice. Ex: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 -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"O método Pop remove e retorna o último índice do array. Ex: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"Final"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"O método Push adiciona um novo valor ao array, no seu final. Ex: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"O método Shift remove e retorna o primeiro elemento do array. Ex: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"Começo"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rPr>
          <w:rFonts w:ascii="Consolas" w:cs="Consolas" w:eastAsia="Consolas" w:hAnsi="Consolas"/>
          <w:color w:val="abb2bf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e5c07b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5"/>
          <w:szCs w:val="25"/>
          <w:rtl w:val="0"/>
        </w:rPr>
        <w:t xml:space="preserve">"O método Push adiciona um novo valor ao array, no seu começo. Ex: "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5"/>
          <w:szCs w:val="25"/>
          <w:rtl w:val="0"/>
        </w:rPr>
        <w:t xml:space="preserve">lista</w:t>
      </w:r>
      <w:r w:rsidDel="00000000" w:rsidR="00000000" w:rsidRPr="00000000">
        <w:rPr>
          <w:rFonts w:ascii="Consolas" w:cs="Consolas" w:eastAsia="Consolas" w:hAnsi="Consolas"/>
          <w:color w:val="abb2b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m/NOv4m8o9RE32iGXaRvH0OSA==">AMUW2mWMXHTs0/XUbacO3zY8MgIi+mNI+tBWrrVAO9RPWysQsZrZsXOJGFRpKdbp9TSlQhpq4Fs4Yzv5V6J/yFeuUinFOsH6ndveedPdz8KVmlvQwObQEaszWKF2Qw5PyK+TfwZKVdwrERP8Et73Pn74diGBmFL2IwfGZTGXaKovjEhJ5oo1SdUsXRX2Shfg1G+5hp0jFgXj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