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QCM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MODULE 4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1 – Un accord de confidentialité est impératif en matière : de marque / </w:t>
      </w:r>
      <w:r>
        <w:rPr>
          <w:rFonts w:ascii="Times" w:hAnsi="Times" w:cs="Times"/>
          <w:sz w:val="24"/>
          <w:sz-cs w:val="24"/>
          <w:color w:val="FD8B09"/>
        </w:rPr>
        <w:t xml:space="preserve">de brevet</w:t>
      </w:r>
      <w:r>
        <w:rPr>
          <w:rFonts w:ascii="Times" w:hAnsi="Times" w:cs="Times"/>
          <w:sz w:val="24"/>
          <w:sz-cs w:val="24"/>
        </w:rPr>
        <w:t xml:space="preserve"> / de dessins &amp; modèles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2 – Je suis titulaire d’un brevet, une société est intéressée pour l’exploiter que puis-je faire ?</w:t>
      </w:r>
      <w:r>
        <w:rPr>
          <w:rFonts w:ascii="Times" w:hAnsi="Times" w:cs="Times"/>
          <w:sz w:val="24"/>
          <w:sz-cs w:val="24"/>
          <w:color w:val="FD8B09"/>
        </w:rPr>
        <w:t xml:space="preserve"> Un contrat de licence ou de cession </w:t>
      </w:r>
      <w:r>
        <w:rPr>
          <w:rFonts w:ascii="Times" w:hAnsi="Times" w:cs="Times"/>
          <w:sz w:val="24"/>
          <w:sz-cs w:val="24"/>
        </w:rPr>
        <w:t xml:space="preserve">/ Un contrat de sponsoring / Des Conditions Générales de Vente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3 – En tant que salarié, si j’effectue une création esthétique, elle appartient à : l’employeur / </w:t>
      </w:r>
      <w:r>
        <w:rPr>
          <w:rFonts w:ascii="Times" w:hAnsi="Times" w:cs="Times"/>
          <w:sz w:val="24"/>
          <w:sz-cs w:val="24"/>
          <w:color w:val="FD8B09"/>
        </w:rPr>
        <w:t xml:space="preserve">au salarié</w:t>
      </w:r>
      <w:r>
        <w:rPr>
          <w:rFonts w:ascii="Times" w:hAnsi="Times" w:cs="Times"/>
          <w:sz w:val="24"/>
          <w:sz-cs w:val="24"/>
        </w:rPr>
        <w:t xml:space="preserve"> / les deux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4 – Les conditions générales de vente sont : </w:t>
      </w:r>
      <w:r>
        <w:rPr>
          <w:rFonts w:ascii="Times" w:hAnsi="Times" w:cs="Times"/>
          <w:sz w:val="24"/>
          <w:sz-cs w:val="24"/>
          <w:color w:val="FD8B09"/>
        </w:rPr>
        <w:t xml:space="preserve">obligatoires</w:t>
      </w:r>
      <w:r>
        <w:rPr>
          <w:rFonts w:ascii="Times" w:hAnsi="Times" w:cs="Times"/>
          <w:sz w:val="24"/>
          <w:sz-cs w:val="24"/>
        </w:rPr>
        <w:t xml:space="preserve"> / fortement conseillées / facultatives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5 – Les conditions générales d’utilisation sont ce qu’on appelle des : </w:t>
      </w:r>
      <w:r>
        <w:rPr>
          <w:rFonts w:ascii="Times" w:hAnsi="Times" w:cs="Times"/>
          <w:sz w:val="24"/>
          <w:sz-cs w:val="24"/>
          <w:color w:val="FD8B09"/>
        </w:rPr>
        <w:t xml:space="preserve">contrats d’adhésion</w:t>
      </w:r>
      <w:r>
        <w:rPr>
          <w:rFonts w:ascii="Times" w:hAnsi="Times" w:cs="Times"/>
          <w:sz w:val="24"/>
          <w:sz-cs w:val="24"/>
        </w:rPr>
        <w:t xml:space="preserve"> / contrats négociés / contrats globaux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6 – Qu’est-ce qu’une clause pénale ? une infraction pénale / une clause interdite et nulle / </w:t>
      </w:r>
      <w:r>
        <w:rPr>
          <w:rFonts w:ascii="Times" w:hAnsi="Times" w:cs="Times"/>
          <w:sz w:val="24"/>
          <w:sz-cs w:val="24"/>
          <w:color w:val="FD8B09"/>
        </w:rPr>
        <w:t xml:space="preserve">une clause d’indemnisation financière en cas de manquement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7 – Le recours à la médiation est une : </w:t>
      </w:r>
      <w:r>
        <w:rPr>
          <w:rFonts w:ascii="Times" w:hAnsi="Times" w:cs="Times"/>
          <w:sz w:val="24"/>
          <w:sz-cs w:val="24"/>
          <w:color w:val="FD8B09"/>
        </w:rPr>
        <w:t xml:space="preserve">incitation</w:t>
      </w:r>
      <w:r>
        <w:rPr>
          <w:rFonts w:ascii="Times" w:hAnsi="Times" w:cs="Times"/>
          <w:sz w:val="24"/>
          <w:sz-cs w:val="24"/>
        </w:rPr>
        <w:t xml:space="preserve"> / obligation / interdiction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8 –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>Réponse courte attendue (quelques lignes) :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Question 9 – J’ai développé une application mobile, quels documents juridiques dois-je mettre en place ? 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Conditions générales d’utilisation sont obligatoire lors d’un déploiement d’application mobile gratuite. Lors de la publication sur le playstore, c’est le seul document nécessaire au déploiement de l’application.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Si Celle ci est payante il est important de posséder des conditions générales de ventes précisant les modalités de payement.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Margaux  GROINE</dc:creator>
</cp:coreProperties>
</file>

<file path=docProps/meta.xml><?xml version="1.0" encoding="utf-8"?>
<meta xmlns="http://schemas.apple.com/cocoa/2006/metadata">
  <generator>CocoaOOXMLWriter/1894.6</generator>
</meta>
</file>