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PROJECT 1: Symbolic-Topological Framework for Physical Systems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Unified Symbolic-Topological Framework for Modeling, Predicting, and Controlling Physical Systems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Physical systems—across classical, quantum, thermodynamic, and multi-agent domains—exhibit dynamics that are often nonlinear, heterogeneous, and span symbolic, continuous, and discrete representations. Existing modeling paradigms either lack generality, are black-box and unprovable, or fail to scale across physical regimes. This project proposes the development of a unified symbolic-topological framework that integrates advanced mathematics and modern AI to model and control general physical systems in a way that is interpretable, verifiable, and composable.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framework uses tools from sheaf theory, noncommutative geometry, and topos logic to encode local and global system laws, while symbolic PDE solvers, dynamic graph theory, and meta-learned control policies enable adaptive simulation and policy learning. A custom domain-specific language (DSL) forms the foundation for expressing physical systems across domains, with built-in support for symbolic reasoning, thermodynamic constraints, hybrid quantum-classical systems, and game-theoretic multi-agent environments.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deliverables include: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formal DSL and type system for physical systems;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symbolic-numeric solver stack for PDEs and invariants;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meta-learning pipeline for provable and efficient control;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web-based interactive simulation engine for open access.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build a bridge between rigorous symbolic logic and scalable computational models—offering a new way for how we understand, simulate, and control the physical world.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