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"/>
        <w:gridCol w:w="298"/>
        <w:gridCol w:w="7942"/>
      </w:tblGrid>
      <w:tr w:rsidR="00197DF8" w:rsidRPr="00197DF8" w:rsidTr="00197DF8">
        <w:trPr>
          <w:tblCellSpacing w:w="7" w:type="dxa"/>
        </w:trPr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802E2C" w:rsidRDefault="00802E2C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Correção AM 2019 _Engenharia 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Computação_Noturno</w:t>
            </w:r>
            <w:proofErr w:type="spellEnd"/>
          </w:p>
          <w:p w:rsidR="00285D48" w:rsidRDefault="00285D4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  <w:p w:rsidR="00285D48" w:rsidRDefault="00285D4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Prof. Dr. Demerval</w:t>
            </w:r>
            <w:bookmarkStart w:id="0" w:name="_GoBack"/>
            <w:bookmarkEnd w:id="0"/>
          </w:p>
          <w:p w:rsidR="00802E2C" w:rsidRDefault="00802E2C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1.Identifique a(s) alternativa(s) correta(s). A transição apara a indústria 4.0 emprega com mais intensidade a modelagem de processos para gerenciar a customização de produtos e serviços, como: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I. Os processos de negócio permitem construir um método unificado para obter a sequência mais eficiente em cada uma das suas atividades para obter de produtos e serviços com indicadores de melhor qualidade. O primeiro contato com a modelagem de processos ocorreu com o sistema de reserva de passagens da companhia aérea, no qual cada atividade era pré-condição para as demais, por exemplo: SE existem assentos disponíveis, então continuar reservas, SE pagamento efetuado, então confirmar voo. </w:t>
            </w:r>
            <w:r w:rsidRPr="00197D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A customização de produtos e serviços dispensa o domínio das várias maneiras de produzir, 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portanto sequências diferentes, equipamentos envolvidos e metodologia de integração com parceiros e fornecedores.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II. A modelagem de processos permite que alguns sistemas gerenciais, como por exemplo o ERP, coletem dados em diversas áreas funcionais. Ainda no caso da companhia aérea, foi possível coletar os dados referentes ao número de voos confirmados para o consumidor no site e compará-los com voos cancelados a fim de medir a produtividade da empresa.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III. A abordagem de processos permite também, já sob efeito da transição da indústria 4.0, o desenvolvimento de sistemas </w:t>
            </w:r>
            <w:proofErr w:type="spellStart"/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interorganizacionais</w:t>
            </w:r>
            <w:proofErr w:type="spellEnd"/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(várias empresas) que geram redes de conexões entre: montadoras, parceiros e fornecedores, como a logística inteligente que monitora desde a produção nos parceiros e fornecedores até a distribuição para os segmentos de cliente.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2E8B57"/>
                <w:sz w:val="24"/>
                <w:szCs w:val="24"/>
                <w:lang w:eastAsia="pt-BR"/>
              </w:rPr>
              <w:t>- Pergunta validada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A)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Alternativas I e 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72C4" w:themeColor="accent1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Cs/>
                <w:color w:val="4472C4" w:themeColor="accent1"/>
                <w:sz w:val="24"/>
                <w:szCs w:val="24"/>
                <w:lang w:eastAsia="pt-BR"/>
              </w:rPr>
              <w:t>B)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72C4" w:themeColor="accent1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4472C4" w:themeColor="accent1"/>
                <w:sz w:val="24"/>
                <w:szCs w:val="24"/>
                <w:lang w:eastAsia="pt-BR"/>
              </w:rPr>
              <w:t xml:space="preserve">Alternativas II e III.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Alternativas I, II e III.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Alternativas I e III.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E)</w:t>
            </w:r>
          </w:p>
        </w:tc>
        <w:tc>
          <w:tcPr>
            <w:tcW w:w="0" w:type="auto"/>
            <w:vAlign w:val="center"/>
            <w:hideMark/>
          </w:tcPr>
          <w:p w:rsid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Alternativas II. </w:t>
            </w:r>
          </w:p>
          <w:p w:rsid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881"/>
            </w:tblGrid>
            <w:tr w:rsidR="00197DF8" w:rsidTr="00197DF8">
              <w:tc>
                <w:tcPr>
                  <w:tcW w:w="7881" w:type="dxa"/>
                </w:tcPr>
                <w:p w:rsidR="00197DF8" w:rsidRPr="00197DF8" w:rsidRDefault="00197DF8" w:rsidP="00197DF8">
                  <w:pP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  <w:lang w:eastAsia="pt-BR"/>
                    </w:rPr>
                  </w:pPr>
                  <w:r w:rsidRPr="00197DF8">
                    <w:rPr>
                      <w:rFonts w:ascii="Times New Roman" w:eastAsia="Times New Roman" w:hAnsi="Times New Roman" w:cs="Times New Roman"/>
                      <w:b/>
                      <w:color w:val="FF0000"/>
                      <w:sz w:val="24"/>
                      <w:szCs w:val="24"/>
                      <w:lang w:eastAsia="pt-BR"/>
                    </w:rPr>
                    <w:t>No item I a customização dispensa o domínio de várias maneiras de produzir não dispensa, requer o domínio de várias maneiras de produzir.</w:t>
                  </w:r>
                </w:p>
              </w:tc>
            </w:tr>
          </w:tbl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gridSpan w:val="3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2)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Identifique a(s) alternativa(s) correta(s). A indústria 4.0 revê o ciclo o Ciclo Dados, Informação e Conhecimento (DIC) ao: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I. A transição para a Indústria 4.0 está implantando a arquitetura 5C que automatiza desde os níveis básicos de coleta de dados as atividades de inteligência em tempo real. O maior número de dados é transformado em um vasto repertório de equações que geram informação e em função das experiência das suas aplicações geram conhecimento.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II. Vale reforçar que as máquinas trocam equações entre si desde o primeiro nível 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(conexão inteligente). Apenas no pen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ú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ltimo nível está prevista interação com o seres humanos.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III. A integração dentro do time humano é dispensável, na medida em que os sistemas podem automatizar processos autonomamente. 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2E8B57"/>
                <w:sz w:val="24"/>
                <w:szCs w:val="24"/>
                <w:lang w:eastAsia="pt-BR"/>
              </w:rPr>
              <w:t>- Pergunta validada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472C4" w:themeColor="accent1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472C4" w:themeColor="accent1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lang w:eastAsia="pt-BR"/>
              </w:rPr>
              <w:t>A)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472C4" w:themeColor="accent1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color w:val="4472C4" w:themeColor="accent1"/>
                <w:sz w:val="24"/>
                <w:szCs w:val="24"/>
                <w:lang w:eastAsia="pt-BR"/>
              </w:rPr>
              <w:t xml:space="preserve">Alternativas I e 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B)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Alternativas II e III.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Alternativas I, II e III.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Alternativas I e III.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E)</w:t>
            </w:r>
          </w:p>
        </w:tc>
        <w:tc>
          <w:tcPr>
            <w:tcW w:w="0" w:type="auto"/>
            <w:vAlign w:val="center"/>
            <w:hideMark/>
          </w:tcPr>
          <w:p w:rsid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 I. </w:t>
            </w:r>
          </w:p>
          <w:p w:rsid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881"/>
            </w:tblGrid>
            <w:tr w:rsidR="00197DF8" w:rsidTr="00197DF8">
              <w:tc>
                <w:tcPr>
                  <w:tcW w:w="7881" w:type="dxa"/>
                </w:tcPr>
                <w:p w:rsidR="00197DF8" w:rsidRPr="00197DF8" w:rsidRDefault="00197DF8" w:rsidP="00197DF8">
                  <w:pP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  <w:lang w:eastAsia="pt-BR"/>
                    </w:rPr>
                  </w:pPr>
                  <w:r w:rsidRPr="00197DF8">
                    <w:rPr>
                      <w:rFonts w:ascii="Times New Roman" w:eastAsia="Times New Roman" w:hAnsi="Times New Roman" w:cs="Times New Roman"/>
                      <w:b/>
                      <w:color w:val="ED7D31" w:themeColor="accent2"/>
                      <w:sz w:val="24"/>
                      <w:szCs w:val="24"/>
                      <w:lang w:eastAsia="pt-BR"/>
                    </w:rPr>
                    <w:t>A interação no time humano é extremamente relevante para a tirar proveito da integração com o sistema.</w:t>
                  </w:r>
                </w:p>
              </w:tc>
            </w:tr>
          </w:tbl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gridSpan w:val="3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3)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Identifique a(s) alternativa(s) correta(s). A transição para a indústria 4.0 reflete a visão de integração em diversas áreas de atividade das empresas, conforme visto no caso do Planejamento de Recursos Empresariais (ERP) aplicado à fábrica de lapiseiras revelou: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I. O caso demonstra como a produção foi dividida em processos, com cada atividade especificada com metas de previsão e resultado no Registro Básico. Nesse último, os relatórios específicos identificam resultados diferentes do previsto, por exemplo em relação ao estoque disponível, quantidade de mão de obra, lotes produzidos por tempo.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II. Como exemplo desse monitoramento: o sistema identificou o estoque e o tempo acima da meta em uma das atividades de integração na lapiseira como uma das causas para retardar o crescimento dos lotes produzidos corretamente. Ainda nesse exemplo: o sistema empregou os indicadores do Registro Básico como critério de comparação.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III. A integração interfuncional de módulos no ERP permite também a análise financeira das perdas já que a produção de lotes corretos afeta o retorno financeiro sob a forma da equação de regressão de ganhos financeiros (variável dependente) em função de lotes produzidos corretamente (variável independente).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2E8B57"/>
                <w:sz w:val="24"/>
                <w:szCs w:val="24"/>
                <w:lang w:eastAsia="pt-BR"/>
              </w:rPr>
              <w:t>- Pergunta validada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A)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Alternativas I e 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B)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Alternativas II e III.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  <w:lang w:eastAsia="pt-BR"/>
              </w:rPr>
              <w:t>C)</w:t>
            </w:r>
          </w:p>
        </w:tc>
        <w:tc>
          <w:tcPr>
            <w:tcW w:w="0" w:type="auto"/>
            <w:vAlign w:val="center"/>
            <w:hideMark/>
          </w:tcPr>
          <w:p w:rsidR="00197DF8" w:rsidRPr="00AB115A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pt-BR"/>
              </w:rPr>
            </w:pPr>
            <w:r w:rsidRPr="00AB115A">
              <w:rPr>
                <w:rFonts w:ascii="Times New Roman" w:eastAsia="Times New Roman" w:hAnsi="Times New Roman" w:cs="Times New Roman"/>
                <w:b/>
                <w:color w:val="4472C4" w:themeColor="accent1"/>
                <w:sz w:val="24"/>
                <w:szCs w:val="24"/>
                <w:lang w:eastAsia="pt-BR"/>
              </w:rPr>
              <w:t xml:space="preserve">Alternativas I, II e III.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Alternativas I e III.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E)</w:t>
            </w:r>
          </w:p>
        </w:tc>
        <w:tc>
          <w:tcPr>
            <w:tcW w:w="0" w:type="auto"/>
            <w:vAlign w:val="center"/>
            <w:hideMark/>
          </w:tcPr>
          <w:p w:rsid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Alternativas II. </w:t>
            </w:r>
          </w:p>
          <w:p w:rsid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881"/>
            </w:tblGrid>
            <w:tr w:rsidR="00197DF8" w:rsidTr="00197DF8">
              <w:tc>
                <w:tcPr>
                  <w:tcW w:w="7881" w:type="dxa"/>
                </w:tcPr>
                <w:p w:rsidR="00197DF8" w:rsidRDefault="00197DF8" w:rsidP="00197DF8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02E2C">
                    <w:rPr>
                      <w:rFonts w:ascii="Times New Roman" w:eastAsia="Times New Roman" w:hAnsi="Times New Roman" w:cs="Times New Roman"/>
                      <w:color w:val="4472C4" w:themeColor="accent1"/>
                      <w:sz w:val="24"/>
                      <w:szCs w:val="24"/>
                      <w:lang w:eastAsia="pt-BR"/>
                    </w:rPr>
                    <w:t xml:space="preserve">Para responder esse exercício é necessário uma visão de conjunto do exercício. Os relatórios específicos </w:t>
                  </w:r>
                  <w:r w:rsidR="00802E2C" w:rsidRPr="00802E2C">
                    <w:rPr>
                      <w:rFonts w:ascii="Times New Roman" w:eastAsia="Times New Roman" w:hAnsi="Times New Roman" w:cs="Times New Roman"/>
                      <w:color w:val="4472C4" w:themeColor="accent1"/>
                      <w:sz w:val="24"/>
                      <w:szCs w:val="24"/>
                      <w:lang w:eastAsia="pt-BR"/>
                    </w:rPr>
                    <w:t>adotam diversos comparativos estoque, quantidade de mão de obra e lotes produzidos por tempo. Realiza comparativos com base no registro básico e integra com a análise financeira de perdas.</w:t>
                  </w:r>
                </w:p>
              </w:tc>
            </w:tr>
          </w:tbl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gridSpan w:val="3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4)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identifique a(s) alternativa(s) correta(s). A transição para a indústria 4.0 coloca a necessidade da metodologia de projeto, pois: 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I. A transição demanda um escopo amplo devido à diversidade de áreas de conhecimento sobre as quais atuará. Em primeiro lugar as suas tecnologias habilitadoras: a Internet da coisas (IOT), etiquetas de rádio frequência (RFID), Robótica e Automação. Em segundo lugar a extensão do mercado atual e as consequências da introdução dos novos produtos e serviços. Capacidade de interatividade com o clientes por meio de canais regulares e envolvimento de times de clientes com times de desenvolvedores para ofertar produtos realmente surpreendentes.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II. A adoção da Indústria 4.0 não significa necessariamente o descarte dos equipamentos e softwares existentes (sistemas legados), mas a necessidade de estudos de como realizar a adaptação desses sistemas anteriores, pois eles servem de referencial de trabalho para os colaboradores internos e externos.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III. As dificuldades de implantação da Indústria 4.0 superam os recursos tecnológicos, envolvem capacidade de análise financeira, uma relativa abordagem de </w:t>
            </w:r>
            <w:r w:rsidRPr="00197DF8">
              <w:rPr>
                <w:rFonts w:ascii="Times New Roman" w:eastAsia="Times New Roman" w:hAnsi="Times New Roman" w:cs="Times New Roman"/>
                <w:color w:val="ED7D31" w:themeColor="accent2"/>
                <w:sz w:val="24"/>
                <w:szCs w:val="24"/>
                <w:lang w:eastAsia="pt-BR"/>
              </w:rPr>
              <w:t>marketing digital e alguma proximidade com o cliente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2E8B57"/>
                <w:sz w:val="24"/>
                <w:szCs w:val="24"/>
                <w:lang w:eastAsia="pt-BR"/>
              </w:rPr>
              <w:t>- Pergunta validada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A)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 I, II e III.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B)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 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 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Alternativas I e III.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  <w:lang w:eastAsia="pt-BR"/>
              </w:rPr>
              <w:t>E)</w:t>
            </w:r>
          </w:p>
        </w:tc>
        <w:tc>
          <w:tcPr>
            <w:tcW w:w="0" w:type="auto"/>
            <w:vAlign w:val="center"/>
            <w:hideMark/>
          </w:tcPr>
          <w:p w:rsidR="00197DF8" w:rsidRPr="00802E2C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472C4" w:themeColor="accent1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color w:val="4472C4" w:themeColor="accent1"/>
                <w:sz w:val="24"/>
                <w:szCs w:val="24"/>
                <w:lang w:eastAsia="pt-BR"/>
              </w:rPr>
              <w:t xml:space="preserve">Alternativas I e II. </w:t>
            </w:r>
          </w:p>
          <w:p w:rsidR="00802E2C" w:rsidRDefault="00802E2C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881"/>
            </w:tblGrid>
            <w:tr w:rsidR="00802E2C" w:rsidTr="00802E2C">
              <w:tc>
                <w:tcPr>
                  <w:tcW w:w="7881" w:type="dxa"/>
                </w:tcPr>
                <w:p w:rsidR="00802E2C" w:rsidRPr="00802E2C" w:rsidRDefault="00802E2C" w:rsidP="00197DF8">
                  <w:pP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  <w:lang w:eastAsia="pt-BR"/>
                    </w:rPr>
                  </w:pPr>
                  <w:r w:rsidRPr="00802E2C">
                    <w:rPr>
                      <w:rFonts w:ascii="Times New Roman" w:eastAsia="Times New Roman" w:hAnsi="Times New Roman" w:cs="Times New Roman"/>
                      <w:b/>
                      <w:color w:val="ED7D31" w:themeColor="accent2"/>
                      <w:sz w:val="24"/>
                      <w:szCs w:val="24"/>
                      <w:lang w:eastAsia="pt-BR"/>
                    </w:rPr>
                    <w:t>No item III, atenção para com as expressões: “</w:t>
                  </w:r>
                  <w:r w:rsidRPr="00197DF8">
                    <w:rPr>
                      <w:rFonts w:ascii="Times New Roman" w:eastAsia="Times New Roman" w:hAnsi="Times New Roman" w:cs="Times New Roman"/>
                      <w:b/>
                      <w:color w:val="ED7D31" w:themeColor="accent2"/>
                      <w:sz w:val="24"/>
                      <w:szCs w:val="24"/>
                      <w:lang w:eastAsia="pt-BR"/>
                    </w:rPr>
                    <w:t>uma relativa abordagem de marketing digital e alguma proximidade com o cliente.</w:t>
                  </w:r>
                  <w:r w:rsidRPr="00802E2C">
                    <w:rPr>
                      <w:rFonts w:ascii="Times New Roman" w:eastAsia="Times New Roman" w:hAnsi="Times New Roman" w:cs="Times New Roman"/>
                      <w:b/>
                      <w:color w:val="ED7D31" w:themeColor="accent2"/>
                      <w:sz w:val="24"/>
                      <w:szCs w:val="24"/>
                      <w:lang w:eastAsia="pt-BR"/>
                    </w:rPr>
                    <w:t>” Ela está invertida, na realidade, é necessária uma excelente abordagem de marketing digital.</w:t>
                  </w:r>
                  <w:r w:rsidRPr="00197DF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  <w:lang w:eastAsia="pt-BR"/>
                    </w:rPr>
                    <w:br/>
                  </w:r>
                </w:p>
              </w:tc>
            </w:tr>
          </w:tbl>
          <w:p w:rsidR="00802E2C" w:rsidRPr="00197DF8" w:rsidRDefault="00802E2C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gridSpan w:val="3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5)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Identifique a(s) alternativa(s) correta(s). A relação da logística inteligente com os sistemas cyber físicos é um dos pontos relevantes da transição para a Indústria 4,0, ao: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I. A integração se dá pelo intercâmbio de informações entre as empresas das demandas de rotas e a produção em andamento na rede de negócios. As rotas de ida (carregamento) devem coincidir com o tempo de finalização dos lotes na fábrica. Para tal fim cada atividade na rede de negócios (montadora, parceiros e fornecedores) teve o seu desempenho rigorosamente monitorado para garantir o número de saída de cada atividade confiável para garantir a disponibilidade do lote para as atividades seguintes, o que garante o lote no tempo correto para o carregamento da empresa de logística.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II. O monitoramento de metas (lotes corretos e com problemas) contribuem para o cálculo do retorno financeiro de lote e da operação como um todo. O monitoramento em tempo real também permite projetar os impactos do controle de qualidade nas 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estimativas de serviços de pós-venda (por exemplo assistência técnica) nos níveis estratégicos do sistema, como por exemplo um ERP.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II. O sistema </w:t>
            </w:r>
            <w:proofErr w:type="spellStart"/>
            <w:r w:rsidR="00D80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yberfísico</w:t>
            </w:r>
            <w:proofErr w:type="spellEnd"/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reduz para próximo de zero as perdas nas atividades, mas apresenta o diagnóstico de controle de tempo deficiente, porém pode corrigir com </w:t>
            </w:r>
            <w:r w:rsidRPr="00197DF8">
              <w:rPr>
                <w:rFonts w:ascii="Times New Roman" w:eastAsia="Times New Roman" w:hAnsi="Times New Roman" w:cs="Times New Roman"/>
                <w:color w:val="ED7D31" w:themeColor="accent2"/>
                <w:sz w:val="24"/>
                <w:szCs w:val="24"/>
                <w:lang w:eastAsia="pt-BR"/>
              </w:rPr>
              <w:t xml:space="preserve">algum sucesso ao longo da linha. 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197DF8">
              <w:rPr>
                <w:rFonts w:ascii="Times New Roman" w:eastAsia="Times New Roman" w:hAnsi="Times New Roman" w:cs="Times New Roman"/>
                <w:color w:val="2E8B57"/>
                <w:sz w:val="24"/>
                <w:szCs w:val="24"/>
                <w:lang w:eastAsia="pt-BR"/>
              </w:rPr>
              <w:t>- Pergunta validada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A)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Alternativas I, II e III.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B)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Alternativas I e III.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Alternativas I, II e III.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  <w:lang w:eastAsia="pt-BR"/>
              </w:rPr>
              <w:t>D)</w:t>
            </w:r>
          </w:p>
        </w:tc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AB115A">
              <w:rPr>
                <w:rFonts w:ascii="Times New Roman" w:eastAsia="Times New Roman" w:hAnsi="Times New Roman" w:cs="Times New Roman"/>
                <w:b/>
                <w:color w:val="4472C4" w:themeColor="accent1"/>
                <w:sz w:val="24"/>
                <w:szCs w:val="24"/>
                <w:lang w:eastAsia="pt-BR"/>
              </w:rPr>
              <w:t>Alternativas I e II</w:t>
            </w: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. </w:t>
            </w: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0" w:type="pct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E)</w:t>
            </w:r>
          </w:p>
        </w:tc>
        <w:tc>
          <w:tcPr>
            <w:tcW w:w="0" w:type="auto"/>
            <w:vAlign w:val="center"/>
            <w:hideMark/>
          </w:tcPr>
          <w:p w:rsid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Alternativa I. </w:t>
            </w:r>
          </w:p>
          <w:p w:rsidR="00802E2C" w:rsidRDefault="00802E2C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881"/>
            </w:tblGrid>
            <w:tr w:rsidR="00802E2C" w:rsidTr="00802E2C">
              <w:tc>
                <w:tcPr>
                  <w:tcW w:w="7881" w:type="dxa"/>
                </w:tcPr>
                <w:p w:rsidR="00802E2C" w:rsidRDefault="00802E2C" w:rsidP="00197DF8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02E2C">
                    <w:rPr>
                      <w:rFonts w:ascii="Times New Roman" w:eastAsia="Times New Roman" w:hAnsi="Times New Roman" w:cs="Times New Roman"/>
                      <w:color w:val="70AD47" w:themeColor="accent6"/>
                      <w:sz w:val="24"/>
                      <w:szCs w:val="24"/>
                      <w:lang w:eastAsia="pt-BR"/>
                    </w:rPr>
                    <w:t>A expressão “</w:t>
                  </w:r>
                  <w:r w:rsidRPr="00197DF8">
                    <w:rPr>
                      <w:rFonts w:ascii="Times New Roman" w:eastAsia="Times New Roman" w:hAnsi="Times New Roman" w:cs="Times New Roman"/>
                      <w:color w:val="70AD47" w:themeColor="accent6"/>
                      <w:sz w:val="24"/>
                      <w:szCs w:val="24"/>
                      <w:lang w:eastAsia="pt-BR"/>
                    </w:rPr>
                    <w:t>algum sucesso ao longo da linha</w:t>
                  </w:r>
                  <w:r w:rsidRPr="00802E2C">
                    <w:rPr>
                      <w:rFonts w:ascii="Times New Roman" w:eastAsia="Times New Roman" w:hAnsi="Times New Roman" w:cs="Times New Roman"/>
                      <w:color w:val="70AD47" w:themeColor="accent6"/>
                      <w:sz w:val="24"/>
                      <w:szCs w:val="24"/>
                      <w:lang w:eastAsia="pt-BR"/>
                    </w:rPr>
                    <w:t>”  transforma em incorreta a alternativa III.</w:t>
                  </w:r>
                </w:p>
              </w:tc>
            </w:tr>
          </w:tbl>
          <w:p w:rsidR="00802E2C" w:rsidRPr="00197DF8" w:rsidRDefault="00802E2C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197DF8" w:rsidRPr="00197DF8" w:rsidTr="00197DF8">
        <w:trPr>
          <w:tblCellSpacing w:w="7" w:type="dxa"/>
        </w:trPr>
        <w:tc>
          <w:tcPr>
            <w:tcW w:w="0" w:type="auto"/>
            <w:gridSpan w:val="3"/>
            <w:vAlign w:val="center"/>
            <w:hideMark/>
          </w:tcPr>
          <w:p w:rsidR="00197DF8" w:rsidRPr="00197DF8" w:rsidRDefault="00197DF8" w:rsidP="00197D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97D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</w:tbl>
    <w:p w:rsidR="00FC7518" w:rsidRPr="00197DF8" w:rsidRDefault="00FC7518">
      <w:pPr>
        <w:rPr>
          <w:rFonts w:ascii="Times New Roman" w:hAnsi="Times New Roman" w:cs="Times New Roman"/>
          <w:sz w:val="24"/>
          <w:szCs w:val="24"/>
        </w:rPr>
      </w:pPr>
    </w:p>
    <w:sectPr w:rsidR="00FC7518" w:rsidRPr="00197D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A49EF"/>
    <w:multiLevelType w:val="hybridMultilevel"/>
    <w:tmpl w:val="1C1804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F8"/>
    <w:rsid w:val="00197DF8"/>
    <w:rsid w:val="00285D48"/>
    <w:rsid w:val="00802E2C"/>
    <w:rsid w:val="009A0E6D"/>
    <w:rsid w:val="00A75F14"/>
    <w:rsid w:val="00AB115A"/>
    <w:rsid w:val="00CE628E"/>
    <w:rsid w:val="00D805E3"/>
    <w:rsid w:val="00F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A237"/>
  <w15:chartTrackingRefBased/>
  <w15:docId w15:val="{7288DC83-CCEE-4DD3-92CF-DAA7E26C8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97DF8"/>
    <w:pPr>
      <w:ind w:left="720"/>
      <w:contextualSpacing/>
    </w:pPr>
  </w:style>
  <w:style w:type="table" w:styleId="Tabelacomgrade">
    <w:name w:val="Table Grid"/>
    <w:basedOn w:val="Tabelanormal"/>
    <w:uiPriority w:val="39"/>
    <w:rsid w:val="00197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20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1234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4</cp:revision>
  <dcterms:created xsi:type="dcterms:W3CDTF">2019-05-13T16:33:00Z</dcterms:created>
  <dcterms:modified xsi:type="dcterms:W3CDTF">2019-05-14T17:22:00Z</dcterms:modified>
</cp:coreProperties>
</file>