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518" w:rsidRPr="00847A8F" w:rsidRDefault="00A05468">
      <w:p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09. Guia de Estudos II para AM 2019</w:t>
      </w:r>
    </w:p>
    <w:p w:rsidR="00A05468" w:rsidRPr="00847A8F" w:rsidRDefault="00A05468">
      <w:p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Plano de estudos:</w:t>
      </w:r>
    </w:p>
    <w:p w:rsidR="004B1EBD" w:rsidRPr="00847A8F" w:rsidRDefault="004B1EBD">
      <w:p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Continuidade do Guia 08 voltado para a AM.</w:t>
      </w:r>
    </w:p>
    <w:p w:rsidR="00A05468" w:rsidRPr="00847A8F" w:rsidRDefault="00A05468" w:rsidP="00A0546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Objetivos:</w:t>
      </w:r>
    </w:p>
    <w:p w:rsidR="00A05468" w:rsidRPr="00847A8F" w:rsidRDefault="00A05468" w:rsidP="00A05468">
      <w:pPr>
        <w:pStyle w:val="PargrafodaLista"/>
        <w:rPr>
          <w:b/>
          <w:sz w:val="24"/>
          <w:szCs w:val="24"/>
        </w:rPr>
      </w:pPr>
    </w:p>
    <w:p w:rsidR="00A05468" w:rsidRPr="00847A8F" w:rsidRDefault="00A05468" w:rsidP="00A05468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Elevar a capacidade de respostas dos alunos aos métodos de indução ao erro.</w:t>
      </w:r>
    </w:p>
    <w:p w:rsidR="00A05468" w:rsidRPr="00847A8F" w:rsidRDefault="00A05468" w:rsidP="00A05468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Relembrar e consolidar de vez a integração entre conceitos de Sistemas de informação (base para a avaliação de AM) e as abordagens quantitativas (base da avaliação da Prova Semestral).</w:t>
      </w:r>
    </w:p>
    <w:p w:rsidR="00A05468" w:rsidRPr="00847A8F" w:rsidRDefault="00A05468" w:rsidP="00A05468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Garantir a capacidade de concentração e gestão de tempo durante a prova.</w:t>
      </w:r>
    </w:p>
    <w:p w:rsidR="00A05468" w:rsidRPr="00847A8F" w:rsidRDefault="00A05468" w:rsidP="00A05468">
      <w:pPr>
        <w:pStyle w:val="PargrafodaLista"/>
        <w:rPr>
          <w:b/>
          <w:sz w:val="24"/>
          <w:szCs w:val="24"/>
        </w:rPr>
      </w:pPr>
    </w:p>
    <w:p w:rsidR="00A05468" w:rsidRPr="00847A8F" w:rsidRDefault="006C1C67" w:rsidP="00A05468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Localização</w:t>
      </w:r>
      <w:r w:rsidR="00A05468" w:rsidRPr="00847A8F">
        <w:rPr>
          <w:b/>
          <w:sz w:val="24"/>
          <w:szCs w:val="24"/>
        </w:rPr>
        <w:t xml:space="preserve"> </w:t>
      </w:r>
      <w:r w:rsidR="00DA6004" w:rsidRPr="00847A8F">
        <w:rPr>
          <w:b/>
          <w:sz w:val="24"/>
          <w:szCs w:val="24"/>
        </w:rPr>
        <w:t>dos</w:t>
      </w:r>
      <w:r w:rsidR="00A05468" w:rsidRPr="00847A8F">
        <w:rPr>
          <w:b/>
          <w:sz w:val="24"/>
          <w:szCs w:val="24"/>
        </w:rPr>
        <w:t xml:space="preserve"> conteúdos</w:t>
      </w:r>
      <w:r w:rsidR="00DA6004" w:rsidRPr="00847A8F">
        <w:rPr>
          <w:b/>
          <w:sz w:val="24"/>
          <w:szCs w:val="24"/>
        </w:rPr>
        <w:t xml:space="preserve"> abordados</w:t>
      </w:r>
    </w:p>
    <w:p w:rsidR="00A05468" w:rsidRPr="00847A8F" w:rsidRDefault="00A05468" w:rsidP="00A05468">
      <w:pPr>
        <w:pStyle w:val="PargrafodaLista"/>
        <w:numPr>
          <w:ilvl w:val="0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PPT “Introdução a Sistemas de Informação V 2019 – Prof. Demerval”</w:t>
      </w:r>
    </w:p>
    <w:p w:rsidR="00A05468" w:rsidRPr="00847A8F" w:rsidRDefault="00A05468" w:rsidP="00A05468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Processos, atividades, Ciclo DIC (Dados, Informação e Conhecimento)</w:t>
      </w:r>
    </w:p>
    <w:p w:rsidR="00A05468" w:rsidRPr="00847A8F" w:rsidRDefault="00A05468" w:rsidP="00A05468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Introdução à arquitetura convencional e Arquitetura 5 C</w:t>
      </w:r>
    </w:p>
    <w:p w:rsidR="00A05468" w:rsidRPr="00847A8F" w:rsidRDefault="00A05468" w:rsidP="00A05468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Transição para a Indústria 4.0</w:t>
      </w:r>
    </w:p>
    <w:p w:rsidR="00DA6004" w:rsidRPr="00847A8F" w:rsidRDefault="00DA6004" w:rsidP="00DA6004">
      <w:pPr>
        <w:pStyle w:val="PargrafodaLista"/>
        <w:numPr>
          <w:ilvl w:val="0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PPT “CAP 03. Material de apoio à modelagem de processos”</w:t>
      </w:r>
    </w:p>
    <w:p w:rsidR="00DA6004" w:rsidRPr="00847A8F" w:rsidRDefault="00DA6004" w:rsidP="00DA6004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Integração de processos e atividades em uma ferramenta gerencial de grande porte (ERP)</w:t>
      </w:r>
    </w:p>
    <w:p w:rsidR="00DA6004" w:rsidRPr="00847A8F" w:rsidRDefault="00DA6004" w:rsidP="00DA6004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O Registro Básico como instrumento de monitoramento em tempo real.</w:t>
      </w:r>
    </w:p>
    <w:p w:rsidR="00DA6004" w:rsidRPr="00847A8F" w:rsidRDefault="00DA6004" w:rsidP="00DA6004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O exemplo revela as capacidades de processamento inteligente além dos relatórios de erro.</w:t>
      </w:r>
    </w:p>
    <w:p w:rsidR="00DA6004" w:rsidRPr="00847A8F" w:rsidRDefault="00DA6004" w:rsidP="00DA6004">
      <w:pPr>
        <w:pStyle w:val="PargrafodaLista"/>
        <w:numPr>
          <w:ilvl w:val="0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Word “03. Exercícios _Sistemas de Informação e Resultados empresariais”</w:t>
      </w:r>
    </w:p>
    <w:p w:rsidR="00DA6004" w:rsidRPr="00847A8F" w:rsidRDefault="00DA6004" w:rsidP="00DA6004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 xml:space="preserve">Transição para a Indústria 4.0 em particular os circuitos integrados inteligentes que são a base </w:t>
      </w:r>
      <w:r w:rsidR="006C1C67" w:rsidRPr="00847A8F">
        <w:rPr>
          <w:b/>
          <w:sz w:val="24"/>
          <w:szCs w:val="24"/>
        </w:rPr>
        <w:t>da transição para  o novo modelo.</w:t>
      </w:r>
    </w:p>
    <w:p w:rsidR="006C1C67" w:rsidRPr="00847A8F" w:rsidRDefault="006C1C67" w:rsidP="00DA6004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A metodologia de projetos (aplicada ao caso) que explorou o ciclo DIC a partir da organização das tabelas de encomendas confrontada com dados do mercado em geral.</w:t>
      </w:r>
    </w:p>
    <w:p w:rsidR="006C1C67" w:rsidRPr="00847A8F" w:rsidRDefault="004B1EBD" w:rsidP="00DA6004">
      <w:pPr>
        <w:pStyle w:val="PargrafodaLista"/>
        <w:numPr>
          <w:ilvl w:val="1"/>
          <w:numId w:val="5"/>
        </w:numPr>
        <w:rPr>
          <w:b/>
          <w:sz w:val="24"/>
          <w:szCs w:val="24"/>
        </w:rPr>
      </w:pPr>
      <w:r w:rsidRPr="00847A8F">
        <w:rPr>
          <w:b/>
          <w:sz w:val="24"/>
          <w:szCs w:val="24"/>
        </w:rPr>
        <w:t>Os meios de monitoramento da concorrência e as oportunidades da decisão de “sair na frente”.</w:t>
      </w:r>
    </w:p>
    <w:p w:rsidR="00A05468" w:rsidRDefault="00A05468"/>
    <w:p w:rsidR="00847A8F" w:rsidRDefault="00847A8F"/>
    <w:p w:rsidR="004B1EBD" w:rsidRDefault="004B1EBD"/>
    <w:p w:rsidR="00847A8F" w:rsidRDefault="00847A8F"/>
    <w:p w:rsidR="00847A8F" w:rsidRDefault="00847A8F"/>
    <w:p w:rsidR="00847A8F" w:rsidRDefault="00847A8F"/>
    <w:p w:rsidR="00847A8F" w:rsidRDefault="00847A8F"/>
    <w:p w:rsidR="00847A8F" w:rsidRPr="00847A8F" w:rsidRDefault="00847A8F">
      <w:pPr>
        <w:rPr>
          <w:b/>
          <w:sz w:val="28"/>
          <w:szCs w:val="28"/>
        </w:rPr>
      </w:pPr>
      <w:r w:rsidRPr="00847A8F">
        <w:rPr>
          <w:b/>
          <w:sz w:val="28"/>
          <w:szCs w:val="28"/>
        </w:rPr>
        <w:t>Word 3</w:t>
      </w:r>
    </w:p>
    <w:tbl>
      <w:tblPr>
        <w:tblW w:w="5079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1"/>
        <w:gridCol w:w="21"/>
      </w:tblGrid>
      <w:tr w:rsidR="00847A8F" w:rsidRPr="000D6604" w:rsidTr="00A65D3D">
        <w:trPr>
          <w:trHeight w:val="4729"/>
          <w:tblCellSpacing w:w="7" w:type="dxa"/>
        </w:trPr>
        <w:tc>
          <w:tcPr>
            <w:tcW w:w="0" w:type="auto"/>
            <w:gridSpan w:val="2"/>
            <w:vAlign w:val="center"/>
            <w:hideMark/>
          </w:tcPr>
          <w:p w:rsidR="00847A8F" w:rsidRDefault="00847A8F" w:rsidP="00847A8F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ind w:left="0" w:hanging="45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dentifique a(s) alternativa(s) 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correta(s). A 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metodologia de resolução de problemas (PSM) 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também tira proveito da 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modelagem de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processos pelo 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seu apelo à organização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lógica de ações e registro de resultados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.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br/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br/>
              <w:t xml:space="preserve">I. O exemplo da Companhia 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Fábrica da Toshiba na China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é relevante: para ganhar mercado global a empresa decidiu inovar na estratégia de 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produzir circuitos inteligentes como a base para a Indústria 4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.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0. 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</w:t>
            </w:r>
          </w:p>
          <w:p w:rsidR="00847A8F" w:rsidRDefault="00847A8F" w:rsidP="00A65D3D">
            <w:pPr>
              <w:pStyle w:val="PargrafodaLista"/>
              <w:spacing w:after="0" w:line="240" w:lineRule="auto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II. 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O projeto teve início com a constituição da equipe multidisciplinar que organizou os dados disponíveis internamente em relação a encomenda de clientes para poder estimar o tamanho do mercado. A esses números acrescentou as estimativas de grandes empresas de consultoria. 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 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br/>
              <w:t xml:space="preserve">III. 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Integrou ao projeto uma informação muito relevante, os produtores concorrentes não estavam construindo fábricas novas, apenas ampliando a capacidade instalada, o que ampliava as oportunidades de quem fosse capaz de sair na frente.</w:t>
            </w:r>
          </w:p>
          <w:p w:rsidR="00847A8F" w:rsidRDefault="00847A8F" w:rsidP="00A65D3D">
            <w:pPr>
              <w:pStyle w:val="PargrafodaLista"/>
              <w:spacing w:after="0" w:line="240" w:lineRule="auto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Alternativas:</w:t>
            </w:r>
          </w:p>
          <w:p w:rsidR="00847A8F" w:rsidRDefault="00847A8F" w:rsidP="00847A8F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 e II.</w:t>
            </w:r>
          </w:p>
          <w:p w:rsidR="00847A8F" w:rsidRDefault="00847A8F" w:rsidP="00847A8F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I, II e III.</w:t>
            </w:r>
          </w:p>
          <w:p w:rsidR="00847A8F" w:rsidRDefault="00847A8F" w:rsidP="00847A8F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II e III.</w:t>
            </w:r>
          </w:p>
          <w:p w:rsidR="00847A8F" w:rsidRDefault="00847A8F" w:rsidP="00847A8F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II.</w:t>
            </w:r>
          </w:p>
          <w:p w:rsidR="00847A8F" w:rsidRDefault="00847A8F" w:rsidP="00847A8F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III</w:t>
            </w:r>
          </w:p>
          <w:p w:rsidR="00847A8F" w:rsidRDefault="00847A8F" w:rsidP="00A65D3D">
            <w:pPr>
              <w:pStyle w:val="PargrafodaLista"/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tbl>
            <w:tblPr>
              <w:tblStyle w:val="Tabelacomgrade"/>
              <w:tblW w:w="0" w:type="auto"/>
              <w:tblInd w:w="112" w:type="dxa"/>
              <w:tblLook w:val="04A0" w:firstRow="1" w:lastRow="0" w:firstColumn="1" w:lastColumn="0" w:noHBand="0" w:noVBand="1"/>
            </w:tblPr>
            <w:tblGrid>
              <w:gridCol w:w="7452"/>
            </w:tblGrid>
            <w:tr w:rsidR="00847A8F" w:rsidTr="00A65D3D">
              <w:tc>
                <w:tcPr>
                  <w:tcW w:w="8570" w:type="dxa"/>
                </w:tcPr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  <w:p w:rsidR="00847A8F" w:rsidRDefault="00847A8F" w:rsidP="00A65D3D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</w:tc>
            </w:tr>
          </w:tbl>
          <w:p w:rsidR="00847A8F" w:rsidRPr="0047787B" w:rsidRDefault="00847A8F" w:rsidP="00A65D3D">
            <w:pPr>
              <w:pStyle w:val="PargrafodaLista"/>
              <w:spacing w:after="0" w:line="240" w:lineRule="auto"/>
              <w:ind w:left="112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847A8F" w:rsidRPr="000D6604" w:rsidTr="00A65D3D">
        <w:trPr>
          <w:gridAfter w:val="1"/>
          <w:tblCellSpacing w:w="7" w:type="dxa"/>
        </w:trPr>
        <w:tc>
          <w:tcPr>
            <w:tcW w:w="0" w:type="auto"/>
            <w:vAlign w:val="center"/>
          </w:tcPr>
          <w:p w:rsidR="00847A8F" w:rsidRDefault="00847A8F" w:rsidP="00A65D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847A8F" w:rsidRDefault="00847A8F" w:rsidP="00A65D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847A8F" w:rsidRDefault="00847A8F" w:rsidP="00A65D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847A8F" w:rsidRDefault="00847A8F" w:rsidP="00A65D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847A8F" w:rsidRPr="000D6604" w:rsidRDefault="00847A8F" w:rsidP="00A65D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47A8F" w:rsidRPr="000D6604" w:rsidTr="00A65D3D">
        <w:trPr>
          <w:gridAfter w:val="1"/>
          <w:tblCellSpacing w:w="7" w:type="dxa"/>
        </w:trPr>
        <w:tc>
          <w:tcPr>
            <w:tcW w:w="0" w:type="auto"/>
            <w:vAlign w:val="center"/>
          </w:tcPr>
          <w:p w:rsidR="00847A8F" w:rsidRPr="000D6604" w:rsidRDefault="00847A8F" w:rsidP="00A65D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847A8F" w:rsidRPr="000D6604" w:rsidTr="00A65D3D">
        <w:trPr>
          <w:gridAfter w:val="1"/>
          <w:tblCellSpacing w:w="7" w:type="dxa"/>
        </w:trPr>
        <w:tc>
          <w:tcPr>
            <w:tcW w:w="0" w:type="auto"/>
            <w:vAlign w:val="center"/>
          </w:tcPr>
          <w:p w:rsidR="00847A8F" w:rsidRDefault="00847A8F" w:rsidP="00A65D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847A8F" w:rsidRPr="00847A8F" w:rsidRDefault="00847A8F" w:rsidP="00A65D3D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lang w:eastAsia="pt-BR"/>
              </w:rPr>
            </w:pPr>
            <w:r w:rsidRPr="00847A8F"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lang w:eastAsia="pt-BR"/>
              </w:rPr>
              <w:t>PPT 1</w:t>
            </w:r>
            <w:r w:rsidR="00197FD0"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lang w:eastAsia="pt-BR"/>
              </w:rPr>
              <w:t xml:space="preserve"> e PPT 2</w:t>
            </w:r>
          </w:p>
        </w:tc>
      </w:tr>
    </w:tbl>
    <w:p w:rsidR="00847A8F" w:rsidRPr="004C05E5" w:rsidRDefault="00847A8F" w:rsidP="00847A8F">
      <w:pPr>
        <w:pStyle w:val="PargrafodaLista"/>
        <w:numPr>
          <w:ilvl w:val="0"/>
          <w:numId w:val="6"/>
        </w:numPr>
        <w:spacing w:after="200" w:line="276" w:lineRule="auto"/>
        <w:ind w:left="142" w:firstLine="65"/>
        <w:jc w:val="both"/>
        <w:rPr>
          <w:rFonts w:ascii="Arial Black" w:hAnsi="Arial Black"/>
        </w:rPr>
      </w:pPr>
      <w:r>
        <w:rPr>
          <w:rFonts w:ascii="Arial Black" w:eastAsia="Times New Roman" w:hAnsi="Arial Black" w:cs="Arial"/>
          <w:color w:val="000000"/>
          <w:lang w:eastAsia="pt-BR"/>
        </w:rPr>
        <w:t xml:space="preserve">Identifique a(s) alternativas corretas. 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t xml:space="preserve">Outra contribuição da modelagem de </w:t>
      </w:r>
      <w:r>
        <w:rPr>
          <w:rFonts w:ascii="Arial Black" w:eastAsia="Times New Roman" w:hAnsi="Arial Black" w:cs="Arial"/>
          <w:color w:val="000000"/>
          <w:lang w:eastAsia="pt-BR"/>
        </w:rPr>
        <w:t>processos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t xml:space="preserve"> se refere ao ciclo dados, informação e conhecim</w:t>
      </w:r>
      <w:r>
        <w:rPr>
          <w:rFonts w:ascii="Arial Black" w:eastAsia="Times New Roman" w:hAnsi="Arial Black" w:cs="Arial"/>
          <w:color w:val="000000"/>
          <w:lang w:eastAsia="pt-BR"/>
        </w:rPr>
        <w:t>ento</w:t>
      </w:r>
      <w:r>
        <w:rPr>
          <w:rFonts w:ascii="Arial Black" w:eastAsia="Times New Roman" w:hAnsi="Arial Black" w:cs="Arial"/>
          <w:color w:val="000000"/>
          <w:lang w:eastAsia="pt-BR"/>
        </w:rPr>
        <w:t xml:space="preserve"> relacionada no exemplo da fábrica de lapiseiras</w:t>
      </w:r>
      <w:r>
        <w:rPr>
          <w:rFonts w:ascii="Arial Black" w:eastAsia="Times New Roman" w:hAnsi="Arial Black" w:cs="Arial"/>
          <w:color w:val="000000"/>
          <w:lang w:eastAsia="pt-BR"/>
        </w:rPr>
        <w:t>.</w:t>
      </w:r>
    </w:p>
    <w:p w:rsidR="00197FD0" w:rsidRDefault="00847A8F" w:rsidP="00847A8F">
      <w:pPr>
        <w:pStyle w:val="PargrafodaLista"/>
        <w:numPr>
          <w:ilvl w:val="0"/>
          <w:numId w:val="8"/>
        </w:numPr>
        <w:spacing w:after="200" w:line="276" w:lineRule="auto"/>
        <w:ind w:left="142" w:firstLine="0"/>
        <w:jc w:val="both"/>
        <w:rPr>
          <w:rFonts w:ascii="Arial Black" w:eastAsia="Times New Roman" w:hAnsi="Arial Black" w:cs="Arial"/>
          <w:color w:val="000000"/>
          <w:lang w:eastAsia="pt-BR"/>
        </w:rPr>
      </w:pPr>
      <w:r w:rsidRPr="004C05E5">
        <w:rPr>
          <w:rFonts w:ascii="Arial Black" w:eastAsia="Times New Roman" w:hAnsi="Arial Black" w:cs="Arial"/>
          <w:color w:val="000000"/>
          <w:lang w:eastAsia="pt-BR"/>
        </w:rPr>
        <w:t xml:space="preserve">A modelagem pressupõe estabelecer a melhor sequência, logicamente organizada e como o objetivo de maximizar resultados. </w:t>
      </w:r>
      <w:r>
        <w:rPr>
          <w:rFonts w:ascii="Arial Black" w:eastAsia="Times New Roman" w:hAnsi="Arial Black" w:cs="Arial"/>
          <w:color w:val="000000"/>
          <w:lang w:eastAsia="pt-BR"/>
        </w:rPr>
        <w:t>Essa sequência é repassada para o Registro Básico que tem especificados os seus recebimentos e saídas em diversos níveis, o que permite moni</w:t>
      </w:r>
      <w:r w:rsidR="00197FD0">
        <w:rPr>
          <w:rFonts w:ascii="Arial Black" w:eastAsia="Times New Roman" w:hAnsi="Arial Black" w:cs="Arial"/>
          <w:color w:val="000000"/>
          <w:lang w:eastAsia="pt-BR"/>
        </w:rPr>
        <w:t>to</w:t>
      </w:r>
      <w:r>
        <w:rPr>
          <w:rFonts w:ascii="Arial Black" w:eastAsia="Times New Roman" w:hAnsi="Arial Black" w:cs="Arial"/>
          <w:color w:val="000000"/>
          <w:lang w:eastAsia="pt-BR"/>
        </w:rPr>
        <w:t xml:space="preserve">rar </w:t>
      </w:r>
      <w:r w:rsidR="00197FD0">
        <w:rPr>
          <w:rFonts w:ascii="Arial Black" w:eastAsia="Times New Roman" w:hAnsi="Arial Black" w:cs="Arial"/>
          <w:color w:val="000000"/>
          <w:lang w:eastAsia="pt-BR"/>
        </w:rPr>
        <w:t>os estoques.</w:t>
      </w:r>
    </w:p>
    <w:p w:rsidR="00847A8F" w:rsidRDefault="00197FD0" w:rsidP="00197FD0">
      <w:pPr>
        <w:pStyle w:val="PargrafodaLista"/>
        <w:spacing w:after="200" w:line="276" w:lineRule="auto"/>
        <w:ind w:left="142"/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II. Logo serão possíveis equações dos resultados obtidas em função dos números planejados, o que gera várias informações que permitem avaliar diversos lotes e apenas o erro localizado em um ponto.</w:t>
      </w:r>
      <w:r w:rsidR="00847A8F" w:rsidRPr="004C05E5">
        <w:rPr>
          <w:rFonts w:ascii="Arial Black" w:eastAsia="Times New Roman" w:hAnsi="Arial Black" w:cs="Arial"/>
          <w:color w:val="000000"/>
          <w:lang w:eastAsia="pt-BR"/>
        </w:rPr>
        <w:br/>
        <w:t>II</w:t>
      </w:r>
      <w:r>
        <w:rPr>
          <w:rFonts w:ascii="Arial Black" w:eastAsia="Times New Roman" w:hAnsi="Arial Black" w:cs="Arial"/>
          <w:color w:val="000000"/>
          <w:lang w:eastAsia="pt-BR"/>
        </w:rPr>
        <w:t>I</w:t>
      </w:r>
      <w:r w:rsidR="00847A8F" w:rsidRPr="004C05E5">
        <w:rPr>
          <w:rFonts w:ascii="Arial Black" w:eastAsia="Times New Roman" w:hAnsi="Arial Black" w:cs="Arial"/>
          <w:color w:val="000000"/>
          <w:lang w:eastAsia="pt-BR"/>
        </w:rPr>
        <w:t>.</w:t>
      </w:r>
      <w:r>
        <w:rPr>
          <w:rFonts w:ascii="Arial Black" w:eastAsia="Times New Roman" w:hAnsi="Arial Black" w:cs="Arial"/>
          <w:color w:val="000000"/>
          <w:lang w:eastAsia="pt-BR"/>
        </w:rPr>
        <w:t xml:space="preserve"> </w:t>
      </w:r>
      <w:r w:rsidR="00847A8F">
        <w:rPr>
          <w:rFonts w:ascii="Arial Black" w:eastAsia="Times New Roman" w:hAnsi="Arial Black" w:cs="Arial"/>
          <w:color w:val="000000"/>
          <w:lang w:eastAsia="pt-BR"/>
        </w:rPr>
        <w:t xml:space="preserve">O conhecimento </w:t>
      </w:r>
      <w:r>
        <w:rPr>
          <w:rFonts w:ascii="Arial Black" w:eastAsia="Times New Roman" w:hAnsi="Arial Black" w:cs="Arial"/>
          <w:color w:val="000000"/>
          <w:lang w:eastAsia="pt-BR"/>
        </w:rPr>
        <w:t>das operações permitirá que a empresa se antecipe às demandas dos clientes internamente.</w:t>
      </w:r>
    </w:p>
    <w:p w:rsidR="00847A8F" w:rsidRDefault="00847A8F" w:rsidP="00847A8F">
      <w:pPr>
        <w:pStyle w:val="PargrafodaLista"/>
        <w:ind w:left="142"/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Alternativas:</w:t>
      </w:r>
    </w:p>
    <w:p w:rsidR="00847A8F" w:rsidRDefault="00847A8F" w:rsidP="00847A8F">
      <w:pPr>
        <w:pStyle w:val="PargrafodaLista"/>
        <w:numPr>
          <w:ilvl w:val="0"/>
          <w:numId w:val="9"/>
        </w:numPr>
        <w:spacing w:after="200" w:line="276" w:lineRule="auto"/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 e II.</w:t>
      </w:r>
    </w:p>
    <w:p w:rsidR="00847A8F" w:rsidRDefault="00847A8F" w:rsidP="00847A8F">
      <w:pPr>
        <w:pStyle w:val="PargrafodaLista"/>
        <w:numPr>
          <w:ilvl w:val="0"/>
          <w:numId w:val="9"/>
        </w:numPr>
        <w:spacing w:after="200" w:line="276" w:lineRule="auto"/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 e III.</w:t>
      </w:r>
    </w:p>
    <w:p w:rsidR="00847A8F" w:rsidRDefault="00847A8F" w:rsidP="00847A8F">
      <w:pPr>
        <w:pStyle w:val="PargrafodaLista"/>
        <w:numPr>
          <w:ilvl w:val="0"/>
          <w:numId w:val="9"/>
        </w:numPr>
        <w:spacing w:after="200" w:line="276" w:lineRule="auto"/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II e III.</w:t>
      </w:r>
    </w:p>
    <w:p w:rsidR="00847A8F" w:rsidRDefault="00847A8F" w:rsidP="00847A8F">
      <w:pPr>
        <w:pStyle w:val="PargrafodaLista"/>
        <w:numPr>
          <w:ilvl w:val="0"/>
          <w:numId w:val="9"/>
        </w:numPr>
        <w:spacing w:after="200" w:line="276" w:lineRule="auto"/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I, II e III.</w:t>
      </w:r>
    </w:p>
    <w:p w:rsidR="00847A8F" w:rsidRDefault="00847A8F" w:rsidP="00847A8F">
      <w:pPr>
        <w:pStyle w:val="PargrafodaLista"/>
        <w:numPr>
          <w:ilvl w:val="0"/>
          <w:numId w:val="9"/>
        </w:numPr>
        <w:spacing w:after="200" w:line="276" w:lineRule="auto"/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I.</w:t>
      </w:r>
    </w:p>
    <w:p w:rsidR="00847A8F" w:rsidRDefault="00847A8F" w:rsidP="00847A8F">
      <w:pPr>
        <w:pStyle w:val="PargrafodaLista"/>
        <w:ind w:left="502"/>
        <w:jc w:val="both"/>
        <w:rPr>
          <w:rFonts w:ascii="Arial Black" w:eastAsia="Times New Roman" w:hAnsi="Arial Black" w:cs="Arial"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3"/>
      </w:tblGrid>
      <w:tr w:rsidR="00847A8F" w:rsidTr="00A65D3D">
        <w:tc>
          <w:tcPr>
            <w:tcW w:w="8494" w:type="dxa"/>
          </w:tcPr>
          <w:p w:rsidR="00197FD0" w:rsidRDefault="00197FD0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197FD0" w:rsidRDefault="00197FD0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197FD0" w:rsidRDefault="00197FD0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197FD0" w:rsidRDefault="00197FD0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197FD0" w:rsidRDefault="00197FD0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197FD0" w:rsidRDefault="00197FD0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197FD0" w:rsidRDefault="00197FD0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197FD0" w:rsidRDefault="00197FD0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847A8F" w:rsidRDefault="00847A8F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.</w:t>
            </w:r>
          </w:p>
          <w:p w:rsidR="00847A8F" w:rsidRDefault="00847A8F" w:rsidP="00A65D3D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</w:tbl>
    <w:p w:rsidR="00847A8F" w:rsidRDefault="00847A8F"/>
    <w:p w:rsidR="00847A8F" w:rsidRDefault="00847A8F"/>
    <w:tbl>
      <w:tblPr>
        <w:tblW w:w="4917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"/>
        <w:gridCol w:w="651"/>
        <w:gridCol w:w="6680"/>
      </w:tblGrid>
      <w:tr w:rsidR="006539BA" w:rsidRPr="008F7505" w:rsidTr="004B7AF4">
        <w:trPr>
          <w:tblCellSpacing w:w="7" w:type="dxa"/>
        </w:trPr>
        <w:tc>
          <w:tcPr>
            <w:tcW w:w="24" w:type="pct"/>
            <w:shd w:val="clear" w:color="auto" w:fill="auto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4947" w:type="pct"/>
            <w:gridSpan w:val="2"/>
            <w:shd w:val="clear" w:color="auto" w:fill="auto"/>
            <w:vAlign w:val="center"/>
            <w:hideMark/>
          </w:tcPr>
          <w:p w:rsidR="006539BA" w:rsidRPr="006539BA" w:rsidRDefault="00B839FD" w:rsidP="004B7A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3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. Identifique a(s) alternativa(s) correta(s):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 xml:space="preserve">I. A </w:t>
            </w:r>
            <w:r w:rsid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transição para a 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Indústria 4.0 </w:t>
            </w:r>
            <w:r w:rsidR="004B7AF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já é marcada 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como uma evolução e a integração de tecnologias </w:t>
            </w:r>
            <w:r w:rsidR="004B7AF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já existentes como a Internet das Coisas, Logística Inteligentes nas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cadeias </w:t>
            </w:r>
            <w:r w:rsidR="004B7AF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de negócio 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mais amplas marcadas pela troca de informações entre os diversos equipamentos e o monitoramento do fluxo logístico (uma das possíveis aplicações da internet das coisas).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>II. As aplicações financeiras são relevantes para o momento atual da indústria 4.0.</w:t>
            </w:r>
            <w:r w:rsidR="004B7AF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em função das experiências de detalhamento de custos em cada atividade. 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>III. A Indústria 4.0 é compatível com os sistemas legados</w:t>
            </w:r>
            <w:r w:rsidR="004B7AF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desde que tenham sido estudados em detalhes as possibilidades de integração desses com as necessidades da s cadeias de negócio e os investimentos de parceiros e fornecedores para garantir o desenvolvimento de produtos inteligentes customizáveis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.</w:t>
            </w:r>
            <w:r w:rsidR="006539BA"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</w:p>
        </w:tc>
      </w:tr>
      <w:tr w:rsidR="006539BA" w:rsidRPr="008F7505" w:rsidTr="004B7AF4">
        <w:trPr>
          <w:tblCellSpacing w:w="7" w:type="dxa"/>
        </w:trPr>
        <w:tc>
          <w:tcPr>
            <w:tcW w:w="24" w:type="pct"/>
            <w:shd w:val="clear" w:color="auto" w:fill="auto"/>
            <w:vAlign w:val="center"/>
            <w:hideMark/>
          </w:tcPr>
          <w:p w:rsidR="006539BA" w:rsidRPr="004B7AF4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</w:p>
        </w:tc>
        <w:tc>
          <w:tcPr>
            <w:tcW w:w="432" w:type="pct"/>
            <w:shd w:val="clear" w:color="auto" w:fill="auto"/>
            <w:hideMark/>
          </w:tcPr>
          <w:p w:rsidR="006539BA" w:rsidRPr="004B7AF4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4B7A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pt-BR"/>
              </w:rPr>
              <w:t>A)</w:t>
            </w:r>
          </w:p>
        </w:tc>
        <w:tc>
          <w:tcPr>
            <w:tcW w:w="4506" w:type="pct"/>
            <w:shd w:val="clear" w:color="auto" w:fill="auto"/>
            <w:vAlign w:val="center"/>
            <w:hideMark/>
          </w:tcPr>
          <w:p w:rsidR="006539BA" w:rsidRPr="004B7AF4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4B7AF4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I. </w:t>
            </w:r>
          </w:p>
        </w:tc>
      </w:tr>
      <w:tr w:rsidR="006539BA" w:rsidRPr="008F7505" w:rsidTr="004B7AF4">
        <w:trPr>
          <w:tblCellSpacing w:w="7" w:type="dxa"/>
        </w:trPr>
        <w:tc>
          <w:tcPr>
            <w:tcW w:w="24" w:type="pct"/>
            <w:shd w:val="clear" w:color="auto" w:fill="auto"/>
            <w:vAlign w:val="center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432" w:type="pct"/>
            <w:shd w:val="clear" w:color="auto" w:fill="auto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653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B)</w:t>
            </w:r>
          </w:p>
        </w:tc>
        <w:tc>
          <w:tcPr>
            <w:tcW w:w="4506" w:type="pct"/>
            <w:shd w:val="clear" w:color="auto" w:fill="auto"/>
            <w:vAlign w:val="center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I e II. </w:t>
            </w:r>
          </w:p>
        </w:tc>
      </w:tr>
      <w:tr w:rsidR="006539BA" w:rsidRPr="008F7505" w:rsidTr="004B7AF4">
        <w:trPr>
          <w:tblCellSpacing w:w="7" w:type="dxa"/>
        </w:trPr>
        <w:tc>
          <w:tcPr>
            <w:tcW w:w="24" w:type="pct"/>
            <w:shd w:val="clear" w:color="auto" w:fill="auto"/>
            <w:vAlign w:val="center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432" w:type="pct"/>
            <w:shd w:val="clear" w:color="auto" w:fill="auto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653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C)</w:t>
            </w:r>
          </w:p>
        </w:tc>
        <w:tc>
          <w:tcPr>
            <w:tcW w:w="4506" w:type="pct"/>
            <w:shd w:val="clear" w:color="auto" w:fill="auto"/>
            <w:vAlign w:val="center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I e III. </w:t>
            </w:r>
          </w:p>
        </w:tc>
      </w:tr>
      <w:tr w:rsidR="006539BA" w:rsidRPr="008F7505" w:rsidTr="004B7AF4">
        <w:trPr>
          <w:tblCellSpacing w:w="7" w:type="dxa"/>
        </w:trPr>
        <w:tc>
          <w:tcPr>
            <w:tcW w:w="24" w:type="pct"/>
            <w:shd w:val="clear" w:color="auto" w:fill="auto"/>
            <w:vAlign w:val="center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432" w:type="pct"/>
            <w:shd w:val="clear" w:color="auto" w:fill="auto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653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D)</w:t>
            </w:r>
          </w:p>
        </w:tc>
        <w:tc>
          <w:tcPr>
            <w:tcW w:w="4506" w:type="pct"/>
            <w:shd w:val="clear" w:color="auto" w:fill="auto"/>
            <w:vAlign w:val="center"/>
            <w:hideMark/>
          </w:tcPr>
          <w:p w:rsidR="006539BA" w:rsidRPr="006539BA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II e III.</w:t>
            </w:r>
            <w:r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</w:t>
            </w:r>
          </w:p>
          <w:p w:rsidR="006539BA" w:rsidRDefault="006539BA" w:rsidP="004B7AF4">
            <w:pPr>
              <w:spacing w:after="0" w:line="240" w:lineRule="auto"/>
              <w:ind w:left="-27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6539B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e)I, II e III.</w:t>
            </w:r>
          </w:p>
          <w:p w:rsidR="004B7AF4" w:rsidRDefault="004B7AF4" w:rsidP="004B7AF4">
            <w:pPr>
              <w:spacing w:after="0" w:line="240" w:lineRule="auto"/>
              <w:ind w:left="-27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  <w:p w:rsidR="004B7AF4" w:rsidRDefault="004B7AF4" w:rsidP="004B7AF4">
            <w:pPr>
              <w:spacing w:after="0" w:line="240" w:lineRule="auto"/>
              <w:ind w:left="-27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  <w:p w:rsidR="004B7AF4" w:rsidRDefault="004B7AF4" w:rsidP="004B7AF4">
            <w:pPr>
              <w:spacing w:after="0" w:line="240" w:lineRule="auto"/>
              <w:ind w:left="-27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  <w:p w:rsidR="004B7AF4" w:rsidRDefault="004B7AF4" w:rsidP="004B7AF4">
            <w:pPr>
              <w:spacing w:after="0" w:line="240" w:lineRule="auto"/>
              <w:ind w:left="-27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  <w:p w:rsidR="004B7AF4" w:rsidRPr="006539BA" w:rsidRDefault="004B7AF4" w:rsidP="004B7AF4">
            <w:pPr>
              <w:spacing w:after="0" w:line="240" w:lineRule="auto"/>
              <w:ind w:left="-27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  <w:p w:rsidR="006539BA" w:rsidRPr="006539BA" w:rsidRDefault="006539BA" w:rsidP="00A65D3D">
            <w:pPr>
              <w:spacing w:after="0" w:line="240" w:lineRule="auto"/>
              <w:ind w:left="-32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</w:tr>
      <w:tr w:rsidR="006539BA" w:rsidRPr="008F7505" w:rsidTr="004B7AF4">
        <w:trPr>
          <w:tblCellSpacing w:w="7" w:type="dxa"/>
        </w:trPr>
        <w:tc>
          <w:tcPr>
            <w:tcW w:w="24" w:type="pct"/>
            <w:shd w:val="clear" w:color="auto" w:fill="auto"/>
            <w:vAlign w:val="center"/>
          </w:tcPr>
          <w:p w:rsidR="006539BA" w:rsidRPr="008F7505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32" w:type="pct"/>
            <w:shd w:val="clear" w:color="auto" w:fill="auto"/>
          </w:tcPr>
          <w:p w:rsidR="006539BA" w:rsidRPr="008F7505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506" w:type="pct"/>
            <w:shd w:val="clear" w:color="auto" w:fill="auto"/>
            <w:vAlign w:val="center"/>
          </w:tcPr>
          <w:p w:rsidR="006539BA" w:rsidRPr="008F7505" w:rsidRDefault="006539BA" w:rsidP="00A65D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</w:tbl>
    <w:p w:rsidR="004B1EBD" w:rsidRPr="008550E5" w:rsidRDefault="004B7AF4" w:rsidP="004B7AF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8550E5">
        <w:rPr>
          <w:rFonts w:ascii="Times New Roman" w:hAnsi="Times New Roman" w:cs="Times New Roman"/>
          <w:b/>
          <w:sz w:val="28"/>
          <w:szCs w:val="28"/>
        </w:rPr>
        <w:t>Em relação à arquitetura 5C, pode-se dizer</w:t>
      </w:r>
      <w:r w:rsidR="00EF731B" w:rsidRPr="008550E5">
        <w:rPr>
          <w:rFonts w:ascii="Times New Roman" w:hAnsi="Times New Roman" w:cs="Times New Roman"/>
          <w:b/>
          <w:sz w:val="28"/>
          <w:szCs w:val="28"/>
        </w:rPr>
        <w:t xml:space="preserve"> que a sua evolução </w:t>
      </w:r>
      <w:r w:rsidRPr="008550E5">
        <w:rPr>
          <w:rFonts w:ascii="Times New Roman" w:hAnsi="Times New Roman" w:cs="Times New Roman"/>
          <w:b/>
          <w:sz w:val="28"/>
          <w:szCs w:val="28"/>
        </w:rPr>
        <w:t>:</w:t>
      </w:r>
    </w:p>
    <w:p w:rsidR="004B7AF4" w:rsidRPr="008550E5" w:rsidRDefault="004B7AF4" w:rsidP="004B7AF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8550E5">
        <w:rPr>
          <w:rFonts w:ascii="Times New Roman" w:hAnsi="Times New Roman" w:cs="Times New Roman"/>
          <w:b/>
          <w:sz w:val="28"/>
          <w:szCs w:val="28"/>
        </w:rPr>
        <w:t>Será dada grande importância para maior nível possível de automatização independente dos colaboradores humanos.</w:t>
      </w:r>
    </w:p>
    <w:p w:rsidR="004B7AF4" w:rsidRPr="008550E5" w:rsidRDefault="004B7AF4" w:rsidP="004B7AF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8550E5">
        <w:rPr>
          <w:rFonts w:ascii="Times New Roman" w:hAnsi="Times New Roman" w:cs="Times New Roman"/>
          <w:b/>
          <w:sz w:val="28"/>
          <w:szCs w:val="28"/>
        </w:rPr>
        <w:t xml:space="preserve">A interação com humanos </w:t>
      </w:r>
      <w:r w:rsidR="00EF731B" w:rsidRPr="008550E5">
        <w:rPr>
          <w:rFonts w:ascii="Times New Roman" w:hAnsi="Times New Roman" w:cs="Times New Roman"/>
          <w:b/>
          <w:sz w:val="28"/>
          <w:szCs w:val="28"/>
        </w:rPr>
        <w:t>deve</w:t>
      </w:r>
      <w:r w:rsidR="00B839FD" w:rsidRPr="008550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50E5">
        <w:rPr>
          <w:rFonts w:ascii="Times New Roman" w:hAnsi="Times New Roman" w:cs="Times New Roman"/>
          <w:b/>
          <w:sz w:val="28"/>
          <w:szCs w:val="28"/>
        </w:rPr>
        <w:t>ocorre</w:t>
      </w:r>
      <w:r w:rsidR="00B839FD" w:rsidRPr="008550E5">
        <w:rPr>
          <w:rFonts w:ascii="Times New Roman" w:hAnsi="Times New Roman" w:cs="Times New Roman"/>
          <w:b/>
          <w:sz w:val="28"/>
          <w:szCs w:val="28"/>
        </w:rPr>
        <w:t>r</w:t>
      </w:r>
      <w:r w:rsidRPr="008550E5">
        <w:rPr>
          <w:rFonts w:ascii="Times New Roman" w:hAnsi="Times New Roman" w:cs="Times New Roman"/>
          <w:b/>
          <w:sz w:val="28"/>
          <w:szCs w:val="28"/>
        </w:rPr>
        <w:t xml:space="preserve"> desde o primeiro nível.</w:t>
      </w:r>
    </w:p>
    <w:p w:rsidR="004B7AF4" w:rsidRPr="008550E5" w:rsidRDefault="004B7AF4" w:rsidP="004B7AF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8550E5">
        <w:rPr>
          <w:rFonts w:ascii="Times New Roman" w:hAnsi="Times New Roman" w:cs="Times New Roman"/>
          <w:b/>
          <w:sz w:val="28"/>
          <w:szCs w:val="28"/>
        </w:rPr>
        <w:t>A automatização faz com que a relação com humanos ocorra com ênfase no quarto nível.</w:t>
      </w:r>
    </w:p>
    <w:p w:rsidR="004B7AF4" w:rsidRPr="008550E5" w:rsidRDefault="004B7AF4" w:rsidP="004B7AF4">
      <w:pPr>
        <w:pStyle w:val="PargrafodaLista"/>
        <w:numPr>
          <w:ilvl w:val="0"/>
          <w:numId w:val="12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</w:pPr>
      <w:r w:rsidRPr="008550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  <w:t>I e II</w:t>
      </w:r>
      <w:r w:rsidR="00B839FD" w:rsidRPr="008550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  <w:t>I</w:t>
      </w:r>
      <w:r w:rsidRPr="008550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  <w:t>.</w:t>
      </w:r>
    </w:p>
    <w:p w:rsidR="004B7AF4" w:rsidRPr="008550E5" w:rsidRDefault="004B7AF4" w:rsidP="004B7AF4">
      <w:pPr>
        <w:pStyle w:val="PargrafodaLista"/>
        <w:numPr>
          <w:ilvl w:val="0"/>
          <w:numId w:val="12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</w:pPr>
      <w:r w:rsidRPr="008550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  <w:t>I e II.</w:t>
      </w:r>
    </w:p>
    <w:p w:rsidR="004B7AF4" w:rsidRPr="008550E5" w:rsidRDefault="004B7AF4" w:rsidP="004B7AF4">
      <w:pPr>
        <w:pStyle w:val="PargrafodaLista"/>
        <w:numPr>
          <w:ilvl w:val="0"/>
          <w:numId w:val="12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</w:pPr>
      <w:r w:rsidRPr="008550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  <w:t>II e III.</w:t>
      </w:r>
    </w:p>
    <w:p w:rsidR="004B7AF4" w:rsidRPr="008550E5" w:rsidRDefault="004B7AF4" w:rsidP="004B7AF4">
      <w:pPr>
        <w:pStyle w:val="PargrafodaLista"/>
        <w:numPr>
          <w:ilvl w:val="0"/>
          <w:numId w:val="12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</w:pPr>
      <w:r w:rsidRPr="008550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  <w:lastRenderedPageBreak/>
        <w:t>I, II e III.</w:t>
      </w:r>
    </w:p>
    <w:p w:rsidR="004B7AF4" w:rsidRPr="008550E5" w:rsidRDefault="004B7AF4" w:rsidP="004B7AF4">
      <w:pPr>
        <w:pStyle w:val="PargrafodaLista"/>
        <w:numPr>
          <w:ilvl w:val="0"/>
          <w:numId w:val="12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</w:pPr>
      <w:r w:rsidRPr="008550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pt-BR"/>
        </w:rPr>
        <w:t>I.</w:t>
      </w:r>
    </w:p>
    <w:p w:rsidR="004B1EBD" w:rsidRPr="008550E5" w:rsidRDefault="004B1EBD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40"/>
        <w:gridCol w:w="6873"/>
      </w:tblGrid>
      <w:tr w:rsidR="00B839FD" w:rsidRPr="00B839FD" w:rsidTr="00B839FD">
        <w:trPr>
          <w:tblCellSpacing w:w="7" w:type="dxa"/>
        </w:trPr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</w:p>
        </w:tc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:rsidR="00B839FD" w:rsidRPr="008550E5" w:rsidRDefault="00EF731B" w:rsidP="00EF731B">
            <w:pPr>
              <w:pStyle w:val="PargrafodaLista"/>
              <w:numPr>
                <w:ilvl w:val="0"/>
                <w:numId w:val="5"/>
              </w:numPr>
              <w:spacing w:after="2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I</w:t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dentifique a(s) alternativa(s) correta(s). A transição para a indústria 4.0 coloca a necessidade da metodologia de projeto, pois: </w:t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 xml:space="preserve">I. A transição demanda um escopo amplo devido à diversidade de áreas de conhecimento sobre as quais atuará. </w:t>
            </w:r>
            <w:r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Tal diversidade demanda forte c</w:t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apacidade de interatividade com o</w:t>
            </w:r>
            <w:r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todo o ciclo de negócios a partir dos clientes. </w:t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>II. A adoção da Indústria 4.0 significa necessariamente o descarte dos equipamentos e softwares existentes (sistemas legados), mas a necessidade de estudos de como realizar a adaptação desses sistemas anteriores, pois eles servem de referencial de trabalho para os colaboradores internos e externos.</w:t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 xml:space="preserve">III. As dificuldades de implantação da Indústria 4.0 </w:t>
            </w:r>
            <w:r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integra tecnologia e gestão: </w:t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os recursos tecnológicos, envolvem capacidade de análise financeira, uma abordagem de marketing digital e alguma proximidade com o cliente.</w:t>
            </w:r>
            <w:r w:rsidR="00B839FD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A)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 I, II e III.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B)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 II.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C)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 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D)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Alternativas I e III.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E)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Alternativas I e II.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gridSpan w:val="3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 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50" w:type="pct"/>
            <w:shd w:val="clear" w:color="auto" w:fill="auto"/>
            <w:hideMark/>
          </w:tcPr>
          <w:p w:rsidR="00B839FD" w:rsidRPr="00B839FD" w:rsidRDefault="00C33AAA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8550E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6</w:t>
            </w:r>
            <w:r w:rsidR="00B839FD"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Identifique a(s) alternativa(s) correta(s). A relação da logística inteligente com os sistemas cyber físicos é um dos pontos relevantes da transição para a Indústria 4,0, ao: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>I. A integração se dá pelo intercâmbio de informações entre as empresas das demandas de rotas e a produção em andamento na rede de negócios. Para tal fim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,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cada 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lastRenderedPageBreak/>
              <w:t xml:space="preserve">atividade 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estratégica 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na rede de negócios (montadora, parceiros e fornecedores) teve o seu desempenho rigorosamente monitorado para garantir o número de saída de cada atividade 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relativamente 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confiável 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e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a disponibilidade do lote para as atividades seguintes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.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>II. O monitoramento em tempo real também permite projetar os impactos do controle de qualidade nas estimativas de serviços de pós-venda (por exemplo assistência técnica) nos níveis estratégicos do sistema, como por exemplo um ERP.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 xml:space="preserve">II. O sistema </w:t>
            </w:r>
            <w:proofErr w:type="spellStart"/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Cyberfísico</w:t>
            </w:r>
            <w:proofErr w:type="spellEnd"/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reduz para próximo de zero as perdas nas atividades, apresenta o diagnóstico de controle de tempo eficiente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em toda a linha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A)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Alternativas I, II e III.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B)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Alternativas I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I</w:t>
            </w: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e III.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C)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Alternativas I, II e III.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D)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  <w:t xml:space="preserve">Alternativas I e II. </w:t>
            </w:r>
          </w:p>
        </w:tc>
      </w:tr>
      <w:tr w:rsidR="00B839FD" w:rsidRPr="00B839FD" w:rsidTr="00B839FD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0" w:type="pct"/>
            <w:shd w:val="clear" w:color="auto" w:fill="auto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E)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B839FD" w:rsidRPr="00B839FD" w:rsidRDefault="00B839FD" w:rsidP="00B839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B839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 I. </w:t>
            </w:r>
          </w:p>
        </w:tc>
      </w:tr>
    </w:tbl>
    <w:p w:rsidR="004B1EBD" w:rsidRPr="008550E5" w:rsidRDefault="004B1EBD">
      <w:pPr>
        <w:rPr>
          <w:rFonts w:ascii="Times New Roman" w:hAnsi="Times New Roman" w:cs="Times New Roman"/>
          <w:b/>
          <w:sz w:val="28"/>
          <w:szCs w:val="28"/>
        </w:rPr>
      </w:pPr>
    </w:p>
    <w:p w:rsidR="004B1EBD" w:rsidRPr="008550E5" w:rsidRDefault="004B1EBD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"/>
        <w:gridCol w:w="340"/>
        <w:gridCol w:w="7066"/>
        <w:gridCol w:w="14"/>
        <w:gridCol w:w="21"/>
      </w:tblGrid>
      <w:tr w:rsidR="00EF731B" w:rsidRPr="00EF731B" w:rsidTr="00EF731B">
        <w:trPr>
          <w:gridAfter w:val="1"/>
          <w:tblCellSpacing w:w="7" w:type="dxa"/>
        </w:trPr>
        <w:tc>
          <w:tcPr>
            <w:tcW w:w="0" w:type="auto"/>
            <w:gridSpan w:val="4"/>
            <w:shd w:val="clear" w:color="auto" w:fill="auto"/>
            <w:vAlign w:val="center"/>
            <w:hideMark/>
          </w:tcPr>
          <w:p w:rsidR="00EF731B" w:rsidRPr="00EF731B" w:rsidRDefault="00C33AAA" w:rsidP="00EF731B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7) 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I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dentifique a(s) alternativa(s) correta(s). A transição para a indústria 4.0 reflete a visão de integração em diversas áreas de atividade das empresas, conforme visto no caso do Planejamento de Recursos Empresariais (ERP) aplicado à fábrica de lapiseiras revelou: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 xml:space="preserve">I. 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O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s relatórios específicos identificam resultados diferentes do previsto, por exemplo em relação ao estoque disponível, quantidade de mão de obra, lotes produzidos por tempo.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>II. Como exemplo desse monitoramento</w:t>
            </w:r>
            <w:r w:rsidR="00EF731B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 temos o Registro Básico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: o sistema identificou o estoque e o tempo acima da meta em </w:t>
            </w:r>
            <w:r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apenas 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uma das atividades de integração na lapiseira como uma das causas para retardar o crescimento dos lotes produzidos corretamente. 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br/>
              <w:t xml:space="preserve">III. A integração interfuncional de módulos no ERP </w:t>
            </w:r>
            <w:r w:rsidR="008550E5"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não 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permite também a análise financeira das perdas já que a 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lastRenderedPageBreak/>
              <w:t>produção de lotes corretos afeta o retorno financeiro sob a forma da equação de regressão de ganhos financeiros (variável dependente) em função de lotes produzidos corretamente (variável independente).</w:t>
            </w:r>
          </w:p>
        </w:tc>
        <w:bookmarkStart w:id="0" w:name="_GoBack"/>
        <w:bookmarkEnd w:id="0"/>
      </w:tr>
      <w:tr w:rsidR="00EF731B" w:rsidRPr="00EF731B" w:rsidTr="00EF731B">
        <w:trPr>
          <w:gridAfter w:val="2"/>
          <w:tblCellSpacing w:w="7" w:type="dxa"/>
        </w:trPr>
        <w:tc>
          <w:tcPr>
            <w:tcW w:w="33" w:type="pct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147" w:type="pct"/>
            <w:shd w:val="clear" w:color="auto" w:fill="auto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A)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Alternativas I e II. </w:t>
            </w:r>
          </w:p>
        </w:tc>
      </w:tr>
      <w:tr w:rsidR="00EF731B" w:rsidRPr="00EF731B" w:rsidTr="00EF731B">
        <w:trPr>
          <w:gridAfter w:val="2"/>
          <w:tblCellSpacing w:w="7" w:type="dxa"/>
        </w:trPr>
        <w:tc>
          <w:tcPr>
            <w:tcW w:w="33" w:type="pct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147" w:type="pct"/>
            <w:shd w:val="clear" w:color="auto" w:fill="auto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B)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Alternativas II e III. </w:t>
            </w:r>
          </w:p>
        </w:tc>
      </w:tr>
      <w:tr w:rsidR="00EF731B" w:rsidRPr="00EF731B" w:rsidTr="00EF731B">
        <w:trPr>
          <w:gridAfter w:val="2"/>
          <w:tblCellSpacing w:w="7" w:type="dxa"/>
        </w:trPr>
        <w:tc>
          <w:tcPr>
            <w:tcW w:w="33" w:type="pct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147" w:type="pct"/>
            <w:shd w:val="clear" w:color="auto" w:fill="auto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C)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  <w:t xml:space="preserve">Alternativas I, II e III. </w:t>
            </w:r>
          </w:p>
        </w:tc>
      </w:tr>
      <w:tr w:rsidR="00EF731B" w:rsidRPr="00EF731B" w:rsidTr="00EF731B">
        <w:trPr>
          <w:gridAfter w:val="2"/>
          <w:tblCellSpacing w:w="7" w:type="dxa"/>
        </w:trPr>
        <w:tc>
          <w:tcPr>
            <w:tcW w:w="33" w:type="pct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147" w:type="pct"/>
            <w:shd w:val="clear" w:color="auto" w:fill="auto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D)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Alternativas I e III. </w:t>
            </w:r>
          </w:p>
        </w:tc>
      </w:tr>
      <w:tr w:rsidR="00EF731B" w:rsidRPr="00EF731B" w:rsidTr="00EF731B">
        <w:trPr>
          <w:gridAfter w:val="2"/>
          <w:tblCellSpacing w:w="7" w:type="dxa"/>
        </w:trPr>
        <w:tc>
          <w:tcPr>
            <w:tcW w:w="33" w:type="pct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147" w:type="pct"/>
            <w:shd w:val="clear" w:color="auto" w:fill="auto"/>
            <w:hideMark/>
          </w:tcPr>
          <w:p w:rsidR="00EF731B" w:rsidRPr="00EF731B" w:rsidRDefault="00EF731B" w:rsidP="00EF731B">
            <w:pPr>
              <w:spacing w:after="0" w:line="240" w:lineRule="auto"/>
              <w:ind w:left="-6052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E)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EF731B" w:rsidRPr="00EF731B" w:rsidRDefault="008550E5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8550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E) </w:t>
            </w:r>
            <w:r w:rsidR="00EF731B"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 xml:space="preserve">Alternativas I. </w:t>
            </w:r>
          </w:p>
        </w:tc>
      </w:tr>
      <w:tr w:rsidR="00EF731B" w:rsidRPr="00EF731B" w:rsidTr="00EF731B">
        <w:trPr>
          <w:tblCellSpacing w:w="7" w:type="dxa"/>
        </w:trPr>
        <w:tc>
          <w:tcPr>
            <w:tcW w:w="0" w:type="auto"/>
            <w:gridSpan w:val="5"/>
            <w:shd w:val="clear" w:color="auto" w:fill="auto"/>
            <w:vAlign w:val="center"/>
            <w:hideMark/>
          </w:tcPr>
          <w:p w:rsidR="00EF731B" w:rsidRPr="00EF731B" w:rsidRDefault="00EF731B" w:rsidP="00EF73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</w:pPr>
            <w:r w:rsidRPr="00EF73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pt-BR"/>
              </w:rPr>
              <w:t> </w:t>
            </w:r>
          </w:p>
        </w:tc>
      </w:tr>
    </w:tbl>
    <w:p w:rsidR="004B1EBD" w:rsidRPr="008550E5" w:rsidRDefault="004B1EBD">
      <w:pPr>
        <w:rPr>
          <w:rFonts w:ascii="Times New Roman" w:hAnsi="Times New Roman" w:cs="Times New Roman"/>
          <w:b/>
          <w:sz w:val="28"/>
          <w:szCs w:val="28"/>
        </w:rPr>
      </w:pPr>
    </w:p>
    <w:sectPr w:rsidR="004B1EBD" w:rsidRPr="008550E5" w:rsidSect="006539BA">
      <w:pgSz w:w="11906" w:h="16838"/>
      <w:pgMar w:top="1417" w:right="269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26D9F"/>
    <w:multiLevelType w:val="hybridMultilevel"/>
    <w:tmpl w:val="634A7444"/>
    <w:lvl w:ilvl="0" w:tplc="899EDA8A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7" w:hanging="360"/>
      </w:pPr>
    </w:lvl>
    <w:lvl w:ilvl="2" w:tplc="0416001B" w:tentative="1">
      <w:start w:val="1"/>
      <w:numFmt w:val="lowerRoman"/>
      <w:lvlText w:val="%3."/>
      <w:lvlJc w:val="right"/>
      <w:pPr>
        <w:ind w:left="1867" w:hanging="180"/>
      </w:pPr>
    </w:lvl>
    <w:lvl w:ilvl="3" w:tplc="0416000F" w:tentative="1">
      <w:start w:val="1"/>
      <w:numFmt w:val="decimal"/>
      <w:lvlText w:val="%4."/>
      <w:lvlJc w:val="left"/>
      <w:pPr>
        <w:ind w:left="2587" w:hanging="360"/>
      </w:pPr>
    </w:lvl>
    <w:lvl w:ilvl="4" w:tplc="04160019" w:tentative="1">
      <w:start w:val="1"/>
      <w:numFmt w:val="lowerLetter"/>
      <w:lvlText w:val="%5."/>
      <w:lvlJc w:val="left"/>
      <w:pPr>
        <w:ind w:left="3307" w:hanging="360"/>
      </w:pPr>
    </w:lvl>
    <w:lvl w:ilvl="5" w:tplc="0416001B" w:tentative="1">
      <w:start w:val="1"/>
      <w:numFmt w:val="lowerRoman"/>
      <w:lvlText w:val="%6."/>
      <w:lvlJc w:val="right"/>
      <w:pPr>
        <w:ind w:left="4027" w:hanging="180"/>
      </w:pPr>
    </w:lvl>
    <w:lvl w:ilvl="6" w:tplc="0416000F" w:tentative="1">
      <w:start w:val="1"/>
      <w:numFmt w:val="decimal"/>
      <w:lvlText w:val="%7."/>
      <w:lvlJc w:val="left"/>
      <w:pPr>
        <w:ind w:left="4747" w:hanging="360"/>
      </w:pPr>
    </w:lvl>
    <w:lvl w:ilvl="7" w:tplc="04160019" w:tentative="1">
      <w:start w:val="1"/>
      <w:numFmt w:val="lowerLetter"/>
      <w:lvlText w:val="%8."/>
      <w:lvlJc w:val="left"/>
      <w:pPr>
        <w:ind w:left="5467" w:hanging="360"/>
      </w:pPr>
    </w:lvl>
    <w:lvl w:ilvl="8" w:tplc="0416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1" w15:restartNumberingAfterBreak="0">
    <w:nsid w:val="1E902BAA"/>
    <w:multiLevelType w:val="hybridMultilevel"/>
    <w:tmpl w:val="EDD24AB6"/>
    <w:lvl w:ilvl="0" w:tplc="8084AB0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6B03A1"/>
    <w:multiLevelType w:val="multilevel"/>
    <w:tmpl w:val="8E5E3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F057D9E"/>
    <w:multiLevelType w:val="hybridMultilevel"/>
    <w:tmpl w:val="237A43C8"/>
    <w:lvl w:ilvl="0" w:tplc="B07895B8">
      <w:start w:val="1"/>
      <w:numFmt w:val="upperRoman"/>
      <w:lvlText w:val="%1."/>
      <w:lvlJc w:val="left"/>
      <w:pPr>
        <w:ind w:left="92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87" w:hanging="360"/>
      </w:pPr>
    </w:lvl>
    <w:lvl w:ilvl="2" w:tplc="0416001B" w:tentative="1">
      <w:start w:val="1"/>
      <w:numFmt w:val="lowerRoman"/>
      <w:lvlText w:val="%3."/>
      <w:lvlJc w:val="right"/>
      <w:pPr>
        <w:ind w:left="2007" w:hanging="180"/>
      </w:pPr>
    </w:lvl>
    <w:lvl w:ilvl="3" w:tplc="0416000F" w:tentative="1">
      <w:start w:val="1"/>
      <w:numFmt w:val="decimal"/>
      <w:lvlText w:val="%4."/>
      <w:lvlJc w:val="left"/>
      <w:pPr>
        <w:ind w:left="2727" w:hanging="360"/>
      </w:pPr>
    </w:lvl>
    <w:lvl w:ilvl="4" w:tplc="04160019" w:tentative="1">
      <w:start w:val="1"/>
      <w:numFmt w:val="lowerLetter"/>
      <w:lvlText w:val="%5."/>
      <w:lvlJc w:val="left"/>
      <w:pPr>
        <w:ind w:left="3447" w:hanging="360"/>
      </w:pPr>
    </w:lvl>
    <w:lvl w:ilvl="5" w:tplc="0416001B" w:tentative="1">
      <w:start w:val="1"/>
      <w:numFmt w:val="lowerRoman"/>
      <w:lvlText w:val="%6."/>
      <w:lvlJc w:val="right"/>
      <w:pPr>
        <w:ind w:left="4167" w:hanging="180"/>
      </w:pPr>
    </w:lvl>
    <w:lvl w:ilvl="6" w:tplc="0416000F" w:tentative="1">
      <w:start w:val="1"/>
      <w:numFmt w:val="decimal"/>
      <w:lvlText w:val="%7."/>
      <w:lvlJc w:val="left"/>
      <w:pPr>
        <w:ind w:left="4887" w:hanging="360"/>
      </w:pPr>
    </w:lvl>
    <w:lvl w:ilvl="7" w:tplc="04160019" w:tentative="1">
      <w:start w:val="1"/>
      <w:numFmt w:val="lowerLetter"/>
      <w:lvlText w:val="%8."/>
      <w:lvlJc w:val="left"/>
      <w:pPr>
        <w:ind w:left="5607" w:hanging="360"/>
      </w:pPr>
    </w:lvl>
    <w:lvl w:ilvl="8" w:tplc="0416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4" w15:restartNumberingAfterBreak="0">
    <w:nsid w:val="35E8318F"/>
    <w:multiLevelType w:val="hybridMultilevel"/>
    <w:tmpl w:val="0CEC1424"/>
    <w:lvl w:ilvl="0" w:tplc="201669C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382834"/>
    <w:multiLevelType w:val="hybridMultilevel"/>
    <w:tmpl w:val="9FB214EC"/>
    <w:lvl w:ilvl="0" w:tplc="890880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652E5"/>
    <w:multiLevelType w:val="hybridMultilevel"/>
    <w:tmpl w:val="113C83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527C5"/>
    <w:multiLevelType w:val="hybridMultilevel"/>
    <w:tmpl w:val="23FE2A7E"/>
    <w:lvl w:ilvl="0" w:tplc="BA7467CA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53D79"/>
    <w:multiLevelType w:val="hybridMultilevel"/>
    <w:tmpl w:val="8980829C"/>
    <w:lvl w:ilvl="0" w:tplc="A73E9196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6EB313F9"/>
    <w:multiLevelType w:val="hybridMultilevel"/>
    <w:tmpl w:val="A6047E82"/>
    <w:lvl w:ilvl="0" w:tplc="6548F3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900AE3"/>
    <w:multiLevelType w:val="hybridMultilevel"/>
    <w:tmpl w:val="EEBEB072"/>
    <w:lvl w:ilvl="0" w:tplc="3F503F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F32DC"/>
    <w:multiLevelType w:val="hybridMultilevel"/>
    <w:tmpl w:val="34CA77C4"/>
    <w:lvl w:ilvl="0" w:tplc="F7F2B7A0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10"/>
  </w:num>
  <w:num w:numId="8">
    <w:abstractNumId w:val="3"/>
  </w:num>
  <w:num w:numId="9">
    <w:abstractNumId w:val="8"/>
  </w:num>
  <w:num w:numId="10">
    <w:abstractNumId w:val="6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68"/>
    <w:rsid w:val="00197FD0"/>
    <w:rsid w:val="004B1EBD"/>
    <w:rsid w:val="004B7AF4"/>
    <w:rsid w:val="00591277"/>
    <w:rsid w:val="006539BA"/>
    <w:rsid w:val="006C1C67"/>
    <w:rsid w:val="00847A8F"/>
    <w:rsid w:val="008550E5"/>
    <w:rsid w:val="009A0E6D"/>
    <w:rsid w:val="00A05468"/>
    <w:rsid w:val="00A75F14"/>
    <w:rsid w:val="00B839FD"/>
    <w:rsid w:val="00C33AAA"/>
    <w:rsid w:val="00CE628E"/>
    <w:rsid w:val="00DA6004"/>
    <w:rsid w:val="00EF731B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ACB05"/>
  <w15:chartTrackingRefBased/>
  <w15:docId w15:val="{C997ABA1-45AD-49F5-AE81-E9F560F6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05468"/>
    <w:pPr>
      <w:ind w:left="720"/>
      <w:contextualSpacing/>
    </w:pPr>
  </w:style>
  <w:style w:type="table" w:styleId="Tabelacomgrade">
    <w:name w:val="Table Grid"/>
    <w:basedOn w:val="Tabelanormal"/>
    <w:uiPriority w:val="59"/>
    <w:rsid w:val="00847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1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1242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3</cp:revision>
  <dcterms:created xsi:type="dcterms:W3CDTF">2019-04-30T20:40:00Z</dcterms:created>
  <dcterms:modified xsi:type="dcterms:W3CDTF">2019-04-30T20:42:00Z</dcterms:modified>
</cp:coreProperties>
</file>