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5"/>
        <w:gridCol w:w="1934"/>
        <w:gridCol w:w="1092"/>
        <w:gridCol w:w="2015"/>
        <w:gridCol w:w="1204"/>
      </w:tblGrid>
      <w:tr w:rsidR="005E16DA" w:rsidRPr="006755AD" w14:paraId="4960369D" w14:textId="77777777" w:rsidTr="005F153D">
        <w:trPr>
          <w:trHeight w:val="285"/>
        </w:trPr>
        <w:tc>
          <w:tcPr>
            <w:tcW w:w="5000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CB673" w14:textId="48A209CD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Cs w:val="20"/>
              </w:rPr>
            </w:pPr>
            <w:r w:rsidRPr="006755AD">
              <w:rPr>
                <w:rFonts w:cs="Arial"/>
                <w:b/>
                <w:bCs/>
                <w:szCs w:val="20"/>
              </w:rPr>
              <w:t>Superiority analysis comparing the discrimination performance of the four submodels with that of the models integrating 10 common ORT combinations</w:t>
            </w:r>
            <w:r>
              <w:rPr>
                <w:rFonts w:cs="Arial"/>
                <w:b/>
                <w:bCs/>
                <w:szCs w:val="20"/>
              </w:rPr>
              <w:t xml:space="preserve"> (</w:t>
            </w:r>
            <w:r w:rsidRPr="006755AD">
              <w:rPr>
                <w:rFonts w:cs="Arial"/>
                <w:b/>
                <w:bCs/>
                <w:szCs w:val="20"/>
              </w:rPr>
              <w:t xml:space="preserve">and </w:t>
            </w:r>
            <w:r>
              <w:rPr>
                <w:rFonts w:cs="Arial"/>
                <w:b/>
                <w:bCs/>
                <w:szCs w:val="20"/>
              </w:rPr>
              <w:t xml:space="preserve">the </w:t>
            </w:r>
            <w:r w:rsidRPr="006755AD">
              <w:rPr>
                <w:rFonts w:cs="Arial"/>
                <w:b/>
                <w:bCs/>
                <w:szCs w:val="20"/>
              </w:rPr>
              <w:t>models derived from the complete data</w:t>
            </w:r>
            <w:r>
              <w:rPr>
                <w:rFonts w:cs="Arial"/>
                <w:b/>
                <w:bCs/>
                <w:szCs w:val="20"/>
              </w:rPr>
              <w:t xml:space="preserve"> using a similar approach as the submodels)</w:t>
            </w:r>
          </w:p>
        </w:tc>
      </w:tr>
      <w:tr w:rsidR="005E16DA" w:rsidRPr="006755AD" w14:paraId="5884AB73" w14:textId="77777777" w:rsidTr="005F153D">
        <w:trPr>
          <w:trHeight w:val="285"/>
        </w:trPr>
        <w:tc>
          <w:tcPr>
            <w:tcW w:w="138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0B1C00E7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1751" w:type="pct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C5B458E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755AD">
              <w:rPr>
                <w:rFonts w:cs="Arial"/>
                <w:b/>
                <w:bCs/>
                <w:sz w:val="14"/>
                <w:szCs w:val="14"/>
              </w:rPr>
              <w:t>Predicting poor responders</w:t>
            </w:r>
          </w:p>
        </w:tc>
        <w:tc>
          <w:tcPr>
            <w:tcW w:w="1863" w:type="pct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48835C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755AD">
              <w:rPr>
                <w:rFonts w:cs="Arial"/>
                <w:b/>
                <w:bCs/>
                <w:sz w:val="14"/>
                <w:szCs w:val="14"/>
              </w:rPr>
              <w:t>Predicting hyper-responders</w:t>
            </w:r>
          </w:p>
        </w:tc>
      </w:tr>
      <w:tr w:rsidR="005E16DA" w:rsidRPr="006755AD" w14:paraId="6F8012FA" w14:textId="77777777" w:rsidTr="005F153D">
        <w:trPr>
          <w:trHeight w:val="283"/>
        </w:trPr>
        <w:tc>
          <w:tcPr>
            <w:tcW w:w="138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23A88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</w:p>
        </w:tc>
        <w:tc>
          <w:tcPr>
            <w:tcW w:w="1119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C78DA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755AD">
              <w:rPr>
                <w:rFonts w:cs="Arial"/>
                <w:b/>
                <w:bCs/>
                <w:sz w:val="14"/>
                <w:szCs w:val="14"/>
              </w:rPr>
              <w:t>AUROC (95%</w:t>
            </w:r>
            <w:r>
              <w:rPr>
                <w:rFonts w:cs="Arial"/>
                <w:b/>
                <w:bCs/>
                <w:sz w:val="14"/>
                <w:szCs w:val="14"/>
              </w:rPr>
              <w:t>CI</w:t>
            </w:r>
            <w:r w:rsidRPr="006755AD">
              <w:rPr>
                <w:rFonts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63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635305D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755AD">
              <w:rPr>
                <w:rFonts w:cs="Arial"/>
                <w:b/>
                <w:bCs/>
                <w:sz w:val="14"/>
                <w:szCs w:val="14"/>
              </w:rPr>
              <w:t>DeLong test</w:t>
            </w:r>
            <w:r w:rsidRPr="006755AD">
              <w:rPr>
                <w:rFonts w:cs="Arial"/>
                <w:b/>
                <w:bCs/>
                <w:sz w:val="14"/>
                <w:szCs w:val="14"/>
              </w:rPr>
              <w:br/>
              <w:t>(</w:t>
            </w:r>
            <w:r w:rsidRPr="00D03693">
              <w:rPr>
                <w:rFonts w:cs="Arial"/>
                <w:b/>
                <w:bCs/>
                <w:i/>
                <w:iCs/>
                <w:sz w:val="14"/>
                <w:szCs w:val="14"/>
              </w:rPr>
              <w:t>P</w:t>
            </w:r>
            <w:r>
              <w:rPr>
                <w:rFonts w:cs="Arial"/>
                <w:b/>
                <w:bCs/>
                <w:sz w:val="14"/>
                <w:szCs w:val="14"/>
              </w:rPr>
              <w:t xml:space="preserve"> value</w:t>
            </w:r>
            <w:r w:rsidRPr="006755AD">
              <w:rPr>
                <w:rFonts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16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D52A7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755AD">
              <w:rPr>
                <w:rFonts w:cs="Arial"/>
                <w:b/>
                <w:bCs/>
                <w:sz w:val="14"/>
                <w:szCs w:val="14"/>
              </w:rPr>
              <w:t>AUROC (95%</w:t>
            </w:r>
            <w:r>
              <w:rPr>
                <w:rFonts w:cs="Arial"/>
                <w:b/>
                <w:bCs/>
                <w:sz w:val="14"/>
                <w:szCs w:val="14"/>
              </w:rPr>
              <w:t>CI</w:t>
            </w:r>
            <w:r w:rsidRPr="006755AD">
              <w:rPr>
                <w:rFonts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697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5A8959A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755AD">
              <w:rPr>
                <w:rFonts w:cs="Arial"/>
                <w:b/>
                <w:bCs/>
                <w:sz w:val="14"/>
                <w:szCs w:val="14"/>
              </w:rPr>
              <w:t>DeLong test</w:t>
            </w:r>
            <w:r w:rsidRPr="006755AD">
              <w:rPr>
                <w:rFonts w:cs="Arial"/>
                <w:b/>
                <w:bCs/>
                <w:sz w:val="14"/>
                <w:szCs w:val="14"/>
              </w:rPr>
              <w:br/>
              <w:t>(</w:t>
            </w:r>
            <w:r w:rsidRPr="00D03693">
              <w:rPr>
                <w:rFonts w:cs="Arial"/>
                <w:b/>
                <w:bCs/>
                <w:i/>
                <w:iCs/>
                <w:sz w:val="14"/>
                <w:szCs w:val="14"/>
              </w:rPr>
              <w:t>P</w:t>
            </w:r>
            <w:r w:rsidRPr="006755AD">
              <w:rPr>
                <w:rFonts w:cs="Arial"/>
                <w:b/>
                <w:bCs/>
                <w:sz w:val="14"/>
                <w:szCs w:val="14"/>
              </w:rPr>
              <w:t xml:space="preserve"> value)</w:t>
            </w:r>
          </w:p>
        </w:tc>
      </w:tr>
      <w:tr w:rsidR="005E16DA" w:rsidRPr="006755AD" w14:paraId="71484D79" w14:textId="77777777" w:rsidTr="005F153D">
        <w:trPr>
          <w:trHeight w:val="285"/>
        </w:trPr>
        <w:tc>
          <w:tcPr>
            <w:tcW w:w="138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4FF74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755AD">
              <w:rPr>
                <w:rFonts w:cs="Arial"/>
                <w:b/>
                <w:bCs/>
                <w:sz w:val="14"/>
                <w:szCs w:val="14"/>
              </w:rPr>
              <w:t>Comparison</w:t>
            </w:r>
            <w:r>
              <w:rPr>
                <w:rFonts w:cs="Arial"/>
                <w:b/>
                <w:bCs/>
                <w:sz w:val="14"/>
                <w:szCs w:val="14"/>
              </w:rPr>
              <w:t>s</w:t>
            </w:r>
            <w:r w:rsidRPr="006755AD">
              <w:rPr>
                <w:rFonts w:cs="Arial"/>
                <w:b/>
                <w:bCs/>
                <w:sz w:val="14"/>
                <w:szCs w:val="14"/>
              </w:rPr>
              <w:t xml:space="preserve"> for deploying OS strategies</w:t>
            </w:r>
          </w:p>
        </w:tc>
        <w:tc>
          <w:tcPr>
            <w:tcW w:w="111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8B7B9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</w:p>
        </w:tc>
        <w:tc>
          <w:tcPr>
            <w:tcW w:w="63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CD89F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116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F303F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697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A8FB8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5E16DA" w:rsidRPr="006755AD" w14:paraId="68C8525F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7DD10DA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  <w:vertAlign w:val="superscript"/>
              </w:rPr>
            </w:pPr>
            <w:r w:rsidRPr="006755AD">
              <w:rPr>
                <w:rFonts w:cs="Arial"/>
                <w:sz w:val="14"/>
                <w:szCs w:val="14"/>
              </w:rPr>
              <w:t xml:space="preserve">Strategy </w:t>
            </w:r>
            <w:proofErr w:type="spellStart"/>
            <w:r w:rsidRPr="006755AD">
              <w:rPr>
                <w:rFonts w:cs="Arial"/>
                <w:sz w:val="14"/>
                <w:szCs w:val="14"/>
              </w:rPr>
              <w:t>submodels</w:t>
            </w:r>
            <w:r w:rsidRPr="006755AD">
              <w:rPr>
                <w:rFonts w:cs="Arial"/>
                <w:sz w:val="14"/>
                <w:szCs w:val="14"/>
                <w:vertAlign w:val="superscript"/>
              </w:rPr>
              <w:t>a</w:t>
            </w:r>
            <w:proofErr w:type="spellEnd"/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58065CE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0.929 (0.917, 0.940)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72790B2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Ref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13E6B0A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0.869 (0.853, 0.884)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141445D9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Ref</w:t>
            </w:r>
          </w:p>
        </w:tc>
      </w:tr>
      <w:tr w:rsidR="005E16DA" w:rsidRPr="006755AD" w14:paraId="59CC33A6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680CFDB8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556E7BAC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0.846 (0.827, 0.863)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A8B4AAE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1CBCBCD8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0.726 (0.703, 0.751)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0FA576D3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3DD8928B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09E64D96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FSH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633B24A5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0.862 (0.844, 0.878)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EF9ADC6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7B8C6AF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0.747 (0.723, 0.770)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54F1084F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7322E14F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387AC227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AFC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58771BF9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0.877 (0.860, 0.893)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C78F612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77850FD7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0.773 (0.749, 0.796)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46BD9C52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61F4008B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1C2A86A4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AMH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267C0DA2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0.902 (0.886, 0.916)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023C158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76BCF700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0.823 (0.805, 0.840)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4A5CB762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5AC13F3F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68C5BB72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 FSH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04B4F449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0.861 (0.843, 0.878)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2D0C4F44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4C49A6C3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0.756 (0.732, 0.779)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408F767C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6C5A5E4D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42A449AD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 AFC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33AB3A01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0.873 (0.856, 0.889)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4ADD0F21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1D9A4BDE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0.766 (0.744, 0.788)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435D462F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5350EE7B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61E09905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 AMH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005B4823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0.899 (0.883, 0.915)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48EB08B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7BBAD99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0.823 (0.805, 0.840)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4A3AF835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3706CD11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62D9CDB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 AMH + FSH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58B67219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0.904 (0.889, 0.917)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A4409E3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4F3C3D61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0.835 (0.816, 0.852)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550B8C00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570D2A1F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1AF5E2B0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 AMH + AFC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660647C9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0.907 (0.892, 0.921)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19FCDFA9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151D109E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0.832 (0.814, 0.849)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1713360C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35D1EBA0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2F15D735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 AMH + FSH + AFC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73EDCDF7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0.914 (0.901, 0.927)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503620A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6DD4BCEC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0.845 (0.827, 0.862)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156098C8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2872FF03" w14:textId="77777777" w:rsidTr="005F153D">
        <w:trPr>
          <w:trHeight w:val="283"/>
        </w:trPr>
        <w:tc>
          <w:tcPr>
            <w:tcW w:w="1386" w:type="pct"/>
            <w:shd w:val="clear" w:color="auto" w:fill="auto"/>
            <w:vAlign w:val="center"/>
            <w:hideMark/>
          </w:tcPr>
          <w:p w14:paraId="51493117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  <w:vertAlign w:val="superscript"/>
              </w:rPr>
            </w:pPr>
            <w:r w:rsidRPr="006755AD">
              <w:rPr>
                <w:rFonts w:cs="Arial"/>
                <w:sz w:val="14"/>
                <w:szCs w:val="14"/>
              </w:rPr>
              <w:t xml:space="preserve">Strategy model (complete </w:t>
            </w:r>
            <w:proofErr w:type="gramStart"/>
            <w:r w:rsidRPr="006755AD">
              <w:rPr>
                <w:rFonts w:cs="Arial"/>
                <w:sz w:val="14"/>
                <w:szCs w:val="14"/>
              </w:rPr>
              <w:t>data)</w:t>
            </w:r>
            <w:r w:rsidRPr="006755AD">
              <w:rPr>
                <w:rFonts w:cs="Arial"/>
                <w:sz w:val="14"/>
                <w:szCs w:val="14"/>
                <w:vertAlign w:val="superscript"/>
              </w:rPr>
              <w:t>b</w:t>
            </w:r>
            <w:proofErr w:type="gramEnd"/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7FED22A2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0.921 (0.903, 0.938)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4756948A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0.502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5F8D5D5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0.872 (0.850, 0.894)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4D434320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0.847</w:t>
            </w:r>
          </w:p>
        </w:tc>
      </w:tr>
      <w:tr w:rsidR="005E16DA" w:rsidRPr="006755AD" w14:paraId="62C2E51E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5EADEE81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755AD">
              <w:rPr>
                <w:rFonts w:cs="Arial"/>
                <w:b/>
                <w:bCs/>
                <w:sz w:val="14"/>
                <w:szCs w:val="14"/>
              </w:rPr>
              <w:t>Comparison</w:t>
            </w:r>
            <w:r>
              <w:rPr>
                <w:rFonts w:cs="Arial"/>
                <w:b/>
                <w:bCs/>
                <w:sz w:val="14"/>
                <w:szCs w:val="14"/>
              </w:rPr>
              <w:t>s</w:t>
            </w:r>
            <w:r w:rsidRPr="006755AD">
              <w:rPr>
                <w:rFonts w:cs="Arial"/>
                <w:b/>
                <w:bCs/>
                <w:sz w:val="14"/>
                <w:szCs w:val="14"/>
              </w:rPr>
              <w:t xml:space="preserve"> for identifying POR/HOR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51A3B197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FE0C8D2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3D84E766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2EADF5FE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</w:tr>
      <w:tr w:rsidR="005E16DA" w:rsidRPr="006755AD" w14:paraId="7B7881B8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69DC938D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  <w:vertAlign w:val="superscript"/>
              </w:rPr>
            </w:pPr>
            <w:r w:rsidRPr="006755AD">
              <w:rPr>
                <w:rFonts w:cs="Arial"/>
                <w:sz w:val="14"/>
                <w:szCs w:val="14"/>
              </w:rPr>
              <w:t xml:space="preserve">Diagnostic </w:t>
            </w:r>
            <w:proofErr w:type="spellStart"/>
            <w:r w:rsidRPr="006755AD">
              <w:rPr>
                <w:rFonts w:cs="Arial"/>
                <w:sz w:val="14"/>
                <w:szCs w:val="14"/>
              </w:rPr>
              <w:t>submodels</w:t>
            </w:r>
            <w:r w:rsidRPr="006755AD">
              <w:rPr>
                <w:rFonts w:cs="Arial"/>
                <w:sz w:val="14"/>
                <w:szCs w:val="14"/>
                <w:vertAlign w:val="superscript"/>
              </w:rPr>
              <w:t>a</w:t>
            </w:r>
            <w:proofErr w:type="spellEnd"/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4E157864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0.920 (0.907, 0.933)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28B86AF2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Ref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45EB9ED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0.860 (0.843, 0.876)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7B3A0255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Ref</w:t>
            </w:r>
          </w:p>
        </w:tc>
      </w:tr>
      <w:tr w:rsidR="005E16DA" w:rsidRPr="006755AD" w14:paraId="49CA6981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59156003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241129C9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0.709 (0.684, 0.734)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417CBD91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69812A55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0.663 (0.634, 0.690)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1B41E3BC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47CAC24A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753E5B44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FSH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744044FF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0.733 (0.707, 0.759)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0A3F03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0C44028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0.683 (0.655, 0.709)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282252AF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77430FAE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488C6BFF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AFC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4E17EAAE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0.825 (0.804, 0.844)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692F546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4ED82CA9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0.771 (0.747, 0.793)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56362C01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43A0C038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62BD86F0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AMH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1BEE816D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0.890 (0.873, 0.905)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27E7FD14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09E4B0E0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0.821 (0.803, 0.839)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2562353A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079C29E8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08FB0F7F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+FSH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228E24E0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0.780 (0.756, 0.802)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42295F85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4842495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0.722 (0.696, 0.745)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3205124F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7F583D6E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0D006E85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 AFC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649C917F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0.835 (0.816, 0.855)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6586A348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7932DB71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0.767 (0.743, 0.791)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2F197989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2476726A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77399BC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 AMH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781ABE3E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0.891 (0.874, 0.906)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35014856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0D40CFCE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0.809 (0.792, 0.823)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0A70CD08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30AF0741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6F10236C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 AMH + FSH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592BDB0C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0.894 (0.878, 0.908)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027F3C19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66312B4D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0.813 (0.793, 0.831)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075706DD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752281BC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45B62094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 AMH + AFC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770CB10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0.897 (0.880, 0.912)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3CF0E6B0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00CEB2CD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0.818 (0.799, 0.836)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14AE132E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3CDB8302" w14:textId="77777777" w:rsidTr="005F153D">
        <w:trPr>
          <w:trHeight w:val="285"/>
        </w:trPr>
        <w:tc>
          <w:tcPr>
            <w:tcW w:w="1386" w:type="pct"/>
            <w:shd w:val="clear" w:color="auto" w:fill="auto"/>
            <w:vAlign w:val="center"/>
            <w:hideMark/>
          </w:tcPr>
          <w:p w14:paraId="47D7ED37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Age + AMH + FSH + AFC</w:t>
            </w:r>
          </w:p>
        </w:tc>
        <w:tc>
          <w:tcPr>
            <w:tcW w:w="1119" w:type="pct"/>
            <w:shd w:val="clear" w:color="auto" w:fill="auto"/>
            <w:noWrap/>
            <w:vAlign w:val="center"/>
            <w:hideMark/>
          </w:tcPr>
          <w:p w14:paraId="41B42608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0.897 (0.882, 0.912)</w:t>
            </w:r>
          </w:p>
        </w:tc>
        <w:tc>
          <w:tcPr>
            <w:tcW w:w="632" w:type="pct"/>
            <w:shd w:val="clear" w:color="auto" w:fill="auto"/>
            <w:noWrap/>
            <w:vAlign w:val="center"/>
            <w:hideMark/>
          </w:tcPr>
          <w:p w14:paraId="3723CC96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  <w:tc>
          <w:tcPr>
            <w:tcW w:w="1166" w:type="pct"/>
            <w:shd w:val="clear" w:color="auto" w:fill="auto"/>
            <w:noWrap/>
            <w:vAlign w:val="center"/>
            <w:hideMark/>
          </w:tcPr>
          <w:p w14:paraId="736C5B80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0.826 (0.808, 0.845)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1EFF2281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&lt;0.001</w:t>
            </w:r>
          </w:p>
        </w:tc>
      </w:tr>
      <w:tr w:rsidR="005E16DA" w:rsidRPr="006755AD" w14:paraId="67B0963C" w14:textId="77777777" w:rsidTr="005F153D">
        <w:trPr>
          <w:trHeight w:val="283"/>
        </w:trPr>
        <w:tc>
          <w:tcPr>
            <w:tcW w:w="1386" w:type="pct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C3DBCE4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  <w:vertAlign w:val="superscript"/>
              </w:rPr>
            </w:pPr>
            <w:r w:rsidRPr="006755AD">
              <w:rPr>
                <w:rFonts w:cs="Arial"/>
                <w:sz w:val="14"/>
                <w:szCs w:val="14"/>
              </w:rPr>
              <w:t xml:space="preserve">Diagnostic model (complete </w:t>
            </w:r>
            <w:proofErr w:type="gramStart"/>
            <w:r w:rsidRPr="006755AD">
              <w:rPr>
                <w:rFonts w:cs="Arial"/>
                <w:sz w:val="14"/>
                <w:szCs w:val="14"/>
              </w:rPr>
              <w:t>data)</w:t>
            </w:r>
            <w:r w:rsidRPr="006755AD">
              <w:rPr>
                <w:rFonts w:cs="Arial"/>
                <w:sz w:val="14"/>
                <w:szCs w:val="14"/>
                <w:vertAlign w:val="superscript"/>
              </w:rPr>
              <w:t>b</w:t>
            </w:r>
            <w:proofErr w:type="gramEnd"/>
          </w:p>
        </w:tc>
        <w:tc>
          <w:tcPr>
            <w:tcW w:w="1119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45682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0.912 (0.890, 0.930)</w:t>
            </w:r>
          </w:p>
        </w:tc>
        <w:tc>
          <w:tcPr>
            <w:tcW w:w="632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7B7B5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0.491</w:t>
            </w:r>
          </w:p>
        </w:tc>
        <w:tc>
          <w:tcPr>
            <w:tcW w:w="1166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F659B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0.862 (0.839, 0.884)</w:t>
            </w:r>
          </w:p>
        </w:tc>
        <w:tc>
          <w:tcPr>
            <w:tcW w:w="697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9D6C2" w14:textId="77777777" w:rsidR="005E16DA" w:rsidRPr="006755AD" w:rsidRDefault="005E16DA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6755AD">
              <w:rPr>
                <w:rFonts w:cs="Arial"/>
                <w:sz w:val="14"/>
                <w:szCs w:val="14"/>
              </w:rPr>
              <w:t>0.901</w:t>
            </w:r>
          </w:p>
        </w:tc>
      </w:tr>
      <w:tr w:rsidR="005E16DA" w:rsidRPr="006755AD" w14:paraId="76575ACE" w14:textId="77777777" w:rsidTr="005F153D">
        <w:trPr>
          <w:trHeight w:val="283"/>
        </w:trPr>
        <w:tc>
          <w:tcPr>
            <w:tcW w:w="5000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C8059C1" w14:textId="77777777" w:rsidR="005E16DA" w:rsidRPr="00570FBC" w:rsidRDefault="005E16DA" w:rsidP="005F153D">
            <w:pPr>
              <w:snapToGrid w:val="0"/>
              <w:rPr>
                <w:rFonts w:eastAsiaTheme="minorEastAsia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CI</w:t>
            </w:r>
            <w:r>
              <w:rPr>
                <w:rFonts w:eastAsiaTheme="minorEastAsia" w:cs="Arial" w:hint="eastAsia"/>
                <w:sz w:val="14"/>
                <w:szCs w:val="14"/>
              </w:rPr>
              <w:t>,</w:t>
            </w:r>
            <w:r>
              <w:rPr>
                <w:rFonts w:eastAsiaTheme="minorEastAsia" w:cs="Arial"/>
                <w:sz w:val="14"/>
                <w:szCs w:val="14"/>
              </w:rPr>
              <w:t xml:space="preserve"> confidence intervals; Ref, reference.</w:t>
            </w:r>
          </w:p>
          <w:p w14:paraId="630038C6" w14:textId="77777777" w:rsidR="005E16DA" w:rsidRPr="006755AD" w:rsidRDefault="005E16DA" w:rsidP="005F153D">
            <w:pPr>
              <w:snapToGrid w:val="0"/>
              <w:rPr>
                <w:rFonts w:cs="Arial"/>
                <w:sz w:val="14"/>
                <w:szCs w:val="14"/>
              </w:rPr>
            </w:pPr>
            <w:proofErr w:type="spellStart"/>
            <w:r w:rsidRPr="006755AD">
              <w:rPr>
                <w:rFonts w:cs="Arial"/>
                <w:sz w:val="14"/>
                <w:szCs w:val="14"/>
                <w:vertAlign w:val="superscript"/>
              </w:rPr>
              <w:t>a</w:t>
            </w:r>
            <w:r w:rsidRPr="006755AD">
              <w:rPr>
                <w:rFonts w:cs="Arial"/>
                <w:sz w:val="14"/>
                <w:szCs w:val="14"/>
              </w:rPr>
              <w:t>Submodels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integrated</w:t>
            </w:r>
            <w:r w:rsidRPr="006755AD">
              <w:rPr>
                <w:rFonts w:cs="Arial"/>
                <w:sz w:val="14"/>
                <w:szCs w:val="14"/>
              </w:rPr>
              <w:t xml:space="preserve"> in the proposed ML system;</w:t>
            </w:r>
          </w:p>
          <w:p w14:paraId="1A8EE0EB" w14:textId="77777777" w:rsidR="005E16DA" w:rsidRPr="006755AD" w:rsidRDefault="005E16DA" w:rsidP="005F153D">
            <w:pPr>
              <w:snapToGrid w:val="0"/>
              <w:rPr>
                <w:rFonts w:cs="Arial"/>
                <w:sz w:val="14"/>
                <w:szCs w:val="14"/>
              </w:rPr>
            </w:pPr>
            <w:proofErr w:type="spellStart"/>
            <w:r w:rsidRPr="006755AD">
              <w:rPr>
                <w:rFonts w:cs="Arial"/>
                <w:sz w:val="14"/>
                <w:szCs w:val="14"/>
                <w:vertAlign w:val="superscript"/>
              </w:rPr>
              <w:t>b</w:t>
            </w:r>
            <w:r w:rsidRPr="006755AD">
              <w:rPr>
                <w:rFonts w:cs="Arial"/>
                <w:sz w:val="14"/>
                <w:szCs w:val="14"/>
              </w:rPr>
              <w:t>Models</w:t>
            </w:r>
            <w:proofErr w:type="spellEnd"/>
            <w:r w:rsidRPr="006755AD">
              <w:rPr>
                <w:rFonts w:cs="Arial"/>
                <w:sz w:val="14"/>
                <w:szCs w:val="14"/>
              </w:rPr>
              <w:t xml:space="preserve"> derived from the complete case data of the derivation cohort.</w:t>
            </w:r>
          </w:p>
        </w:tc>
      </w:tr>
    </w:tbl>
    <w:p w14:paraId="17695FFF" w14:textId="77777777" w:rsidR="006058C9" w:rsidRPr="00EA3E80" w:rsidRDefault="006058C9" w:rsidP="00EA3E80"/>
    <w:sectPr w:rsidR="006058C9" w:rsidRPr="00EA3E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2ACA" w14:textId="77777777" w:rsidR="00E65F1C" w:rsidRDefault="00E65F1C" w:rsidP="00EA3E80">
      <w:r>
        <w:separator/>
      </w:r>
    </w:p>
  </w:endnote>
  <w:endnote w:type="continuationSeparator" w:id="0">
    <w:p w14:paraId="27289FC7" w14:textId="77777777" w:rsidR="00E65F1C" w:rsidRDefault="00E65F1C" w:rsidP="00EA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FDF8" w14:textId="77777777" w:rsidR="00E65F1C" w:rsidRDefault="00E65F1C" w:rsidP="00EA3E80">
      <w:r>
        <w:separator/>
      </w:r>
    </w:p>
  </w:footnote>
  <w:footnote w:type="continuationSeparator" w:id="0">
    <w:p w14:paraId="4C36762E" w14:textId="77777777" w:rsidR="00E65F1C" w:rsidRDefault="00E65F1C" w:rsidP="00EA3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E0"/>
    <w:rsid w:val="00140721"/>
    <w:rsid w:val="001477E9"/>
    <w:rsid w:val="003E5AFF"/>
    <w:rsid w:val="00416FF5"/>
    <w:rsid w:val="00454674"/>
    <w:rsid w:val="004D3C69"/>
    <w:rsid w:val="00540000"/>
    <w:rsid w:val="005E16DA"/>
    <w:rsid w:val="006058C9"/>
    <w:rsid w:val="007F17E2"/>
    <w:rsid w:val="00882E73"/>
    <w:rsid w:val="009F11B1"/>
    <w:rsid w:val="00BE5EB0"/>
    <w:rsid w:val="00C135D2"/>
    <w:rsid w:val="00D17BE5"/>
    <w:rsid w:val="00E65F1C"/>
    <w:rsid w:val="00EA3E80"/>
    <w:rsid w:val="00EF7A06"/>
    <w:rsid w:val="00F5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818B"/>
  <w15:chartTrackingRefBased/>
  <w15:docId w15:val="{D50F1A6E-080B-44F1-9038-95A6CD85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6D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EB0"/>
    <w:pPr>
      <w:keepNext/>
      <w:keepLines/>
      <w:spacing w:before="240" w:line="276" w:lineRule="auto"/>
      <w:outlineLvl w:val="0"/>
    </w:pPr>
    <w:rPr>
      <w:rFonts w:eastAsiaTheme="min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EB0"/>
    <w:pPr>
      <w:keepNext/>
      <w:keepLines/>
      <w:spacing w:before="120" w:line="276" w:lineRule="auto"/>
      <w:outlineLvl w:val="1"/>
    </w:pPr>
    <w:rPr>
      <w:rFonts w:eastAsiaTheme="min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EB0"/>
    <w:pPr>
      <w:keepNext/>
      <w:keepLines/>
      <w:spacing w:before="40" w:line="276" w:lineRule="auto"/>
      <w:outlineLvl w:val="2"/>
    </w:pPr>
    <w:rPr>
      <w:rFonts w:eastAsiaTheme="minorEastAsia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EB0"/>
    <w:pPr>
      <w:keepNext/>
      <w:keepLines/>
      <w:spacing w:before="40" w:line="276" w:lineRule="auto"/>
      <w:outlineLvl w:val="3"/>
    </w:pPr>
    <w:rPr>
      <w:rFonts w:eastAsiaTheme="minorEastAsia" w:cstheme="majorBidi"/>
      <w:b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EB0"/>
    <w:pPr>
      <w:keepNext/>
      <w:keepLines/>
      <w:spacing w:before="40" w:line="276" w:lineRule="auto"/>
      <w:outlineLvl w:val="4"/>
    </w:pPr>
    <w:rPr>
      <w:rFonts w:eastAsiaTheme="minorEastAsia" w:cstheme="majorBid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5EB0"/>
    <w:pPr>
      <w:keepNext/>
      <w:keepLines/>
      <w:spacing w:before="40" w:line="276" w:lineRule="auto"/>
      <w:outlineLvl w:val="5"/>
    </w:pPr>
    <w:rPr>
      <w:rFonts w:eastAsiaTheme="minorEastAsia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B0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B0"/>
    <w:pPr>
      <w:spacing w:after="120" w:line="276" w:lineRule="auto"/>
      <w:contextualSpacing/>
      <w:jc w:val="center"/>
    </w:pPr>
    <w:rPr>
      <w:rFonts w:eastAsiaTheme="min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B0"/>
    <w:rPr>
      <w:rFonts w:ascii="Arial" w:hAnsi="Arial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5EB0"/>
    <w:rPr>
      <w:rFonts w:ascii="Arial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EB0"/>
    <w:rPr>
      <w:rFonts w:ascii="Arial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EB0"/>
    <w:rPr>
      <w:rFonts w:ascii="Arial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5EB0"/>
    <w:rPr>
      <w:rFonts w:ascii="Arial" w:hAnsi="Arial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E5EB0"/>
    <w:rPr>
      <w:rFonts w:ascii="Arial" w:hAnsi="Aria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BE5EB0"/>
    <w:rPr>
      <w:rFonts w:ascii="Arial" w:hAnsi="Arial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BE5"/>
    <w:pPr>
      <w:numPr>
        <w:ilvl w:val="1"/>
      </w:numPr>
      <w:spacing w:after="160" w:line="276" w:lineRule="auto"/>
      <w:jc w:val="center"/>
    </w:pPr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BE5"/>
    <w:rPr>
      <w:b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EF7A06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qFormat/>
    <w:rsid w:val="00EF7A06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A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 w:cstheme="minorBidi"/>
      <w:i/>
      <w:iCs/>
      <w:color w:val="4472C4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A0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6058C9"/>
    <w:pPr>
      <w:spacing w:after="0" w:line="276" w:lineRule="auto"/>
      <w:jc w:val="both"/>
    </w:pPr>
    <w:rPr>
      <w:rFonts w:ascii="Arial" w:hAnsi="Arial"/>
    </w:rPr>
  </w:style>
  <w:style w:type="paragraph" w:styleId="Bibliography">
    <w:name w:val="Bibliography"/>
    <w:basedOn w:val="Normal"/>
    <w:next w:val="Normal"/>
    <w:uiPriority w:val="37"/>
    <w:unhideWhenUsed/>
    <w:rsid w:val="00EA3E80"/>
    <w:pPr>
      <w:tabs>
        <w:tab w:val="left" w:pos="264"/>
      </w:tabs>
      <w:spacing w:line="276" w:lineRule="auto"/>
      <w:ind w:left="386" w:hanging="386"/>
    </w:pPr>
    <w:rPr>
      <w:rFonts w:eastAsiaTheme="minorEastAsia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A3E8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3E80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5E16DA"/>
    <w:pPr>
      <w:spacing w:after="0" w:line="240" w:lineRule="auto"/>
    </w:pPr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Guiquan</dc:creator>
  <cp:keywords/>
  <dc:description/>
  <cp:lastModifiedBy>Wang Guiquan</cp:lastModifiedBy>
  <cp:revision>2</cp:revision>
  <dcterms:created xsi:type="dcterms:W3CDTF">2022-06-30T15:59:00Z</dcterms:created>
  <dcterms:modified xsi:type="dcterms:W3CDTF">2022-06-30T15:59:00Z</dcterms:modified>
</cp:coreProperties>
</file>