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</w:r>
    </w:p>
    <w:p>
      <w:pPr>
        <w:spacing w:after="30"/>
        <w:jc w:val="center"/>
      </w:pPr>
      <w:r>
        <w:rPr>
          <w:b/>
          <w:bCs/>
          <w:color w:val="1F2430"/>
          <w:sz w:val="22"/>
          <w:szCs w:val="22"/>
        </w:rPr>
        <w:t xml:space="preserve">Centro Universitário — Engenharia de Software</w:t>
      </w:r>
    </w:p>
    <w:p>
      <w:pPr>
        <w:spacing w:after="30"/>
        <w:jc w:val="center"/>
      </w:pPr>
      <w:r>
        <w:rPr>
          <w:color w:val="1F2430"/>
          <w:sz w:val="22"/>
          <w:szCs w:val="22"/>
        </w:rPr>
        <w:t xml:space="preserve">Aplicações Inteligentes no Dia-a-Dia</w:t>
      </w:r>
    </w:p>
    <w:p>
      <w:pPr>
        <w:spacing w:after="900"/>
        <w:jc w:val="center"/>
      </w:pPr>
      <w:r>
        <w:rPr>
          <w:color w:val="5B6472"/>
          <w:sz w:val="22"/>
          <w:szCs w:val="22"/>
        </w:rPr>
        <w:t xml:space="preserve">Prof. Claudinei Dias (Ney)</w:t>
      </w:r>
    </w:p>
    <w:p>
      <w:pPr>
        <w:spacing w:after="80"/>
        <w:jc w:val="center"/>
      </w:pPr>
      <w:r>
        <w:rPr>
          <w:b/>
          <w:bCs/>
          <w:color w:val="3B3AC4"/>
          <w:sz w:val="40"/>
          <w:szCs w:val="40"/>
        </w:rPr>
        <w:t xml:space="preserve">SISTEMAS BASEADOS EM REGRAS</w:t>
      </w:r>
    </w:p>
    <w:p>
      <w:pPr>
        <w:pBdr>
          <w:bottom w:val="single" w:color="3B3AC4" w:sz="10" w:space="8"/>
        </w:pBdr>
        <w:spacing w:after="40"/>
        <w:jc w:val="center"/>
      </w:pPr>
      <w:r>
        <w:rPr>
          <w:sz w:val="8"/>
          <w:szCs w:val="8"/>
        </w:rPr>
      </w:r>
    </w:p>
    <w:p>
      <w:pPr>
        <w:spacing w:after="20"/>
        <w:jc w:val="center"/>
      </w:pPr>
      <w:r>
        <w:rPr>
          <w:b/>
          <w:bCs/>
          <w:color w:val="1F2430"/>
          <w:sz w:val="28"/>
          <w:szCs w:val="28"/>
        </w:rPr>
        <w:t xml:space="preserve">RuleDesk — Sistema Especialista para Triagem</w:t>
      </w:r>
    </w:p>
    <w:p>
      <w:pPr>
        <w:spacing w:after="900"/>
        <w:jc w:val="center"/>
      </w:pPr>
      <w:r>
        <w:rPr>
          <w:b/>
          <w:bCs/>
          <w:color w:val="1F2430"/>
          <w:sz w:val="28"/>
          <w:szCs w:val="28"/>
        </w:rPr>
        <w:t xml:space="preserve">Inteligente de Chamados de TI</w:t>
      </w:r>
    </w:p>
    <w:p>
      <w:pPr>
        <w:spacing w:after="60"/>
        <w:jc w:val="center"/>
      </w:pPr>
      <w:r>
        <w:rPr>
          <w:b/>
          <w:bCs/>
          <w:color w:val="1F2430"/>
          <w:sz w:val="22"/>
          <w:szCs w:val="22"/>
        </w:rPr>
        <w:t xml:space="preserve">Relatório de Seminário (N3)</w:t>
      </w:r>
    </w:p>
    <w:p>
      <w:pPr>
        <w:spacing w:after="20"/>
        <w:jc w:val="center"/>
      </w:pPr>
      <w:r>
        <w:rPr>
          <w:b/>
          <w:bCs/>
          <w:color w:val="5B6472"/>
          <w:sz w:val="20"/>
          <w:szCs w:val="20"/>
        </w:rPr>
        <w:t xml:space="preserve">Integrantes</w:t>
      </w:r>
    </w:p>
    <w:p>
      <w:pPr>
        <w:spacing w:after="70"/>
        <w:jc w:val="center"/>
      </w:pPr>
      <w:r>
        <w:rPr>
          <w:b/>
          <w:bCs/>
          <w:color w:val="1F2430"/>
          <w:sz w:val="24"/>
          <w:szCs w:val="24"/>
        </w:rPr>
        <w:t xml:space="preserve">Guilherme Renzo   ·   Gustavo Vieira</w:t>
      </w:r>
    </w:p>
    <w:p>
      <w:pPr>
        <w:spacing w:after="40"/>
        <w:jc w:val="center"/>
      </w:pPr>
      <w:r>
        <w:rPr>
          <w:color w:val="5B6472"/>
          <w:sz w:val="19"/>
          <w:szCs w:val="19"/>
        </w:rPr>
        <w:t xml:space="preserve">Repositório do projeto (GitHub): github.com/Guirenzo/ruledesk</w:t>
      </w:r>
    </w:p>
    <w:p>
      <w:pPr>
        <w:spacing w:after="40"/>
        <w:jc w:val="center"/>
      </w:pPr>
      <w:r>
        <w:rPr>
          <w:color w:val="5B6472"/>
          <w:sz w:val="22"/>
          <w:szCs w:val="22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2430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Introdução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A Inteligência Artificial (IA) costuma ser associada, no senso comum, a redes neurais profundas e a modelos generativos treinados sobre grandes volumes de dados. Essa é, porém, apenas uma de suas vertentes — a chamada </w:t>
      </w:r>
      <w:r>
        <w:rPr>
          <w:b/>
          <w:bCs/>
          <w:color w:val="1F2430"/>
          <w:sz w:val="22"/>
          <w:szCs w:val="22"/>
        </w:rPr>
        <w:t xml:space="preserve">IA subsimbólica ou conexionista</w:t>
      </w:r>
      <w:r>
        <w:rPr>
          <w:color w:val="1F2430"/>
          <w:sz w:val="22"/>
          <w:szCs w:val="22"/>
        </w:rPr>
        <w:t xml:space="preserve">. A tradição mais antiga e ainda amplamente utilizada é a </w:t>
      </w:r>
      <w:r>
        <w:rPr>
          <w:b/>
          <w:bCs/>
          <w:color w:val="1F2430"/>
          <w:sz w:val="22"/>
          <w:szCs w:val="22"/>
        </w:rPr>
        <w:t xml:space="preserve">IA simbólica</w:t>
      </w:r>
      <w:r>
        <w:rPr>
          <w:color w:val="1F2430"/>
          <w:sz w:val="22"/>
          <w:szCs w:val="22"/>
        </w:rPr>
        <w:t xml:space="preserve">, na qual o conhecimento é representado de forma explícita e o raciocínio ocorre pela manipulação de símbolos e regras. Os </w:t>
      </w:r>
      <w:r>
        <w:rPr>
          <w:b/>
          <w:bCs/>
          <w:color w:val="1F2430"/>
          <w:sz w:val="22"/>
          <w:szCs w:val="22"/>
        </w:rPr>
        <w:t xml:space="preserve">sistemas baseados em regras</w:t>
      </w:r>
      <w:r>
        <w:rPr>
          <w:color w:val="1F2430"/>
          <w:sz w:val="22"/>
          <w:szCs w:val="22"/>
        </w:rPr>
        <w:t xml:space="preserve"> são o exemplo mais consolidado dessa abordagem.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Este relatório aprofunda o tema </w:t>
      </w:r>
      <w:r>
        <w:rPr>
          <w:b/>
          <w:bCs/>
          <w:color w:val="1F2430"/>
          <w:sz w:val="22"/>
          <w:szCs w:val="22"/>
        </w:rPr>
        <w:t xml:space="preserve">Sistemas Baseados em Regras</w:t>
      </w:r>
      <w:r>
        <w:rPr>
          <w:color w:val="1F2430"/>
          <w:sz w:val="22"/>
          <w:szCs w:val="22"/>
        </w:rPr>
        <w:t xml:space="preserve"> e o materializa em um protótipo funcional: o </w:t>
      </w:r>
      <w:r>
        <w:rPr>
          <w:b/>
          <w:bCs/>
          <w:color w:val="1F2430"/>
          <w:sz w:val="22"/>
          <w:szCs w:val="22"/>
        </w:rPr>
        <w:t xml:space="preserve">RuleDesk</w:t>
      </w:r>
      <w:r>
        <w:rPr>
          <w:color w:val="1F2430"/>
          <w:sz w:val="22"/>
          <w:szCs w:val="22"/>
        </w:rPr>
        <w:t xml:space="preserve">, um sistema especialista para triagem inteligente de chamados de suporte de Tecnologia da Informação (TI). A partir de fatos objetivos de um incidente — ambiente afetado, usuários impactados, indisponibilidade, risco de segurança, perda de dados, SLA, entre outros — o sistema infere a prioridade do chamado (P1 a P4), o tempo-alvo de resposta, o responsável indicado e um conjunto de recomendações, sempre </w:t>
      </w:r>
      <w:r>
        <w:rPr>
          <w:b/>
          <w:bCs/>
          <w:color w:val="1F2430"/>
          <w:sz w:val="22"/>
          <w:szCs w:val="22"/>
        </w:rPr>
        <w:t xml:space="preserve">justificando cada decisão</w:t>
      </w:r>
      <w:r>
        <w:rPr>
          <w:color w:val="1F2430"/>
          <w:sz w:val="22"/>
          <w:szCs w:val="22"/>
        </w:rPr>
        <w:t xml:space="preserve"> pelas regras que foram disparadas.</w:t>
      </w:r>
    </w:p>
    <w:p>
      <w:pPr>
        <w:pStyle w:val="Heading2"/>
      </w:pPr>
      <w:r>
        <w:t xml:space="preserve">1.1. Justificativa e relação com a Engenharia de Software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 tema conecta-se diretamente à Engenharia de Software. Regras de negócio, políticas de SLA, classificação de incidentes, roteamento de tickets, gestão de mudanças e auditoria são problemas do dia-a-dia em que a decisão precisa ser padronizada, rápida e — sobretudo — explicável. Um sistema baseado em regras oferece exatamente essas três propriedades, sendo uma alternativa leve e transparente a modelos estatísticos quando o conhecimento do domínio já é bem compreendido por especialistas.</w:t>
      </w:r>
    </w:p>
    <w:p>
      <w:pPr>
        <w:pStyle w:val="Heading2"/>
      </w:pPr>
      <w:r>
        <w:t xml:space="preserve">1.2. Objetivos</w:t>
      </w:r>
    </w:p>
    <w:p>
      <w:pPr>
        <w:spacing w:after="140" w:line="276"/>
      </w:pPr>
      <w:r>
        <w:rPr>
          <w:b/>
          <w:bCs/>
          <w:color w:val="1F2430"/>
          <w:sz w:val="22"/>
          <w:szCs w:val="22"/>
        </w:rPr>
        <w:t xml:space="preserve">Objetivo geral: </w:t>
      </w:r>
      <w:r>
        <w:rPr>
          <w:color w:val="1F2430"/>
          <w:sz w:val="22"/>
          <w:szCs w:val="22"/>
        </w:rPr>
        <w:t xml:space="preserve">demonstrar, na teoria e na prática, como um sistema especialista baseado em regras pode apoiar a tomada de decisão em um fluxo realista de operações de TI.</w:t>
      </w:r>
    </w:p>
    <w:p>
      <w:pPr>
        <w:spacing w:after="60" w:line="276"/>
      </w:pPr>
      <w:r>
        <w:rPr>
          <w:b/>
          <w:bCs/>
          <w:color w:val="1F2430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Representar conhecimento especialista em uma base de regras de produção;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Aplicar o encadeamento para frente (forward chaining) sobre os fatos de um chamado;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Classificar automaticamente a prioridade e o tipo do incidente;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Garantir explicabilidade, expondo as regras disparadas e o cálculo do score;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Entregar uma demonstração full-stack (backend, frontend, persistência e Docker).</w:t>
      </w:r>
    </w:p>
    <w:p>
      <w:pPr>
        <w:pStyle w:val="Heading1"/>
      </w:pPr>
      <w:r>
        <w:t xml:space="preserve">2. Fundamentos Teóricos</w:t>
      </w:r>
    </w:p>
    <w:p>
      <w:pPr>
        <w:pStyle w:val="Heading2"/>
      </w:pPr>
      <w:r>
        <w:t xml:space="preserve">2.1. Inteligência Artificial Simbólica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A IA simbólica — também chamada de </w:t>
      </w:r>
      <w:r>
        <w:rPr>
          <w:i/>
          <w:iCs/>
          <w:color w:val="1F2430"/>
          <w:sz w:val="22"/>
          <w:szCs w:val="22"/>
        </w:rPr>
        <w:t xml:space="preserve">GOFAI (Good Old-Fashioned Artificial Intelligence)</w:t>
      </w:r>
      <w:r>
        <w:rPr>
          <w:color w:val="1F2430"/>
          <w:sz w:val="22"/>
          <w:szCs w:val="22"/>
        </w:rPr>
        <w:t xml:space="preserve"> — parte da hipótese de que a inteligência pode ser obtida pela manipulação formal de símbolos que representam objetos e relações do mundo. Ao contrário dos modelos que </w:t>
      </w:r>
      <w:r>
        <w:rPr>
          <w:b/>
          <w:bCs/>
          <w:color w:val="1F2430"/>
          <w:sz w:val="22"/>
          <w:szCs w:val="22"/>
        </w:rPr>
        <w:t xml:space="preserve">aprendem</w:t>
      </w:r>
      <w:r>
        <w:rPr>
          <w:color w:val="1F2430"/>
          <w:sz w:val="22"/>
          <w:szCs w:val="22"/>
        </w:rPr>
        <w:t xml:space="preserve"> padrões a partir de dados, aqui o conhecimento é </w:t>
      </w:r>
      <w:r>
        <w:rPr>
          <w:b/>
          <w:bCs/>
          <w:color w:val="1F2430"/>
          <w:sz w:val="22"/>
          <w:szCs w:val="22"/>
        </w:rPr>
        <w:t xml:space="preserve">declarado explicitamente</w:t>
      </w:r>
      <w:r>
        <w:rPr>
          <w:color w:val="1F2430"/>
          <w:sz w:val="22"/>
          <w:szCs w:val="22"/>
        </w:rPr>
        <w:t xml:space="preserve"> por especialistas. As vantagens são a transparência, a rastreabilidade e a facilidade de auditoria; as limitações aparecem quando o domínio é ruidoso, ambíguo ou difícil de formalizar em regras.</w:t>
      </w:r>
    </w:p>
    <w:p>
      <w:pPr>
        <w:pStyle w:val="Heading2"/>
      </w:pPr>
      <w:r>
        <w:t xml:space="preserve">2.2. Representação do Conhecimento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Representar conhecimento significa escolher uma estrutura formal capaz de capturar fatos e relações de um domínio de modo que a máquina possa raciocinar sobre eles. Entre os formalismos clássicos estão as redes semânticas, os frames, a lógica de predicados e as regras de produção. As regras de produção destacam-se pela naturalidade: especialistas humanos frequentemente descrevem seu raciocínio na forma condicional “se tal situação, então tal conclusão”.</w:t>
      </w:r>
    </w:p>
    <w:p>
      <w:pPr>
        <w:pStyle w:val="Heading2"/>
      </w:pPr>
      <w:r>
        <w:t xml:space="preserve">2.3. Sistemas Especialistas: arquitetura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Um sistema especialista é um programa que emula a capacidade de decisão de um especialista humano em um domínio restrito. Sua arquitetura clássica é composta por cinco elementos: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Base de conhecimento: </w:t>
      </w:r>
      <w:r>
        <w:rPr>
          <w:color w:val="1F2430"/>
          <w:sz w:val="22"/>
          <w:szCs w:val="22"/>
        </w:rPr>
        <w:t xml:space="preserve">o conjunto de regras e conceitos do domínio;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Base de fatos (memória de trabalho): </w:t>
      </w:r>
      <w:r>
        <w:rPr>
          <w:color w:val="1F2430"/>
          <w:sz w:val="22"/>
          <w:szCs w:val="22"/>
        </w:rPr>
        <w:t xml:space="preserve">os dados observados no caso concreto;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Motor de inferência: </w:t>
      </w:r>
      <w:r>
        <w:rPr>
          <w:color w:val="1F2430"/>
          <w:sz w:val="22"/>
          <w:szCs w:val="22"/>
        </w:rPr>
        <w:t xml:space="preserve">o mecanismo que combina fatos e regras para derivar conclusões;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Subsistema de explicação: </w:t>
      </w:r>
      <w:r>
        <w:rPr>
          <w:color w:val="1F2430"/>
          <w:sz w:val="22"/>
          <w:szCs w:val="22"/>
        </w:rPr>
        <w:t xml:space="preserve">justifica por que uma conclusão foi alcançada;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Interface: </w:t>
      </w:r>
      <w:r>
        <w:rPr>
          <w:color w:val="1F2430"/>
          <w:sz w:val="22"/>
          <w:szCs w:val="22"/>
        </w:rPr>
        <w:t xml:space="preserve">o meio pelo qual o usuário fornece fatos e recebe conclusões.</w:t>
      </w:r>
    </w:p>
    <w:p>
      <w:pPr>
        <w:spacing w:after="140" w:line="276" w:before="40"/>
      </w:pPr>
      <w:r>
        <w:rPr>
          <w:color w:val="1F2430"/>
          <w:sz w:val="22"/>
          <w:szCs w:val="22"/>
        </w:rPr>
        <w:t xml:space="preserve">A separação entre a base de conhecimento (o “que”) e o motor de inferência (o “como”) é a característica arquitetural mais importante: permite alterar o conhecimento sem reprogramar o mecanismo de raciocínio.</w:t>
      </w:r>
    </w:p>
    <w:p>
      <w:pPr>
        <w:pStyle w:val="Heading2"/>
      </w:pPr>
      <w:r>
        <w:t xml:space="preserve">2.4. Regras de Produção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Uma regra de produção tem a forma </w:t>
      </w:r>
      <w:r>
        <w:rPr>
          <w:b/>
          <w:bCs/>
          <w:color w:val="1F2430"/>
          <w:sz w:val="22"/>
          <w:szCs w:val="22"/>
        </w:rPr>
        <w:t xml:space="preserve">SE ⟨antecedente⟩ ENTÃO ⟨consequente⟩</w:t>
      </w:r>
      <w:r>
        <w:rPr>
          <w:color w:val="1F2430"/>
          <w:sz w:val="22"/>
          <w:szCs w:val="22"/>
        </w:rPr>
        <w:t xml:space="preserve">. O antecedente (LHS, </w:t>
      </w:r>
      <w:r>
        <w:rPr>
          <w:i/>
          <w:iCs/>
          <w:color w:val="1F2430"/>
          <w:sz w:val="22"/>
          <w:szCs w:val="22"/>
        </w:rPr>
        <w:t xml:space="preserve">left-hand side</w:t>
      </w:r>
      <w:r>
        <w:rPr>
          <w:color w:val="1F2430"/>
          <w:sz w:val="22"/>
          <w:szCs w:val="22"/>
        </w:rPr>
        <w:t xml:space="preserve">) é uma condição avaliada sobre a base de fatos; o consequente (RHS, </w:t>
      </w:r>
      <w:r>
        <w:rPr>
          <w:i/>
          <w:iCs/>
          <w:color w:val="1F2430"/>
          <w:sz w:val="22"/>
          <w:szCs w:val="22"/>
        </w:rPr>
        <w:t xml:space="preserve">right-hand side</w:t>
      </w:r>
      <w:r>
        <w:rPr>
          <w:color w:val="1F2430"/>
          <w:sz w:val="22"/>
          <w:szCs w:val="22"/>
        </w:rPr>
        <w:t xml:space="preserve">) é a ação executada quando a condição é satisfeita — tipicamente afirmar um novo fato, ajustar um valor ou recomendar uma ação. No RuleDesk, por exemplo:</w:t>
      </w:r>
    </w:p>
    <w:tbl>
      <w:tblPr>
        <w:tblW w:type="dxa" w:w="9360"/>
        <w:tblBorders>
          <w:top w:val="single" w:color="C9CEDA" w:sz="4"/>
          <w:left w:val="single" w:color="3B3AC4" w:sz="12"/>
          <w:bottom w:val="single" w:color="C9CEDA" w:sz="4"/>
          <w:right w:val="single" w:color="C9CED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7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R02:  SE  servico_indisponivel = verdadeiro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ENTAO  criticidade += 35  (candidato forte a P1)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R16:  SE  existe_contorno E NAO ha_sinais_criticos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ENTAO  criticidade -= 8   (fator atenuante)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Figura 1 — Exemplos de regras de produção com pesos, no formato SE-ENTÃO.</w:t>
      </w:r>
    </w:p>
    <w:p>
      <w:pPr>
        <w:pStyle w:val="Heading2"/>
      </w:pPr>
      <w:r>
        <w:t xml:space="preserve">2.5. Motor de Inferência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 motor de inferência opera em um </w:t>
      </w:r>
      <w:r>
        <w:rPr>
          <w:b/>
          <w:bCs/>
          <w:color w:val="1F2430"/>
          <w:sz w:val="22"/>
          <w:szCs w:val="22"/>
        </w:rPr>
        <w:t xml:space="preserve">ciclo de reconhecimento-ação</w:t>
      </w:r>
      <w:r>
        <w:rPr>
          <w:color w:val="1F2430"/>
          <w:sz w:val="22"/>
          <w:szCs w:val="22"/>
        </w:rPr>
        <w:t xml:space="preserve"> (também chamado </w:t>
      </w:r>
      <w:r>
        <w:rPr>
          <w:i/>
          <w:iCs/>
          <w:color w:val="1F2430"/>
          <w:sz w:val="22"/>
          <w:szCs w:val="22"/>
        </w:rPr>
        <w:t xml:space="preserve">match–resolve–act</w:t>
      </w:r>
      <w:r>
        <w:rPr>
          <w:color w:val="1F2430"/>
          <w:sz w:val="22"/>
          <w:szCs w:val="22"/>
        </w:rPr>
        <w:t xml:space="preserve">), repetido até que nenhuma regra nova possa disparar: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Match (casamento): </w:t>
      </w:r>
      <w:r>
        <w:rPr>
          <w:color w:val="1F2430"/>
          <w:sz w:val="22"/>
          <w:szCs w:val="22"/>
        </w:rPr>
        <w:t xml:space="preserve">identifica todas as regras cujo antecedente é satisfeito pelos fatos atuais — o chamado “conjunto de conflito”;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Resolve (resolução de conflitos): </w:t>
      </w:r>
      <w:r>
        <w:rPr>
          <w:color w:val="1F2430"/>
          <w:sz w:val="22"/>
          <w:szCs w:val="22"/>
        </w:rPr>
        <w:t xml:space="preserve">seleciona qual(is) regra(s) do conjunto de conflito disparar, segundo uma estratégia (prioridade, especificidade, recência, ordem textual);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Act (ação): </w:t>
      </w:r>
      <w:r>
        <w:rPr>
          <w:color w:val="1F2430"/>
          <w:sz w:val="22"/>
          <w:szCs w:val="22"/>
        </w:rPr>
        <w:t xml:space="preserve">executa o consequente da regra escolhida, o que pode alterar a base de fatos e habilitar novas regras.</w:t>
      </w:r>
    </w:p>
    <w:p>
      <w:pPr>
        <w:pStyle w:val="Heading3"/>
      </w:pPr>
      <w:r>
        <w:t xml:space="preserve">2.5.1. Encadeamento para frente (forward chaining)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É a estratégia orientada a dados (data-driven): o raciocínio parte dos fatos conhecidos e avança em direção às conclusões. A cada ciclo, novos fatos podem ativar novas regras, até estabilizar. É o modelo ideal para monitoramento, triagem e diagnóstico, pois a decisão emerge das evidências observadas. É a estratégia adotada pelo RuleDesk.</w:t>
      </w:r>
    </w:p>
    <w:p>
      <w:pPr>
        <w:pStyle w:val="Heading3"/>
      </w:pPr>
      <w:r>
        <w:t xml:space="preserve">2.5.2. Encadeamento para trás (backward chaining)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É a estratégia orientada a objetivos (goal-driven): parte-se de uma hipótese (objetivo) e busca-se, recursivamente, os fatos e sub-objetivos que a sustentariam. É típica de sistemas de diagnóstico interativo, como o MYCIN, e de linguagens lógicas como o Prolog.</w:t>
      </w:r>
    </w:p>
    <w:p>
      <w:pPr>
        <w:pStyle w:val="Heading3"/>
      </w:pPr>
      <w:r>
        <w:t xml:space="preserve">2.5.3. Comparação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9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frente (forward)</w:t>
            </w:r>
          </w:p>
        </w:tc>
        <w:tc>
          <w:tcPr>
            <w:tcW w:type="dxa" w:w="39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trás (backward)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Direção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Dos fatos para as conclusões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Do objetivo para os fatos</w:t>
            </w:r>
          </w:p>
        </w:tc>
      </w:tr>
      <w:tr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Orientação</w:t>
            </w:r>
          </w:p>
        </w:tc>
        <w:tc>
          <w:tcPr>
            <w:tcW w:type="dxa" w:w="3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Orientado a dados (data-driven)</w:t>
            </w:r>
          </w:p>
        </w:tc>
        <w:tc>
          <w:tcPr>
            <w:tcW w:type="dxa" w:w="3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Orientado a objetivos (goal-driven)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Uso típico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Monitoramento, triagem, alarmes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Diagnóstico interativo, prova de teoremas</w:t>
            </w:r>
          </w:p>
        </w:tc>
      </w:tr>
      <w:tr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Pergunta-chave</w:t>
            </w:r>
          </w:p>
        </w:tc>
        <w:tc>
          <w:tcPr>
            <w:tcW w:type="dxa" w:w="3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“O que posso concluir com estes fatos?”</w:t>
            </w:r>
          </w:p>
        </w:tc>
        <w:tc>
          <w:tcPr>
            <w:tcW w:type="dxa" w:w="3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“Que fatos preciso para provar isto?”</w:t>
            </w:r>
          </w:p>
        </w:tc>
      </w:tr>
      <w:tr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Exemplos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CLIPS, Drools, RuleDesk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MYCIN, Prolog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1 — Encadeamento para frente versus para trás.</w:t>
      </w:r>
    </w:p>
    <w:p>
      <w:pPr>
        <w:pStyle w:val="Heading2"/>
      </w:pPr>
      <w:r>
        <w:t xml:space="preserve">2.6. O Algoritmo Rete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Avaliar todas as regras contra todos os fatos a cada ciclo é custoso. O </w:t>
      </w:r>
      <w:r>
        <w:rPr>
          <w:b/>
          <w:bCs/>
          <w:color w:val="1F2430"/>
          <w:sz w:val="22"/>
          <w:szCs w:val="22"/>
        </w:rPr>
        <w:t xml:space="preserve">algoritmo Rete</w:t>
      </w:r>
      <w:r>
        <w:rPr>
          <w:color w:val="1F2430"/>
          <w:sz w:val="22"/>
          <w:szCs w:val="22"/>
        </w:rPr>
        <w:t xml:space="preserve">, proposto por Charles Forgy em 1982, é a solução clássica para esse problema e está no núcleo de motores como CLIPS, Jess e Drools. A ideia central é trocar </w:t>
      </w:r>
      <w:r>
        <w:rPr>
          <w:b/>
          <w:bCs/>
          <w:color w:val="1F2430"/>
          <w:sz w:val="22"/>
          <w:szCs w:val="22"/>
        </w:rPr>
        <w:t xml:space="preserve">memória por tempo</w:t>
      </w:r>
      <w:r>
        <w:rPr>
          <w:color w:val="1F2430"/>
          <w:sz w:val="22"/>
          <w:szCs w:val="22"/>
        </w:rPr>
        <w:t xml:space="preserve">: em vez de reavaliar tudo repetidamente, o Rete compila as regras em uma rede de nós que </w:t>
      </w:r>
      <w:r>
        <w:rPr>
          <w:b/>
          <w:bCs/>
          <w:color w:val="1F2430"/>
          <w:sz w:val="22"/>
          <w:szCs w:val="22"/>
        </w:rPr>
        <w:t xml:space="preserve">lembra</w:t>
      </w:r>
      <w:r>
        <w:rPr>
          <w:color w:val="1F2430"/>
          <w:sz w:val="22"/>
          <w:szCs w:val="22"/>
        </w:rPr>
        <w:t xml:space="preserve"> resultados parciais de casamento.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Nós-alfa: </w:t>
      </w:r>
      <w:r>
        <w:rPr>
          <w:color w:val="1F2430"/>
          <w:sz w:val="22"/>
          <w:szCs w:val="22"/>
        </w:rPr>
        <w:t xml:space="preserve">testam condições sobre fatos individuais (por exemplo, “ambiente = produção”).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Nós-beta: </w:t>
      </w:r>
      <w:r>
        <w:rPr>
          <w:color w:val="1F2430"/>
          <w:sz w:val="22"/>
          <w:szCs w:val="22"/>
        </w:rPr>
        <w:t xml:space="preserve">combinam (fazem o “join” de) condições de fatos diferentes.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Memórias: </w:t>
      </w:r>
      <w:r>
        <w:rPr>
          <w:color w:val="1F2430"/>
          <w:sz w:val="22"/>
          <w:szCs w:val="22"/>
        </w:rPr>
        <w:t xml:space="preserve">armazenam os casamentos parciais, de modo que, ao inserir ou remover um fato, apenas a parte afetada da rede é recomputada — não todas as regras.</w:t>
      </w:r>
    </w:p>
    <w:p>
      <w:pPr>
        <w:spacing w:after="140" w:line="276" w:before="40"/>
      </w:pPr>
      <w:r>
        <w:rPr>
          <w:color w:val="1F2430"/>
          <w:sz w:val="22"/>
          <w:szCs w:val="22"/>
        </w:rPr>
        <w:t xml:space="preserve">O resultado é um ganho expressivo de desempenho em bases com muitas regras e fatos, ao custo de maior uso de memória. Compreender o Rete explica por que motores de regras comerciais escalam para milhares de regras.</w:t>
      </w:r>
    </w:p>
    <w:p>
      <w:pPr>
        <w:pStyle w:val="Heading2"/>
      </w:pPr>
      <w:r>
        <w:t xml:space="preserve">2.7. Explicabilidade (XAI)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Enquanto muitos modelos de aprendizado de máquina funcionam como “caixas-pretas”, um sistema de regras é intrinsecamente explicável: a conclusão é a soma auditável das regras que dispararam. Em contextos corporativos, regulados ou críticos — saúde, finanças, segurança — essa transparência é frequentemente um requisito, não um luxo. É justamente o principal diferencial explorado pelo RuleDesk.</w:t>
      </w:r>
    </w:p>
    <w:p>
      <w:pPr>
        <w:pStyle w:val="Heading2"/>
      </w:pPr>
      <w:r>
        <w:t xml:space="preserve">2.8. Perspectiva histórica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1900"/>
        <w:gridCol w:w="2100"/>
        <w:gridCol w:w="5360"/>
      </w:tblGrid>
      <w:tr>
        <w:trPr>
          <w:tblHeader/>
        </w:trPr>
        <w:tc>
          <w:tcPr>
            <w:tcW w:type="dxa" w:w="19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21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Década/Domínio</w:t>
            </w:r>
          </w:p>
        </w:tc>
        <w:tc>
          <w:tcPr>
            <w:tcW w:type="dxa" w:w="53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Contribuição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DENDRAL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1965 / Química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Primeiro sistema especialista; inferia estruturas moleculares a partir de espectrometria de massa.</w:t>
            </w:r>
          </w:p>
        </w:tc>
      </w:tr>
      <w:tr>
        <w:tc>
          <w:tcPr>
            <w:tcW w:type="dxa" w:w="1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MYCIN</w:t>
            </w:r>
          </w:p>
        </w:tc>
        <w:tc>
          <w:tcPr>
            <w:tcW w:type="dxa" w:w="21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1970 / Medicina</w:t>
            </w:r>
          </w:p>
        </w:tc>
        <w:tc>
          <w:tcPr>
            <w:tcW w:type="dxa" w:w="53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Diagnóstico de infecções com backward chaining e tratamento de incerteza (fatores de certeza).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XCON / R1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1980 / Configuração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Configurava computadores VAX da DEC; um dos primeiros grandes sucessos comerciais de regras.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2 — Marcos históricos dos sistemas especialistas.</w:t>
      </w:r>
    </w:p>
    <w:p>
      <w:pPr>
        <w:pStyle w:val="Heading1"/>
      </w:pPr>
      <w:r>
        <w:t xml:space="preserve">3. Técnicas, Ferramentas e Frameworks</w:t>
      </w:r>
    </w:p>
    <w:p>
      <w:pPr>
        <w:pStyle w:val="Heading2"/>
      </w:pPr>
      <w:r>
        <w:t xml:space="preserve">3.1. Técnicas empregadas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Regras de produção (SE-ENTÃO) como formalismo de representação;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Encadeamento para frente como estratégia de inferência;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Pontuação por evidências (weighted scoring): cada regra soma ou subtrai pontos;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Classificação por faixas: o score é mapeado em prioridades discretas (P1–P4);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Explicabilidade: exposição das regras disparadas e do cálculo acumulado.</w:t>
      </w:r>
    </w:p>
    <w:p>
      <w:pPr>
        <w:pStyle w:val="Heading2"/>
      </w:pPr>
      <w:r>
        <w:t xml:space="preserve">3.2. Frameworks de referência do tema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25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51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 principal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CLIPS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 (multiplataforma)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Linguagem clássica para sistemas especialistas; usa Rete e forward chaining.</w:t>
            </w:r>
          </w:p>
        </w:tc>
      </w:tr>
      <w:tr>
        <w:tc>
          <w:tcPr>
            <w:tcW w:type="dxa" w:w="1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Jess</w:t>
            </w:r>
          </w:p>
        </w:tc>
        <w:tc>
          <w:tcPr>
            <w:tcW w:type="dxa" w:w="25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Java</w:t>
            </w:r>
          </w:p>
        </w:tc>
        <w:tc>
          <w:tcPr>
            <w:tcW w:type="dxa" w:w="51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Motor inspirado no CLIPS, integrado ao ecossistema Java.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Drools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Java / Apache KIE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Motor de regras de negócio (BRMS) de nível corporativo, com DRL e DMN.</w:t>
            </w:r>
          </w:p>
        </w:tc>
      </w:tr>
      <w:tr>
        <w:tc>
          <w:tcPr>
            <w:tcW w:type="dxa" w:w="1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Experta / PyKnow</w:t>
            </w:r>
          </w:p>
        </w:tc>
        <w:tc>
          <w:tcPr>
            <w:tcW w:type="dxa" w:w="25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Bibliotecas leves para regras e inferência em Python.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3 — Frameworks consolidados para sistemas baseados em regras.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Em nível corporativo, padrões como o </w:t>
      </w:r>
      <w:r>
        <w:rPr>
          <w:b/>
          <w:bCs/>
          <w:color w:val="1F2430"/>
          <w:sz w:val="22"/>
          <w:szCs w:val="22"/>
        </w:rPr>
        <w:t xml:space="preserve">DMN (Decision Model and Notation)</w:t>
      </w:r>
      <w:r>
        <w:rPr>
          <w:color w:val="1F2430"/>
          <w:sz w:val="22"/>
          <w:szCs w:val="22"/>
        </w:rPr>
        <w:t xml:space="preserve"> da OMG formalizam tabelas de decisão e regras de negócio, aproximando a modelagem de conhecimento das áreas de negócio. O RuleDesk implementa seu próprio motor didático em Python puro para tornar o mecanismo de inferência totalmente transparente ao leitor, sem a “mágica” de um framework externo.</w:t>
      </w:r>
    </w:p>
    <w:p>
      <w:pPr>
        <w:pStyle w:val="Heading1"/>
      </w:pPr>
      <w:r>
        <w:t xml:space="preserve">4. Estudos de Caso e Aplicações Reais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Sistemas baseados em regras são preferidos quando a decisão precisa ser rastreável e auditável. Alguns domínios reais: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Suporte e ITSM: </w:t>
      </w:r>
      <w:r>
        <w:rPr>
          <w:color w:val="1F2430"/>
          <w:sz w:val="22"/>
          <w:szCs w:val="22"/>
        </w:rPr>
        <w:t xml:space="preserve">ferramentas como ServiceNow, GLPI e Jira Service Management usam regras para categorizar, priorizar e rotear chamados automaticamente — o domínio direto do RuleDesk.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Saúde: </w:t>
      </w:r>
      <w:r>
        <w:rPr>
          <w:color w:val="1F2430"/>
          <w:sz w:val="22"/>
          <w:szCs w:val="22"/>
        </w:rPr>
        <w:t xml:space="preserve">apoio à triagem clínica e verificação de protocolos (linhagem do MYCIN).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Finanças: </w:t>
      </w:r>
      <w:r>
        <w:rPr>
          <w:color w:val="1F2430"/>
          <w:sz w:val="22"/>
          <w:szCs w:val="22"/>
        </w:rPr>
        <w:t xml:space="preserve">motores antifraude, compliance e análise de risco de crédito, em que cada decisão precisa ser justificada ao regulador.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Indústria: </w:t>
      </w:r>
      <w:r>
        <w:rPr>
          <w:color w:val="1F2430"/>
          <w:sz w:val="22"/>
          <w:szCs w:val="22"/>
        </w:rPr>
        <w:t xml:space="preserve">diagnóstico de falhas em equipamentos e manutenção preditiva baseada em regras de sintomas.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Segurança da informação: </w:t>
      </w:r>
      <w:r>
        <w:rPr>
          <w:color w:val="1F2430"/>
          <w:sz w:val="22"/>
          <w:szCs w:val="22"/>
        </w:rPr>
        <w:t xml:space="preserve">correlação de eventos e classificação de alertas em SIEMs, seguindo diretrizes como a NIST SP 800-61.</w:t>
      </w:r>
    </w:p>
    <w:p>
      <w:pPr>
        <w:spacing w:after="140" w:line="276" w:before="40"/>
      </w:pPr>
      <w:r>
        <w:rPr>
          <w:b/>
          <w:bCs/>
          <w:color w:val="1F2430"/>
          <w:sz w:val="22"/>
          <w:szCs w:val="22"/>
        </w:rPr>
        <w:t xml:space="preserve">Estudo de caso em foco — triagem de incidentes de TI. </w:t>
      </w:r>
      <w:r>
        <w:rPr>
          <w:color w:val="1F2430"/>
          <w:sz w:val="22"/>
          <w:szCs w:val="22"/>
        </w:rPr>
        <w:t xml:space="preserve">Em uma central de operações, o mesmo incidente pode ser classificado de formas diferentes por analistas distintos. Um sistema de regras padroniza o critério: dados os mesmos fatos, a prioridade é sempre a mesma, e a justificativa fica registrada. É exatamente esse problema que o RuleDesk resolve.</w:t>
      </w:r>
    </w:p>
    <w:p>
      <w:pPr>
        <w:pStyle w:val="Heading1"/>
      </w:pPr>
      <w:r>
        <w:t xml:space="preserve">5. Proposta de Aplicação: RuleDesk</w:t>
      </w:r>
    </w:p>
    <w:p>
      <w:pPr>
        <w:pStyle w:val="Heading2"/>
      </w:pPr>
      <w:r>
        <w:t xml:space="preserve">5.1. Visão geral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 RuleDesk simula uma central de operações de TI. O usuário registra um incidente informando fatos objetivos; o motor de regras avalia esses fatos por encadeamento para frente, acumula um score de criticidade e o classifica em uma prioridade (P1 a P4), retornando também o tempo-alvo de resposta, o responsável indicado, as regras disparadas e recomendações de ação. Cada avaliação é persistida, permitindo uma visão de histórico e estatísticas.</w:t>
      </w:r>
    </w:p>
    <w:p>
      <w:pPr>
        <w:pBdr>
          <w:top w:val="single" w:color="E2E6EF" w:sz="4" w:space="6"/>
          <w:bottom w:val="single" w:color="E2E6EF" w:sz="4" w:space="6"/>
          <w:left w:val="single" w:color="E2E6EF" w:sz="4" w:space="6"/>
          <w:right w:val="single" w:color="E2E6EF" w:sz="4" w:space="6"/>
        </w:pBdr>
        <w:spacing w:before="60" w:after="40"/>
        <w:jc w:val="center"/>
      </w:pPr>
      <w:r>
        <w:drawing>
          <wp:inline distT="0" distB="0" distL="0" distR="0">
            <wp:extent cx="2857500" cy="5657850"/>
            <wp:effectExtent t="0" r="0" b="0" l="0"/>
            <wp:docPr id="1" name="fig-form.png" descr="Figura 2 — Aba “Simulador”: cenários rápidos e formulário de entrada de fatos do chamado." title="Figura 2 — Aba “Simulador”: cenários rápidos e formulário de entrada de fatos do cham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240"/>
        <w:jc w:val="center"/>
      </w:pPr>
      <w:r>
        <w:rPr>
          <w:i/>
          <w:iCs/>
          <w:color w:val="5B6472"/>
          <w:sz w:val="18"/>
          <w:szCs w:val="18"/>
        </w:rPr>
        <w:t xml:space="preserve">Figura 2 — Aba “Simulador”: cenários rápidos e formulário de entrada de fatos do chamado.</w:t>
      </w:r>
    </w:p>
    <w:p>
      <w:pPr>
        <w:pStyle w:val="Heading2"/>
      </w:pPr>
      <w:r>
        <w:t xml:space="preserve">5.2. Arquitetura</w:t>
      </w:r>
    </w:p>
    <w:tbl>
      <w:tblPr>
        <w:tblW w:type="dxa" w:w="9360"/>
        <w:tblBorders>
          <w:top w:val="single" w:color="C9CEDA" w:sz="4"/>
          <w:left w:val="single" w:color="3B3AC4" w:sz="12"/>
          <w:bottom w:val="single" w:color="C9CEDA" w:sz="4"/>
          <w:right w:val="single" w:color="C9CED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7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Usuario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|  (fatos do chamado)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v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Frontend React + Vite  ---- HTTP/JSON ----&gt;  API Python (REST)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   |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+------------------+------------------+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|                  |                  |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Validacao de       Motor de regras     Repositorio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entrada          (forward chaining)     SQLite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   |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                   v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     Resposta explicavel (score,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                         prioridade, regras, recomendacoes)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Figura 3 — Arquitetura full-stack do RuleDesk.</w:t>
      </w:r>
    </w:p>
    <w:p>
      <w:pPr>
        <w:spacing w:after="140" w:line="276" w:before="40"/>
      </w:pPr>
      <w:r>
        <w:rPr>
          <w:color w:val="1F2430"/>
          <w:sz w:val="22"/>
          <w:szCs w:val="22"/>
        </w:rPr>
        <w:t xml:space="preserve">O </w:t>
      </w:r>
      <w:r>
        <w:rPr>
          <w:b/>
          <w:bCs/>
          <w:color w:val="1F2430"/>
          <w:sz w:val="22"/>
          <w:szCs w:val="22"/>
        </w:rPr>
        <w:t xml:space="preserve">backend</w:t>
      </w:r>
      <w:r>
        <w:rPr>
          <w:color w:val="1F2430"/>
          <w:sz w:val="22"/>
          <w:szCs w:val="22"/>
        </w:rPr>
        <w:t xml:space="preserve"> é organizado em camadas: </w:t>
      </w:r>
      <w:r>
        <w:rPr>
          <w:i/>
          <w:iCs/>
          <w:color w:val="1F2430"/>
          <w:sz w:val="22"/>
          <w:szCs w:val="22"/>
        </w:rPr>
        <w:t xml:space="preserve">api</w:t>
      </w:r>
      <w:r>
        <w:rPr>
          <w:color w:val="1F2430"/>
          <w:sz w:val="22"/>
          <w:szCs w:val="22"/>
        </w:rPr>
        <w:t xml:space="preserve"> (rotas e handlers HTTP), </w:t>
      </w:r>
      <w:r>
        <w:rPr>
          <w:i/>
          <w:iCs/>
          <w:color w:val="1F2430"/>
          <w:sz w:val="22"/>
          <w:szCs w:val="22"/>
        </w:rPr>
        <w:t xml:space="preserve">core</w:t>
      </w:r>
      <w:r>
        <w:rPr>
          <w:color w:val="1F2430"/>
          <w:sz w:val="22"/>
          <w:szCs w:val="22"/>
        </w:rPr>
        <w:t xml:space="preserve"> (configuração e utilitários), </w:t>
      </w:r>
      <w:r>
        <w:rPr>
          <w:i/>
          <w:iCs/>
          <w:color w:val="1F2430"/>
          <w:sz w:val="22"/>
          <w:szCs w:val="22"/>
        </w:rPr>
        <w:t xml:space="preserve">db</w:t>
      </w:r>
      <w:r>
        <w:rPr>
          <w:color w:val="1F2430"/>
          <w:sz w:val="22"/>
          <w:szCs w:val="22"/>
        </w:rPr>
        <w:t xml:space="preserve"> (conexão e esquema SQLite), </w:t>
      </w:r>
      <w:r>
        <w:rPr>
          <w:i/>
          <w:iCs/>
          <w:color w:val="1F2430"/>
          <w:sz w:val="22"/>
          <w:szCs w:val="22"/>
        </w:rPr>
        <w:t xml:space="preserve">repositories</w:t>
      </w:r>
      <w:r>
        <w:rPr>
          <w:color w:val="1F2430"/>
          <w:sz w:val="22"/>
          <w:szCs w:val="22"/>
        </w:rPr>
        <w:t xml:space="preserve"> (persistência), </w:t>
      </w:r>
      <w:r>
        <w:rPr>
          <w:i/>
          <w:iCs/>
          <w:color w:val="1F2430"/>
          <w:sz w:val="22"/>
          <w:szCs w:val="22"/>
        </w:rPr>
        <w:t xml:space="preserve">schemas</w:t>
      </w:r>
      <w:r>
        <w:rPr>
          <w:color w:val="1F2430"/>
          <w:sz w:val="22"/>
          <w:szCs w:val="22"/>
        </w:rPr>
        <w:t xml:space="preserve"> (validação de entrada) e </w:t>
      </w:r>
      <w:r>
        <w:rPr>
          <w:i/>
          <w:iCs/>
          <w:color w:val="1F2430"/>
          <w:sz w:val="22"/>
          <w:szCs w:val="22"/>
        </w:rPr>
        <w:t xml:space="preserve">services</w:t>
      </w:r>
      <w:r>
        <w:rPr>
          <w:color w:val="1F2430"/>
          <w:sz w:val="22"/>
          <w:szCs w:val="22"/>
        </w:rPr>
        <w:t xml:space="preserve"> (o motor de regras e a camada de estatísticas). O </w:t>
      </w:r>
      <w:r>
        <w:rPr>
          <w:b/>
          <w:bCs/>
          <w:color w:val="1F2430"/>
          <w:sz w:val="22"/>
          <w:szCs w:val="22"/>
        </w:rPr>
        <w:t xml:space="preserve">frontend</w:t>
      </w:r>
      <w:r>
        <w:rPr>
          <w:color w:val="1F2430"/>
          <w:sz w:val="22"/>
          <w:szCs w:val="22"/>
        </w:rPr>
        <w:t xml:space="preserve"> em React organiza a experiência em três abas: Simulador, Como funciona e Base de conhecimento.</w:t>
      </w:r>
    </w:p>
    <w:p>
      <w:pPr>
        <w:pStyle w:val="Heading2"/>
      </w:pPr>
      <w:r>
        <w:t xml:space="preserve">5.3. Modelo de conhecimento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A base de conhecimento reúne 16 regras de produção com pesos definidos por especialistas. A tabela abaixo resume as regras e seus pesos (valores positivos elevam a criticidade; o valor negativo é um fator atenuante).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900"/>
        <w:gridCol w:w="4700"/>
        <w:gridCol w:w="2000"/>
        <w:gridCol w:w="1760"/>
      </w:tblGrid>
      <w:tr>
        <w:trPr>
          <w:tblHeader/>
        </w:trPr>
        <w:tc>
          <w:tcPr>
            <w:tcW w:type="dxa" w:w="9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47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 (SE)</w:t>
            </w:r>
          </w:p>
        </w:tc>
        <w:tc>
          <w:tcPr>
            <w:tcW w:type="dxa" w:w="20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7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R01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ambiente = produção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Ambiente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+12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R02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serviço indisponível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Impacto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+35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R03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perda de dados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Dados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+32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R04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risco de segurança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+35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R05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usuários afetados ≥ 250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Impacto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+24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R06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usuários afetados entre 50 e 249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Impacto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+14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R07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sem contorno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Operação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R08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impacta cliente externo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Negócio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+16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R09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impacto financeiro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Negócio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+16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R10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SLA ≤ 1 hora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SLA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+12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R11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SLA entre 1 e 4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SLA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+8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R12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falha após deploy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Mudança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+8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R13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incidente recorrente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Operação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+8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R14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categoria = banco de dados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Infra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+8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R15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categoria = rede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Infra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+7</w:t>
            </w:r>
          </w:p>
        </w:tc>
      </w:tr>
      <w:tr>
        <w:tc>
          <w:tcPr>
            <w:tcW w:type="dxa" w:w="9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R16</w:t>
            </w:r>
          </w:p>
        </w:tc>
        <w:tc>
          <w:tcPr>
            <w:tcW w:type="dxa" w:w="47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existe contorno e sem sinais críticos</w:t>
            </w:r>
          </w:p>
        </w:tc>
        <w:tc>
          <w:tcPr>
            <w:tcW w:type="dxa" w:w="20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Atenuante</w:t>
            </w:r>
          </w:p>
        </w:tc>
        <w:tc>
          <w:tcPr>
            <w:tcW w:type="dxa" w:w="17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−8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4 — Base de conhecimento do RuleDesk (16 regras de produção).</w:t>
      </w:r>
    </w:p>
    <w:p>
      <w:pPr>
        <w:pBdr>
          <w:top w:val="single" w:color="E2E6EF" w:sz="4" w:space="6"/>
          <w:bottom w:val="single" w:color="E2E6EF" w:sz="4" w:space="6"/>
          <w:left w:val="single" w:color="E2E6EF" w:sz="4" w:space="6"/>
          <w:right w:val="single" w:color="E2E6EF" w:sz="4" w:space="6"/>
        </w:pBdr>
        <w:spacing w:before="60" w:after="4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fig-knowledge.png" descr="Figura 4 — Aba “Base de conhecimento”: as 16 regras com filtro por grupo e destaque das disparadas." title="Figura 4 — Aba “Base de conhecimento”: as 16 regras com filtro por grupo e destaque das dispa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240"/>
        <w:jc w:val="center"/>
      </w:pPr>
      <w:r>
        <w:rPr>
          <w:i/>
          <w:iCs/>
          <w:color w:val="5B6472"/>
          <w:sz w:val="18"/>
          <w:szCs w:val="18"/>
        </w:rPr>
        <w:t xml:space="preserve">Figura 4 — Aba “Base de conhecimento”: as 16 regras com filtro por grupo e destaque das disparadas.</w:t>
      </w:r>
    </w:p>
    <w:p>
      <w:pPr>
        <w:pStyle w:val="Heading2"/>
      </w:pPr>
      <w:r>
        <w:t xml:space="preserve">5.4. Algoritmo do motor de inferência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 motor implementa o encadeamento para frente com pontuação por evidências. Em pseudocódigo:</w:t>
      </w:r>
    </w:p>
    <w:tbl>
      <w:tblPr>
        <w:tblW w:type="dxa" w:w="9360"/>
        <w:tblBorders>
          <w:top w:val="single" w:color="C9CEDA" w:sz="4"/>
          <w:left w:val="single" w:color="3B3AC4" w:sz="12"/>
          <w:bottom w:val="single" w:color="C9CEDA" w:sz="4"/>
          <w:right w:val="single" w:color="C9CED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7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funcao avaliar(chamado):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score &lt;- 10                       # base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disparadas &lt;- []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para cada regra R na base_de_conhecimento: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se R.condicao(chamado) e verdadeira:      # MATCH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score &lt;- score + R.peso               # ACT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        disparadas.adiciona(R)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score &lt;- limitar(score, 0, 100)   # normaliza na faixa 0..100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prioridade &lt;- classificar(score)  # faixas P1..P4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pPr>
              <w:spacing w:after="0" w:line="240"/>
            </w:pPr>
            <w:r>
              <w:rPr>
                <w:color w:val="1B2130"/>
                <w:sz w:val="18"/>
                <w:szCs w:val="18"/>
                <w:rFonts w:ascii="Consolas" w:cs="Consolas" w:eastAsia="Consolas" w:hAnsi="Consolas"/>
              </w:rPr>
              <w:t xml:space="preserve">    retornar { score, prioridade, disparadas, recomendacoes }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Figura 5 — Pseudocódigo do motor de inferência (forward chaining com scoring).</w:t>
      </w:r>
    </w:p>
    <w:p>
      <w:pPr>
        <w:pStyle w:val="Heading2"/>
      </w:pPr>
      <w:r>
        <w:t xml:space="preserve">5.5. Classificação por faixas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1500"/>
        <w:gridCol w:w="2400"/>
        <w:gridCol w:w="2600"/>
        <w:gridCol w:w="2860"/>
      </w:tblGrid>
      <w:tr>
        <w:trPr>
          <w:tblHeader/>
        </w:trPr>
        <w:tc>
          <w:tcPr>
            <w:tcW w:type="dxa" w:w="15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4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de score</w:t>
            </w:r>
          </w:p>
        </w:tc>
        <w:tc>
          <w:tcPr>
            <w:tcW w:type="dxa" w:w="26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8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Tempo-alvo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85 – 100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Crítica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15 minutos</w:t>
            </w:r>
          </w:p>
        </w:tc>
      </w:tr>
      <w:tr>
        <w:tc>
          <w:tcPr>
            <w:tcW w:type="dxa" w:w="15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60 – 84</w:t>
            </w:r>
          </w:p>
        </w:tc>
        <w:tc>
          <w:tcPr>
            <w:tcW w:type="dxa" w:w="26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Alta</w:t>
            </w:r>
          </w:p>
        </w:tc>
        <w:tc>
          <w:tcPr>
            <w:tcW w:type="dxa" w:w="28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 hora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35 – 59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Média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4 horas</w:t>
            </w:r>
          </w:p>
        </w:tc>
      </w:tr>
      <w:tr>
        <w:tc>
          <w:tcPr>
            <w:tcW w:type="dxa" w:w="15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 – 34</w:t>
            </w:r>
          </w:p>
        </w:tc>
        <w:tc>
          <w:tcPr>
            <w:tcW w:type="dxa" w:w="26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Baixa</w:t>
            </w:r>
          </w:p>
        </w:tc>
        <w:tc>
          <w:tcPr>
            <w:tcW w:type="dxa" w:w="28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 dia útil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5 — Mapeamento do score em prioridades e SLAs.</w:t>
      </w:r>
    </w:p>
    <w:p>
      <w:pPr>
        <w:pStyle w:val="Heading2"/>
      </w:pPr>
      <w:r>
        <w:t xml:space="preserve">5.6. Exemplo de inferência completo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Considere o cenário </w:t>
      </w:r>
      <w:r>
        <w:rPr>
          <w:b/>
          <w:bCs/>
          <w:color w:val="1F2430"/>
          <w:sz w:val="22"/>
          <w:szCs w:val="22"/>
        </w:rPr>
        <w:t xml:space="preserve">“Queda em produção”</w:t>
      </w:r>
      <w:r>
        <w:rPr>
          <w:color w:val="1F2430"/>
          <w:sz w:val="22"/>
          <w:szCs w:val="22"/>
        </w:rPr>
        <w:t xml:space="preserve">: o checkout fica indisponível para todos os clientes. Fatos: ambiente = produção; serviço indisponível; 320 usuários afetados; sem contorno; impacta cliente; impacto financeiro; SLA de 1 hora; falha logo após um deploy. O motor percorre a base e dispara oito regras, acumulando o score:</w:t>
      </w:r>
    </w:p>
    <w:tbl>
      <w:tblPr>
        <w:tblW w:type="dxa" w:w="9360"/>
        <w:tblBorders>
          <w:top w:val="single" w:color="D5D9E2" w:sz="4"/>
          <w:left w:val="single" w:color="D5D9E2" w:sz="4"/>
          <w:bottom w:val="single" w:color="D5D9E2" w:sz="4"/>
          <w:right w:val="single" w:color="D5D9E2" w:sz="4"/>
          <w:insideH w:val="single" w:color="D5D9E2" w:sz="4"/>
          <w:insideV w:val="single" w:color="D5D9E2" w:sz="4"/>
        </w:tblBorders>
      </w:tblPr>
      <w:tblGrid>
        <w:gridCol w:w="4300"/>
        <w:gridCol w:w="1560"/>
        <w:gridCol w:w="1750"/>
        <w:gridCol w:w="1750"/>
      </w:tblGrid>
      <w:tr>
        <w:trPr>
          <w:tblHeader/>
        </w:trPr>
        <w:tc>
          <w:tcPr>
            <w:tcW w:type="dxa" w:w="430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disparada</w:t>
            </w:r>
          </w:p>
        </w:tc>
        <w:tc>
          <w:tcPr>
            <w:tcW w:type="dxa" w:w="156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75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Acumulado</w:t>
            </w:r>
          </w:p>
        </w:tc>
        <w:tc>
          <w:tcPr>
            <w:tcW w:type="dxa" w:w="1750"/>
            <w:shd w:fill="3B3AC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Base inicial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10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10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3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R01 — Ambiente produtivo</w:t>
            </w:r>
          </w:p>
        </w:tc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+12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22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R02 — Serviço indisponível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+35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57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3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R05 — Impacto massivo</w:t>
            </w:r>
          </w:p>
        </w:tc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+24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81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R07 — Sem contorno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+15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96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3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R08 — Impacto em cliente</w:t>
            </w:r>
          </w:p>
        </w:tc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+16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112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R09 — Impacto financeiro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+16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128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3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R10 — SLA imediato</w:t>
            </w:r>
          </w:p>
        </w:tc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+12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140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R12 — Falha após deploy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+8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148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30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Limite (0–100)</w:t>
            </w:r>
          </w:p>
        </w:tc>
        <w:tc>
          <w:tcPr>
            <w:tcW w:type="dxa" w:w="156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100</w:t>
            </w:r>
          </w:p>
        </w:tc>
        <w:tc>
          <w:tcPr>
            <w:tcW w:type="dxa" w:w="1750"/>
            <w:shd w:fill="F4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0"/>
              <w:jc w:val="center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60" w:after="220"/>
        <w:jc w:val="left"/>
      </w:pPr>
      <w:r>
        <w:rPr>
          <w:i/>
          <w:iCs/>
          <w:color w:val="5B6472"/>
          <w:sz w:val="18"/>
          <w:szCs w:val="18"/>
        </w:rPr>
        <w:t xml:space="preserve">Tabela 6 — Traço de inferência do cenário de queda em produção (score bruto 148, limitado a 100).</w:t>
      </w:r>
    </w:p>
    <w:p>
      <w:pPr>
        <w:spacing w:after="140" w:line="276" w:before="40"/>
      </w:pPr>
      <w:r>
        <w:rPr>
          <w:color w:val="1F2430"/>
          <w:sz w:val="22"/>
          <w:szCs w:val="22"/>
        </w:rPr>
        <w:t xml:space="preserve">Conclusão: score </w:t>
      </w:r>
      <w:r>
        <w:rPr>
          <w:b/>
          <w:bCs/>
          <w:color w:val="1F2430"/>
          <w:sz w:val="22"/>
          <w:szCs w:val="22"/>
        </w:rPr>
        <w:t xml:space="preserve">100 → P1 (Crítica)</w:t>
      </w:r>
      <w:r>
        <w:rPr>
          <w:color w:val="1F2430"/>
          <w:sz w:val="22"/>
          <w:szCs w:val="22"/>
        </w:rPr>
        <w:t xml:space="preserve">, tempo-alvo de 15 minutos, responsável “líder técnico + suporte N2”. O sistema ainda gera recomendações ordenadas (abrir sala de crise, verificar monitoramento, comunicar relacionamento com o cliente etc.). Toda essa cadeia é exibida ao usuário, tornando a decisão </w:t>
      </w:r>
      <w:r>
        <w:rPr>
          <w:b/>
          <w:bCs/>
          <w:color w:val="1F2430"/>
          <w:sz w:val="22"/>
          <w:szCs w:val="22"/>
        </w:rPr>
        <w:t xml:space="preserve">auditável</w:t>
      </w:r>
      <w:r>
        <w:rPr>
          <w:color w:val="1F2430"/>
          <w:sz w:val="22"/>
          <w:szCs w:val="22"/>
        </w:rPr>
        <w:t xml:space="preserve">.</w:t>
      </w:r>
    </w:p>
    <w:p>
      <w:pPr>
        <w:pBdr>
          <w:top w:val="single" w:color="E2E6EF" w:sz="4" w:space="6"/>
          <w:bottom w:val="single" w:color="E2E6EF" w:sz="4" w:space="6"/>
          <w:left w:val="single" w:color="E2E6EF" w:sz="4" w:space="6"/>
          <w:right w:val="single" w:color="E2E6EF" w:sz="4" w:space="6"/>
        </w:pBdr>
        <w:spacing w:before="60" w:after="4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fig-diagnosis.png" descr="Figura 6 — Painel de diagnóstico: prioridade, score, faixa P1–P4 e fatos coletados." title="Figura 6 — Painel de diagnóstico: prioridade, score, faixa P1–P4 e fatos cole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240"/>
        <w:jc w:val="center"/>
      </w:pPr>
      <w:r>
        <w:rPr>
          <w:i/>
          <w:iCs/>
          <w:color w:val="5B6472"/>
          <w:sz w:val="18"/>
          <w:szCs w:val="18"/>
        </w:rPr>
        <w:t xml:space="preserve">Figura 6 — Painel de diagnóstico: prioridade, score, faixa P1–P4 e fatos coletados.</w:t>
      </w:r>
    </w:p>
    <w:p>
      <w:pPr>
        <w:pBdr>
          <w:top w:val="single" w:color="E2E6EF" w:sz="4" w:space="6"/>
          <w:bottom w:val="single" w:color="E2E6EF" w:sz="4" w:space="6"/>
          <w:left w:val="single" w:color="E2E6EF" w:sz="4" w:space="6"/>
          <w:right w:val="single" w:color="E2E6EF" w:sz="4" w:space="6"/>
        </w:pBdr>
        <w:spacing w:before="60" w:after="40"/>
        <w:jc w:val="center"/>
      </w:pPr>
      <w:r>
        <w:drawing>
          <wp:inline distT="0" distB="0" distL="0" distR="0">
            <wp:extent cx="3810000" cy="4371975"/>
            <wp:effectExtent t="0" r="0" b="0" l="0"/>
            <wp:docPr id="1" name="fig-trace.png" descr="Figura 7 — Motor de inferência passo a passo na interface: fatos, regras disparadas, cálculo do score em cascata e classificação (cenário da Tabela 6)." title="Figura 7 — Motor de inferência passo a passo na interface: fatos, regras disparadas, cálculo do score em cascata e classificação (cenário da Tabela 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240"/>
        <w:jc w:val="center"/>
      </w:pPr>
      <w:r>
        <w:rPr>
          <w:i/>
          <w:iCs/>
          <w:color w:val="5B6472"/>
          <w:sz w:val="18"/>
          <w:szCs w:val="18"/>
        </w:rPr>
        <w:t xml:space="preserve">Figura 7 — Motor de inferência passo a passo na interface: fatos, regras disparadas, cálculo do score em cascata e classificação (cenário da Tabela 6).</w:t>
      </w:r>
    </w:p>
    <w:p>
      <w:pPr>
        <w:pStyle w:val="Heading2"/>
      </w:pPr>
      <w:r>
        <w:t xml:space="preserve">5.7. Stack tecnológica e execução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Backend: </w:t>
      </w:r>
      <w:r>
        <w:rPr>
          <w:color w:val="1F2430"/>
          <w:sz w:val="22"/>
          <w:szCs w:val="22"/>
        </w:rPr>
        <w:t xml:space="preserve">Python (biblioteca padrão), servidor HTTP REST, persistência em SQLite.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Frontend: </w:t>
      </w:r>
      <w:r>
        <w:rPr>
          <w:color w:val="1F2430"/>
          <w:sz w:val="22"/>
          <w:szCs w:val="22"/>
        </w:rPr>
        <w:t xml:space="preserve">React + Vite, com tema claro/escuro e visualização do traço de inferência.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Empacotamento: </w:t>
      </w:r>
      <w:r>
        <w:rPr>
          <w:color w:val="1F2430"/>
          <w:sz w:val="22"/>
          <w:szCs w:val="22"/>
        </w:rPr>
        <w:t xml:space="preserve">Docker e Docker Compose para execução reproduzível.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2430"/>
          <w:sz w:val="22"/>
          <w:szCs w:val="22"/>
        </w:rPr>
        <w:t xml:space="preserve">Testes: </w:t>
      </w:r>
      <w:r>
        <w:rPr>
          <w:color w:val="1F2430"/>
          <w:sz w:val="22"/>
          <w:szCs w:val="22"/>
        </w:rPr>
        <w:t xml:space="preserve">suíte com unittest cobrindo o motor de regras e o repositório.</w:t>
      </w:r>
    </w:p>
    <w:p>
      <w:pPr>
        <w:spacing w:after="140" w:line="276" w:before="40"/>
      </w:pPr>
      <w:r>
        <w:rPr>
          <w:b/>
          <w:bCs/>
          <w:color w:val="1F2430"/>
          <w:sz w:val="22"/>
          <w:szCs w:val="22"/>
        </w:rPr>
        <w:t xml:space="preserve">Execução (sem Docker): </w:t>
      </w:r>
      <w:r>
        <w:rPr>
          <w:i/>
          <w:iCs/>
          <w:color w:val="1F2430"/>
          <w:sz w:val="22"/>
          <w:szCs w:val="22"/>
        </w:rPr>
        <w:t xml:space="preserve">cd backend; py -m app.main</w:t>
      </w:r>
      <w:r>
        <w:rPr>
          <w:color w:val="1F2430"/>
          <w:sz w:val="22"/>
          <w:szCs w:val="22"/>
        </w:rPr>
        <w:t xml:space="preserve"> e, em outro terminal, </w:t>
      </w:r>
      <w:r>
        <w:rPr>
          <w:i/>
          <w:iCs/>
          <w:color w:val="1F2430"/>
          <w:sz w:val="22"/>
          <w:szCs w:val="22"/>
        </w:rPr>
        <w:t xml:space="preserve">cd frontend; npm install; npm run dev</w:t>
      </w:r>
      <w:r>
        <w:rPr>
          <w:color w:val="1F2430"/>
          <w:sz w:val="22"/>
          <w:szCs w:val="22"/>
        </w:rPr>
        <w:t xml:space="preserve">. Interface em http://127.0.0.1:5173.</w:t>
      </w:r>
    </w:p>
    <w:p>
      <w:pPr>
        <w:pStyle w:val="Heading1"/>
      </w:pPr>
      <w:r>
        <w:t xml:space="preserve">6. Resultados e Discussão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 protótipo atende aos objetivos propostos: funciona como aplicação full-stack, explica cada decisão pelas regras disparadas, roda localmente ou via Docker e inclui testes automatizados. O maior valor está na explicabilidade — cada score é decomposto em suas contribuições, o que é essencial em ambientes corporativos onde decisões automatizadas precisam ser compreendidas e auditadas.</w:t>
      </w:r>
    </w:p>
    <w:p>
      <w:pPr>
        <w:spacing w:after="140" w:line="276"/>
      </w:pPr>
      <w:r>
        <w:rPr>
          <w:b/>
          <w:bCs/>
          <w:color w:val="1F2430"/>
          <w:sz w:val="22"/>
          <w:szCs w:val="22"/>
        </w:rPr>
        <w:t xml:space="preserve">Discussão crítica. </w:t>
      </w:r>
      <w:r>
        <w:rPr>
          <w:color w:val="1F2430"/>
          <w:sz w:val="22"/>
          <w:szCs w:val="22"/>
        </w:rPr>
        <w:t xml:space="preserve">O RuleDesk adota um esquema de pontuação ponderada, e não um encadeamento em que uma regra afirma um fato que ativa outra regra em cascata. Essa escolha favorece a clareza didática e a previsibilidade, ao custo de não explorar interações complexas entre regras. Um motor plenamente encadeado (à la CLIPS/Rete) seria o próximo passo natural para representar dependências entre conclusões.</w:t>
      </w:r>
    </w:p>
    <w:p>
      <w:pPr>
        <w:pStyle w:val="Heading1"/>
      </w:pPr>
      <w:r>
        <w:t xml:space="preserve">7. Limitações e Trabalhos Futuros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Os pesos são definidos manualmente; em produção, deveriam ser calibrados com dados históricos e validação com especialistas;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Evoluir para um encadeamento com fatos derivados (regras que ativam regras), aproximando-se do ciclo Rete completo;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Regras por perfil de cliente e SLAs diferenciados por contrato;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Integração com ferramentas de ITSM reais (Jira, ServiceNow, GLPI);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F2430"/>
          <w:sz w:val="22"/>
          <w:szCs w:val="22"/>
        </w:rPr>
        <w:t xml:space="preserve">Abordagem híbrida (neuro-simbólica): usar aprendizado de máquina para sugerir pesos e regras, mantendo a explicabilidade das regras.</w:t>
      </w:r>
    </w:p>
    <w:p>
      <w:pPr>
        <w:pStyle w:val="Heading1"/>
      </w:pPr>
      <w:r>
        <w:t xml:space="preserve">8. Conclusão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Os sistemas baseados em regras permanecem relevantes sempre que explicabilidade, controle e padronização importam. O RuleDesk demonstra que a IA simbólica pode ser aplicada de forma prática e imediata na Engenharia de Software, especialmente em fluxos de suporte, incidentes e operações.</w:t>
      </w:r>
    </w:p>
    <w:p>
      <w:pPr>
        <w:spacing w:after="140" w:line="276"/>
      </w:pPr>
      <w:r>
        <w:rPr>
          <w:color w:val="1F2430"/>
          <w:sz w:val="22"/>
          <w:szCs w:val="22"/>
        </w:rPr>
        <w:t xml:space="preserve">Mais do que um exercício, o projeto evidencia uma mensagem central: uma aplicação inteligente não precisa, necessariamente, treinar uma rede neural. Quando o conhecimento do domínio é claro, um conjunto de regras bem definidas gera decisões úteis, rápidas e — o mais importante — justificáveis.</w:t>
      </w:r>
    </w:p>
    <w:p>
      <w:pPr>
        <w:pStyle w:val="Heading1"/>
      </w:pPr>
      <w:r>
        <w:t xml:space="preserve">9. Referências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RUSSELL, S.; NORVIG, P. </w:t>
      </w:r>
      <w:r>
        <w:rPr>
          <w:color w:val="1F2430"/>
          <w:sz w:val="22"/>
          <w:szCs w:val="22"/>
        </w:rPr>
        <w:t xml:space="preserve">Artificial Intelligence: A Modern Approach. 4. ed. Pearson, 2021. Disponível em: https://aima.cs.berkeley.edu/.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FORGY, C. L. </w:t>
      </w:r>
      <w:r>
        <w:rPr>
          <w:color w:val="1F2430"/>
          <w:sz w:val="22"/>
          <w:szCs w:val="22"/>
        </w:rPr>
        <w:t xml:space="preserve">Rete: A Fast Algorithm for the Many Pattern/Many Object Pattern Match Problem. Artificial Intelligence, v. 19, n. 1, p. 17–37, 1982.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GIARRATANO, J.; RILEY, G. </w:t>
      </w:r>
      <w:r>
        <w:rPr>
          <w:color w:val="1F2430"/>
          <w:sz w:val="22"/>
          <w:szCs w:val="22"/>
        </w:rPr>
        <w:t xml:space="preserve">Expert Systems: Principles and Programming. 4. ed. Course Technology, 2005.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CLIPS. </w:t>
      </w:r>
      <w:r>
        <w:rPr>
          <w:color w:val="1F2430"/>
          <w:sz w:val="22"/>
          <w:szCs w:val="22"/>
        </w:rPr>
        <w:t xml:space="preserve">A Tool for Building Expert Systems. Disponível em: https://www.clipsrules.net/.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APACHE KIE / DROOLS. </w:t>
      </w:r>
      <w:r>
        <w:rPr>
          <w:color w:val="1F2430"/>
          <w:sz w:val="22"/>
          <w:szCs w:val="22"/>
        </w:rPr>
        <w:t xml:space="preserve">Business Rules Management System. Disponível em: https://kie.apache.org/.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OMG. </w:t>
      </w:r>
      <w:r>
        <w:rPr>
          <w:color w:val="1F2430"/>
          <w:sz w:val="22"/>
          <w:szCs w:val="22"/>
        </w:rPr>
        <w:t xml:space="preserve">Decision Model and Notation (DMN) 1.4. Object Management Group, 2022. Disponível em: https://www.omg.org/dmn/.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NIST. </w:t>
      </w:r>
      <w:r>
        <w:rPr>
          <w:color w:val="1F2430"/>
          <w:sz w:val="22"/>
          <w:szCs w:val="22"/>
        </w:rPr>
        <w:t xml:space="preserve">SP 800-61 Rev. 3: Incident Response Recommendations and Considerations for Cybersecurity Risk Management. 2024. Disponível em: https://csrc.nist.gov/pubs/sp/800/61/r3/final.</w:t>
      </w:r>
    </w:p>
    <w:p>
      <w:pPr>
        <w:spacing w:after="120" w:line="264"/>
        <w:ind w:left="360" w:hanging="360"/>
      </w:pPr>
      <w:r>
        <w:rPr>
          <w:b/>
          <w:bCs/>
          <w:color w:val="1F2430"/>
          <w:sz w:val="22"/>
          <w:szCs w:val="22"/>
        </w:rPr>
        <w:t xml:space="preserve">BUCHANAN, B.; SHORTLIFFE, E. </w:t>
      </w:r>
      <w:r>
        <w:rPr>
          <w:color w:val="1F2430"/>
          <w:sz w:val="22"/>
          <w:szCs w:val="22"/>
        </w:rPr>
        <w:t xml:space="preserve">Rule-Based Expert Systems: The MYCIN Experiments. Addison-Wesley, 1984.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Página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de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2" w:sz="4" w:space="4"/>
      </w:pBdr>
      <w:tabs>
        <w:tab w:val="right" w:pos="9360"/>
      </w:tabs>
    </w:pPr>
    <w:r>
      <w:rPr>
        <w:color w:val="5B6472"/>
        <w:sz w:val="16"/>
        <w:szCs w:val="16"/>
      </w:rPr>
      <w:t xml:space="preserve">RuleDesk — Sistemas Baseados em Regras</w:t>
    </w:r>
    <w:r>
      <w:rPr>
        <w:color w:val="5B6472"/>
        <w:sz w:val="16"/>
        <w:szCs w:val="16"/>
      </w:rPr>
      <w:t xml:space="preserve">	Seminário N3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430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00" w:after="160"/>
      <w:outlineLvl w:val="0"/>
    </w:pPr>
    <w:rPr>
      <w:b/>
      <w:bCs/>
      <w:color w:val="3B3AC4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bCs/>
      <w:color w:val="1F2430"/>
      <w:sz w:val="25"/>
      <w:szCs w:val="25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keepNext/>
      <w:spacing w:before="140" w:after="70"/>
      <w:outlineLvl w:val="2"/>
    </w:pPr>
    <w:rPr>
      <w:b/>
      <w:bCs/>
      <w:color w:val="3A4152"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y8kcoioxjicrjsfr9h5dw.png"/><Relationship Id="rId9" Type="http://schemas.openxmlformats.org/officeDocument/2006/relationships/image" Target="media/ucr0mcprsmfft9oyap-hw.png"/><Relationship Id="rId10" Type="http://schemas.openxmlformats.org/officeDocument/2006/relationships/image" Target="media/ds3stof5dafsnqj54jt8i.png"/><Relationship Id="rId11" Type="http://schemas.openxmlformats.org/officeDocument/2006/relationships/image" Target="media/dvque0dnsps30x0eyrsk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Sistemas Baseados em Regras (RuleDesk)</dc:title>
  <dc:creator>RuleDesk</dc:creator>
  <cp:lastModifiedBy>Un-named</cp:lastModifiedBy>
  <cp:revision>1</cp:revision>
  <dcterms:created xsi:type="dcterms:W3CDTF">2026-07-02T18:30:20.954Z</dcterms:created>
  <dcterms:modified xsi:type="dcterms:W3CDTF">2026-07-02T18:30:20.962Z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