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alibri" w:cs="Calibri" w:eastAsia="Calibri" w:hAnsi="Calibri"/>
          <w:b/>
          <w:bCs/>
          <w:color w:val="1F4E79"/>
          <w:sz w:val="38"/>
          <w:szCs w:val="38"/>
        </w:rPr>
        <w:t xml:space="preserve">Achados da Semana — Base para a Reunião</w:t>
      </w:r>
    </w:p>
    <w:p>
      <w:pPr>
        <w:spacing w:after="0" w:before="120"/>
        <w:jc w:val="center"/>
      </w:pPr>
      <w:r>
        <w:rPr>
          <w:rFonts w:ascii="Calibri" w:cs="Calibri" w:eastAsia="Calibri" w:hAnsi="Calibri"/>
          <w:color w:val="2E74B5"/>
          <w:sz w:val="23"/>
          <w:szCs w:val="23"/>
        </w:rPr>
        <w:t xml:space="preserve">Fuzzing, rubricas de feedback, avaliação pedagógica, arquitetura e leitura prioritária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color w:val="595959"/>
          <w:sz w:val="21"/>
          <w:szCs w:val="21"/>
        </w:rPr>
        <w:t xml:space="preserve">PIBIC — Tutoria inteligente no CodeBench (análise dinâmica + LLM local)</w:t>
      </w:r>
    </w:p>
    <w:p>
      <w:pPr>
        <w:spacing w:after="0" w:before="52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Guilherme da Silva Pereira · UFAM · Instituto de Computação</w:t>
      </w:r>
    </w:p>
    <w:p>
      <w:pPr>
        <w:spacing w:after="0" w:before="40"/>
        <w:jc w:val="center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Citações no texto no formato (Autor, venue ano); fontes completas na seção Referências.</w:t>
      </w:r>
    </w:p>
    <w:p>
      <w:pPr>
        <w:spacing w:after="0" w:before="20"/>
        <w:jc w:val="center"/>
      </w:pPr>
      <w:r>
        <w:rPr>
          <w:rFonts w:ascii="Calibri" w:cs="Calibri" w:eastAsia="Calibri" w:hAnsi="Calibri"/>
          <w:i/>
          <w:iCs/>
          <w:color w:val="595959"/>
          <w:sz w:val="15"/>
          <w:szCs w:val="15"/>
        </w:rPr>
        <w:t xml:space="preserve">Obs.: parte das citações veio de busca na web — confirme autoria/venue exatos antes de citar formalmente.</w:t>
      </w:r>
    </w:p>
    <w:p>
      <w:pPr>
        <w:pStyle w:val="Heading1"/>
        <w:pageBreakBefore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1. Fuzzing de entradas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1.1. Como a literatura usa fuzzing hoje (domínio próximo)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Fuzzing é gerar automaticamente muitas entradas para exercitar caminhos diferentes de um programa e revelar falhas. Dois conceitos se combinam:</w:t>
      </w:r>
    </w:p>
    <w:p>
      <w:pPr>
        <w:spacing w:after="126" w:line="272"/>
        <w:jc w:val="both"/>
      </w:pPr>
      <w:r>
        <w:rPr>
          <w:rFonts w:ascii="Calibri" w:cs="Calibri" w:eastAsia="Calibri" w:hAnsi="Calibri"/>
          <w:b/>
          <w:bCs/>
        </w:rPr>
        <w:t xml:space="preserve">Guiado por cobertura (coverage-guided greybox).</w:t>
      </w:r>
      <w:r>
        <w:rPr>
          <w:rFonts w:ascii="Calibri" w:cs="Calibri" w:eastAsia="Calibri" w:hAnsi="Calibri"/>
        </w:rPr>
        <w:t xml:space="preserve"> Instrumenta-se o programa para registrar quais ramos do código cada execução percorre; mantém-se um “corpus” de entradas interessantes; o laço pega uma entrada, muta, executa e, se a mutação atinge cobertura nova ou faz o programa crashar, guarda-a no corpus. Com o tempo o corpus cobre mais caminhos e alcança bugs profundos. O AFL popularizou essa técnica; para bugs de memória, o </w:t>
      </w:r>
      <w:r>
        <w:rPr>
          <w:rFonts w:ascii="Calibri" w:cs="Calibri" w:eastAsia="Calibri" w:hAnsi="Calibri"/>
          <w:b/>
          <w:bCs/>
        </w:rPr>
        <w:t xml:space="preserve">crash sob sanitizer é o oráculo</w:t>
      </w:r>
      <w:r>
        <w:rPr>
          <w:rFonts w:ascii="Calibri" w:cs="Calibri" w:eastAsia="Calibri" w:hAnsi="Calibri"/>
        </w:rPr>
        <w:t xml:space="preserve"> (Padhye et al., ISSTA 2019).</w:t>
      </w:r>
    </w:p>
    <w:p>
      <w:pPr>
        <w:spacing w:after="126" w:line="272"/>
        <w:jc w:val="both"/>
      </w:pPr>
      <w:r>
        <w:rPr>
          <w:rFonts w:ascii="Calibri" w:cs="Calibri" w:eastAsia="Calibri" w:hAnsi="Calibri"/>
          <w:b/>
          <w:bCs/>
        </w:rPr>
        <w:t xml:space="preserve">Estruturado (grammar-aware).</w:t>
      </w:r>
      <w:r>
        <w:rPr>
          <w:rFonts w:ascii="Calibri" w:cs="Calibri" w:eastAsia="Calibri" w:hAnsi="Calibri"/>
        </w:rPr>
        <w:t xml:space="preserve"> O problema: mutação de bytes aleatória destrói entradas com formato (um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scanf</w:t>
      </w:r>
      <w:r>
        <w:rPr>
          <w:rFonts w:ascii="Calibri" w:cs="Calibri" w:eastAsia="Calibri" w:hAnsi="Calibri"/>
        </w:rPr>
        <w:t xml:space="preserve"> de “N e N inteiros” rejeita lixo), e o fuzzer trava na entrada sem chegar à lógica. Três abordagens resolvem isso: (a) mutar no nível da árvore de sintaxe em cima do AFL (Superion — Wang et al., ICSE 2019); (b) </w:t>
      </w:r>
      <w:r>
        <w:rPr>
          <w:rFonts w:ascii="Calibri" w:cs="Calibri" w:eastAsia="Calibri" w:hAnsi="Calibri"/>
          <w:b/>
          <w:bCs/>
        </w:rPr>
        <w:t xml:space="preserve">gerar</w:t>
      </w:r>
      <w:r>
        <w:rPr>
          <w:rFonts w:ascii="Calibri" w:cs="Calibri" w:eastAsia="Calibri" w:hAnsi="Calibri"/>
        </w:rPr>
        <w:t xml:space="preserve"> a partir de uma gramática combinada com feedback de cobertura (Nautilus — Aschermann et al., NDSS 2019; Gramatron — Srivastava &amp; Payer, ISSTA 2021); (c) usar um </w:t>
      </w:r>
      <w:r>
        <w:rPr>
          <w:rFonts w:ascii="Calibri" w:cs="Calibri" w:eastAsia="Calibri" w:hAnsi="Calibri"/>
          <w:b/>
          <w:bCs/>
        </w:rPr>
        <w:t xml:space="preserve">gerador</w:t>
      </w:r>
      <w:r>
        <w:rPr>
          <w:rFonts w:ascii="Calibri" w:cs="Calibri" w:eastAsia="Calibri" w:hAnsi="Calibri"/>
        </w:rPr>
        <w:t xml:space="preserve"> de entradas válidas cujos parâmetros são guiados por cobertura (Zest — Padhye et al., ISSTA 2019). No contexto educacional, fuzzing white-box já foi usado para autocorreção, comparando o traço do aluno com uma implementação de referência (AUTOGRADER, ICSE 2019).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1.2. Bonsai Fuzzing — o caso mais próximo do meu domínio (alunos)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O Bonsai Fuzzing (Padhye et al., ICSE 2021) é um fuzzer </w:t>
      </w:r>
      <w:r>
        <w:rPr>
          <w:rFonts w:ascii="Calibri" w:cs="Calibri" w:eastAsia="Calibri" w:hAnsi="Calibri"/>
          <w:b/>
          <w:bCs/>
        </w:rPr>
        <w:t xml:space="preserve">guiado por cobertura e baseado em gramática</w:t>
      </w:r>
      <w:r>
        <w:rPr>
          <w:rFonts w:ascii="Calibri" w:cs="Calibri" w:eastAsia="Calibri" w:hAnsi="Calibri"/>
        </w:rPr>
        <w:t xml:space="preserve"> cujo objetivo é gerar um corpus de entradas de teste </w:t>
      </w:r>
      <w:r>
        <w:rPr>
          <w:rFonts w:ascii="Calibri" w:cs="Calibri" w:eastAsia="Calibri" w:hAnsi="Calibri"/>
          <w:b/>
          <w:bCs/>
        </w:rPr>
        <w:t xml:space="preserve">concisas</w:t>
      </w:r>
      <w:r>
        <w:rPr>
          <w:rFonts w:ascii="Calibri" w:cs="Calibri" w:eastAsia="Calibri" w:hAnsi="Calibri"/>
        </w:rPr>
        <w:t xml:space="preserve"> (pequenas e legíveis) por “iterative deepening” — daí o nome “bonsai” (crescer podado). O contexto é exatamente o seu: um curso em que </w:t>
      </w:r>
      <w:r>
        <w:rPr>
          <w:rFonts w:ascii="Calibri" w:cs="Calibri" w:eastAsia="Calibri" w:hAnsi="Calibri"/>
          <w:b/>
          <w:bCs/>
        </w:rPr>
        <w:t xml:space="preserve">alunos constroem um compilador</w:t>
      </w:r>
      <w:r>
        <w:rPr>
          <w:rFonts w:ascii="Calibri" w:cs="Calibri" w:eastAsia="Calibri" w:hAnsi="Calibri"/>
        </w:rPr>
        <w:t xml:space="preserve"> (ChocoPy → RISC-V, em Java), autocorrigido contra uma </w:t>
      </w:r>
      <w:r>
        <w:rPr>
          <w:rFonts w:ascii="Calibri" w:cs="Calibri" w:eastAsia="Calibri" w:hAnsi="Calibri"/>
          <w:b/>
          <w:bCs/>
        </w:rPr>
        <w:t xml:space="preserve">implementação de referência</w:t>
      </w:r>
      <w:r>
        <w:rPr>
          <w:rFonts w:ascii="Calibri" w:cs="Calibri" w:eastAsia="Calibri" w:hAnsi="Calibri"/>
        </w:rPr>
        <w:t xml:space="preserve">. Resultado: as entradas geradas são </w:t>
      </w:r>
      <w:r>
        <w:rPr>
          <w:rFonts w:ascii="Calibri" w:cs="Calibri" w:eastAsia="Calibri" w:hAnsi="Calibri"/>
          <w:b/>
          <w:bCs/>
        </w:rPr>
        <w:t xml:space="preserve">16–45% menores</w:t>
      </w:r>
      <w:r>
        <w:rPr>
          <w:rFonts w:ascii="Calibri" w:cs="Calibri" w:eastAsia="Calibri" w:hAnsi="Calibri"/>
        </w:rPr>
        <w:t xml:space="preserve"> que a abordagem “fuzz-então-reduz”, mantendo praticamente a mesma cobertura e a mesma capacidade de detectar faltas.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Para o seu PIBIC. A conciseness do Bonsai importa para você por um motivo pedagógico: uma entrada pequena é um </w:t>
      </w:r>
      <w:r>
        <w:rPr>
          <w:rFonts w:ascii="Calibri" w:cs="Calibri" w:eastAsia="Calibri" w:hAnsi="Calibri"/>
          <w:b/>
          <w:bCs/>
        </w:rPr>
        <w:t xml:space="preserve">reprodutor fácil de o aluno entender</w:t>
      </w:r>
      <w:r>
        <w:rPr>
          <w:rFonts w:ascii="Calibri" w:cs="Calibri" w:eastAsia="Calibri" w:hAnsi="Calibri"/>
        </w:rPr>
        <w:t xml:space="preserve">. Se você fizer fuzzing, gerar entradas mínimas (não só “alguma entrada que crasha”) melhora o feedback. E o domínio (código de aluno, autocorreção contra referência) é o mais parecido com o seu que existe na literatura de fuzzing.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1.3. Outros pontos de fuzzing que valem registrar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Sanitizer como oráculo.</w:t>
      </w:r>
      <w:r>
        <w:rPr>
          <w:rFonts w:ascii="Calibri" w:cs="Calibri" w:eastAsia="Calibri" w:hAnsi="Calibri"/>
        </w:rPr>
        <w:t xml:space="preserve"> A combinação “AFL/libFuzzer + AddressSanitizer” é o padrão da indústria para achar bug de memória: o crash instrumentado é o sinal de falha (Song et al., IEEE S&amp;P 2019, sobre sanitizers).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Seed corpus.</w:t>
      </w:r>
      <w:r>
        <w:rPr>
          <w:rFonts w:ascii="Calibri" w:cs="Calibri" w:eastAsia="Calibri" w:hAnsi="Calibri"/>
        </w:rPr>
        <w:t xml:space="preserve"> Fuzzers partem de entradas-semente; boas sementes (ex.: os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.in</w:t>
      </w:r>
      <w:r>
        <w:rPr>
          <w:rFonts w:ascii="Calibri" w:cs="Calibri" w:eastAsia="Calibri" w:hAnsi="Calibri"/>
        </w:rPr>
        <w:t xml:space="preserve"> reais do CodeBench) aceleram muito a exploração.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Triagem/deduplicação (crash bucketing).</w:t>
      </w:r>
      <w:r>
        <w:rPr>
          <w:rFonts w:ascii="Calibri" w:cs="Calibri" w:eastAsia="Calibri" w:hAnsi="Calibri"/>
        </w:rPr>
        <w:t xml:space="preserve"> Entradas diferentes disparam o MESMO erro; é preciso agrupar para não repetir o mesmo diagnóstico.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Minimização de entrada (delta-debugging).</w:t>
      </w:r>
      <w:r>
        <w:rPr>
          <w:rFonts w:ascii="Calibri" w:cs="Calibri" w:eastAsia="Calibri" w:hAnsi="Calibri"/>
        </w:rPr>
        <w:t xml:space="preserve"> Depois de achar uma entrada que falha, reduzi-la ao mínimo que ainda reproduz o erro — o mesmo espírito do Bonsai, e ótimo para o feedback.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Você já tem a gramática de entrada.</w:t>
      </w:r>
      <w:r>
        <w:rPr>
          <w:rFonts w:ascii="Calibri" w:cs="Calibri" w:eastAsia="Calibri" w:hAnsi="Calibri"/>
        </w:rPr>
        <w:t xml:space="preserve"> O seu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.in</w:t>
      </w:r>
      <w:r>
        <w:rPr>
          <w:rFonts w:ascii="Calibri" w:cs="Calibri" w:eastAsia="Calibri" w:hAnsi="Calibri"/>
        </w:rPr>
        <w:t xml:space="preserve"> define o formato (ex.: “50 30 70 ... 0”). Isso resolve a parte mais cara do fuzzing estruturado: o gerador respeita o formato desde o início, sem instrumentação pesada.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1.4. A abordagem de fuzzing escolhida para o CodeBench: mutation-based auxiliar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Decisão de projeto: no CodeBench o problema é restrito — o formato de entrada é conhecido e o pipeline JÁ recebe uma entrada válida, que serve de seed. Logo, não é preciso um fuzzer que descubra a estrutura da entrada nem explore grandes espaços de forma genérica (AFL++, ou reproduzir o Bonsai); isso adicionaria complexidade sem ser o foco da pesquisa. A escolha proporcional é </w:t>
      </w:r>
      <w:r>
        <w:rPr>
          <w:rFonts w:ascii="Calibri" w:cs="Calibri" w:eastAsia="Calibri" w:hAnsi="Calibri"/>
          <w:b/>
          <w:bCs/>
        </w:rPr>
        <w:t xml:space="preserve">mutation-based fuzzing</w:t>
      </w:r>
      <w:r>
        <w:rPr>
          <w:rFonts w:ascii="Calibri" w:cs="Calibri" w:eastAsia="Calibri" w:hAnsi="Calibri"/>
        </w:rPr>
        <w:t xml:space="preserve">: partir da entrada dada e gerar variações por operadores simples, mantendo o fuzzing como componente </w:t>
      </w:r>
      <w:r>
        <w:rPr>
          <w:rFonts w:ascii="Calibri" w:cs="Calibri" w:eastAsia="Calibri" w:hAnsi="Calibri"/>
          <w:b/>
          <w:bCs/>
        </w:rPr>
        <w:t xml:space="preserve">auxiliar</w:t>
      </w:r>
      <w:r>
        <w:rPr>
          <w:rFonts w:ascii="Calibri" w:cs="Calibri" w:eastAsia="Calibri" w:hAnsi="Calibri"/>
        </w:rPr>
        <w:t xml:space="preserve"> do pipeline, não como objetivo central.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O catálogo de operadores é fundamentado em teoria de teste consagrada — análise de valor-limite e partição de equivalência (Myers, The Art of Software Testing) — e é direcionado ao escopo de memória (é nos extremos e no redimensionamento que os bugs de memória aparecem):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Operador</w:t>
            </w:r>
          </w:p>
        </w:tc>
        <w:tc>
          <w:tcPr>
            <w:tcW w:type="dxa" w:w="356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gera</w:t>
            </w:r>
          </w:p>
        </w:tc>
        <w:tc>
          <w:tcPr>
            <w:tcW w:type="dxa" w:w="350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costuma revelar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Vazio / N=0</w:t>
            </w:r>
          </w:p>
        </w:tc>
        <w:tc>
          <w:tcPr>
            <w:tcW w:type="dxa" w:w="35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entrada sem elementos</w:t>
            </w:r>
          </w:p>
        </w:tc>
        <w:tc>
          <w:tcPr>
            <w:tcW w:type="dxa" w:w="35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laços/acessos que assumem ≥1 elemento; índice inicial</w:t>
            </w:r>
          </w:p>
        </w:tc>
      </w:tr>
      <w:tr>
        <w:tc>
          <w:tcPr>
            <w:tcW w:type="dxa" w:w="23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Mínimo (N=1)</w:t>
            </w:r>
          </w:p>
        </w:tc>
        <w:tc>
          <w:tcPr>
            <w:tcW w:type="dxa" w:w="356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um único elemento</w:t>
            </w:r>
          </w:p>
        </w:tc>
        <w:tc>
          <w:tcPr>
            <w:tcW w:type="dxa" w:w="35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casos-base de recursão; off-by-one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Limite</w:t>
            </w:r>
          </w:p>
        </w:tc>
        <w:tc>
          <w:tcPr>
            <w:tcW w:type="dxa" w:w="35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valores na borda do domínio (0, máximo permitido)</w:t>
            </w:r>
          </w:p>
        </w:tc>
        <w:tc>
          <w:tcPr>
            <w:tcW w:type="dxa" w:w="35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estouro de vetor de tamanho fixo; comparação &lt;= vs &lt;</w:t>
            </w:r>
          </w:p>
        </w:tc>
      </w:tr>
      <w:tr>
        <w:tc>
          <w:tcPr>
            <w:tcW w:type="dxa" w:w="23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Extremo</w:t>
            </w:r>
          </w:p>
        </w:tc>
        <w:tc>
          <w:tcPr>
            <w:tcW w:type="dxa" w:w="356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valores muito grandes/pequenos</w:t>
            </w:r>
          </w:p>
        </w:tc>
        <w:tc>
          <w:tcPr>
            <w:tcW w:type="dxa" w:w="35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overflow de inteiro; tamanho de alocação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Redimensionar</w:t>
            </w:r>
          </w:p>
        </w:tc>
        <w:tc>
          <w:tcPr>
            <w:tcW w:type="dxa" w:w="35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 grande (com N valores consistentes) / N pequeno</w:t>
            </w:r>
          </w:p>
        </w:tc>
        <w:tc>
          <w:tcPr>
            <w:tcW w:type="dxa" w:w="35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estouro de buffer; realocação; uso além do alocado</w:t>
            </w:r>
          </w:p>
        </w:tc>
      </w:tr>
      <w:tr>
        <w:tc>
          <w:tcPr>
            <w:tcW w:type="dxa" w:w="23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Sinais</w:t>
            </w:r>
          </w:p>
        </w:tc>
        <w:tc>
          <w:tcPr>
            <w:tcW w:type="dxa" w:w="356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troca positivo↔negativo↔zero</w:t>
            </w:r>
          </w:p>
        </w:tc>
        <w:tc>
          <w:tcPr>
            <w:tcW w:type="dxa" w:w="35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ramos não exercitados pela entrada oficial</w:t>
            </w:r>
          </w:p>
        </w:tc>
      </w:tr>
    </w:tbl>
    <w:p>
      <w:pPr>
        <w:pBdr>
          <w:top w:val="single" w:color="DDDDDD" w:sz="4" w:space="6"/>
          <w:bottom w:val="single" w:color="DDDDDD" w:sz="4" w:space="6"/>
          <w:left w:val="single" w:color="C0392B" w:sz="18" w:space="10"/>
          <w:right w:val="single" w:color="DDDDDD" w:sz="4" w:space="6"/>
        </w:pBdr>
        <w:shd w:fill="FDECE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Atenção. O ponto onde a complexidade volta: “manter só quem explora caminho novo” (guiado por cobertura) EXIGE instrumentar o código (-fsanitize-coverage / gcov) + um laço de feedback — que é justamente a máquina AFL que você quer evitar. Para programas de 50–200 linhas, um bom catálogo de operadores provavelmente já cobre os caminhos interessantes. Três níveis, do mais simples ao mais caro: (A) SEM cobertura — gera o conjunto fixo de mutantes e roda todos sob o sanitizer, guardando os que crasham; (B) cobertura só como sinal de parada/deduplicação; (C) guiado por cobertura completo. Comece por (A); só suba se medir que está perdendo caminhos.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Para o seu PIBIC. Duas regras de escopo para não gerar achado injusto: (1) mutações CIENTES DO FORMATO — ao mudar N, ajuste a contagem de valores seguintes de forma consistente (senão o scanf bloqueia e você testa o caminho errado); (2) fique nas entradas VÁLIDAS-porém-extremas, dentro do contrato de entrada do exercício — um bug que só aparece com entrada malformada que o aluno nunca receberia não é pedagogicamente relevante.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1.5. Como implementar (concreto, reaproveitando o pipeline atual)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A boa notícia: as suas malhas já aceitam a entrada por stdin (o parâmetro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input=</w:t>
      </w:r>
      <w:r>
        <w:rPr>
          <w:rFonts w:ascii="Calibri" w:cs="Calibri" w:eastAsia="Calibri" w:hAnsi="Calibri"/>
        </w:rPr>
        <w:t xml:space="preserve"> já existe em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executar_malha_1_asan</w:t>
      </w:r>
      <w:r>
        <w:rPr>
          <w:rFonts w:ascii="Calibri" w:cs="Calibri" w:eastAsia="Calibri" w:hAnsi="Calibri"/>
        </w:rPr>
        <w:t xml:space="preserve"> /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executar_malha_2_valgrind</w:t>
      </w:r>
      <w:r>
        <w:rPr>
          <w:rFonts w:ascii="Calibri" w:cs="Calibri" w:eastAsia="Calibri" w:hAnsi="Calibri"/>
        </w:rPr>
        <w:t xml:space="preserve">), então alimentar mutantes é quase de graça. O que falta é um módulo gerador. Passo a passo: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Parse do seed pelo formato.</w:t>
      </w:r>
      <w:r>
        <w:rPr>
          <w:rFonts w:ascii="Calibri" w:cs="Calibri" w:eastAsia="Calibri" w:hAnsi="Calibri"/>
        </w:rPr>
        <w:t xml:space="preserve"> Estenda o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deteccao_entrada.py</w:t>
      </w:r>
      <w:r>
        <w:rPr>
          <w:rFonts w:ascii="Calibri" w:cs="Calibri" w:eastAsia="Calibri" w:hAnsi="Calibri"/>
        </w:rPr>
        <w:t xml:space="preserve"> (que já lê o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.in</w:t>
      </w:r>
      <w:r>
        <w:rPr>
          <w:rFonts w:ascii="Calibri" w:cs="Calibri" w:eastAsia="Calibri" w:hAnsi="Calibri"/>
        </w:rPr>
        <w:t xml:space="preserve">) para PARSEAR a entrada em tokens tipados conforme o formato do exercício — ex.: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{N: 9, lista: [50,30,...]}</w:t>
      </w:r>
      <w:r>
        <w:rPr>
          <w:rFonts w:ascii="Calibri" w:cs="Calibri" w:eastAsia="Calibri" w:hAnsi="Calibri"/>
        </w:rPr>
        <w:t xml:space="preserve">. Se você adicionar um descritor de formato por exercício (ou inferir da estrutura do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.in</w:t>
      </w:r>
      <w:r>
        <w:rPr>
          <w:rFonts w:ascii="Calibri" w:cs="Calibri" w:eastAsia="Calibri" w:hAnsi="Calibri"/>
        </w:rPr>
        <w:t xml:space="preserve">), o mutador fica genérico.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Catálogo de operadores (`mutador_entrada.py`).</w:t>
      </w:r>
      <w:r>
        <w:rPr>
          <w:rFonts w:ascii="Calibri" w:cs="Calibri" w:eastAsia="Calibri" w:hAnsi="Calibri"/>
        </w:rPr>
        <w:t xml:space="preserve"> Cada operador recebe os tokens e devolve entradas novas, ainda consistentes com o formato (vazio, N=1, limite, extremo, resize, sinais). Gere um conjunto LIMITADO (10–30 mutantes).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Executar cada mutante nas malhas existentes.</w:t>
      </w:r>
      <w:r>
        <w:rPr>
          <w:rFonts w:ascii="Calibri" w:cs="Calibri" w:eastAsia="Calibri" w:hAnsi="Calibri"/>
        </w:rPr>
        <w:t xml:space="preserve"> Reuse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executar_malha_1_asan</w:t>
      </w:r>
      <w:r>
        <w:rPr>
          <w:rFonts w:ascii="Calibri" w:cs="Calibri" w:eastAsia="Calibri" w:hAnsi="Calibri"/>
        </w:rPr>
        <w:t xml:space="preserve"> e (se limpo)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executar_malha_2_valgrind</w:t>
      </w:r>
      <w:r>
        <w:rPr>
          <w:rFonts w:ascii="Calibri" w:cs="Calibri" w:eastAsia="Calibri" w:hAnsi="Calibri"/>
        </w:rPr>
        <w:t xml:space="preserve">, passando o mutante como stdin. Nada de reescrever a detecção.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Critério de “manter” por objetivo.</w:t>
      </w:r>
      <w:r>
        <w:rPr>
          <w:rFonts w:ascii="Calibri" w:cs="Calibri" w:eastAsia="Calibri" w:hAnsi="Calibri"/>
        </w:rPr>
        <w:t xml:space="preserve"> Memória → mantém quem faz o sanitizer disparar (oráculo de crash, sem referência). Lógica → mantém quem faz a saída divergir da referência (differential). Não misture os dois.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Triagem e prioridade.</w:t>
      </w:r>
      <w:r>
        <w:rPr>
          <w:rFonts w:ascii="Calibri" w:cs="Calibri" w:eastAsia="Calibri" w:hAnsi="Calibri"/>
        </w:rPr>
        <w:t xml:space="preserve"> Deduplique por (tipo_erro, linha) para não repetir o mesmo bug; entre entradas que disparam o mesmo erro, guarde a MENOR (melhor reprodutor). Se houver erros diferentes, priorize por severidade (crash/UAF &gt; não-inicializado &gt; leak) e, na mesma severidade, o menor reprodutor.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Esboço (pseudocódigo):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54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seed   = ler_entrada(caminho_in)                      # ja existe (deteccao_entrada)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tokens = parse_por_formato(seed, formato_exercicio)   # {N:9, lista:[...]}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OPERADORES = [vazio, minimo_1, limite, extremo, resize, sinais]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mutantes = []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for op in OPERADORES: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mutantes += op(tokens)          # cada op mantem o FORMATO consistente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achados = {}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for m in mutantes: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stdin = serializar(m)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r = executar_malha_1_asan(codigo, input=stdin)    # reusa suas malhas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not r: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r = executar_malha_2_valgrind(codigo, input=stdin)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if r:                                  # sanitizer disparou (crash oracle)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chave = (r['tipo'], r['linha'])               # deduplicacao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if chave not in achados or menor(m, achados[chave]['entrada']):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           achados[chave] = {'erro': r, 'entrada': m}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 </w:t>
      </w:r>
    </w:p>
    <w:p>
      <w:pPr>
        <w:keepNext/>
        <w:pBdr>
          <w:left w:val="single" w:color="B0B8C4" w:sz="14" w:space="8"/>
        </w:pBdr>
        <w:shd w:fill="F4F6F8" w:color="auto" w:val="clear"/>
        <w:spacing w:after="0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selecionado = prioriza(achados)     # severidade -&gt; menor reprodutor</w:t>
      </w:r>
    </w:p>
    <w:p>
      <w:pPr>
        <w:keepNext w:val="false"/>
        <w:pBdr>
          <w:left w:val="single" w:color="B0B8C4" w:sz="14" w:space="8"/>
        </w:pBdr>
        <w:shd w:fill="F4F6F8" w:color="auto" w:val="clear"/>
        <w:spacing w:after="134" w:before="0" w:line="236"/>
      </w:pPr>
      <w:r>
        <w:rPr>
          <w:rFonts w:ascii="Consolas" w:cs="Consolas" w:eastAsia="Consolas" w:hAnsi="Consolas"/>
          <w:color w:val="1A1A1A"/>
          <w:sz w:val="16"/>
          <w:szCs w:val="16"/>
        </w:rPr>
        <w:t xml:space="preserve"># selecionado alimenta a classificacao + feedback que voce ja tem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Para o seu PIBIC. Onde encaixar no orquestrador: quando a entrada oficial única passa LIMPA nas malhas (sem erro de memória), dispare o laço de mutação para tentar revelar um bug de memória escondido (a classe invisível ao juiz binário). É barato — conjunto limitado de mutantes, ASan rápido na frente e Valgrind só para quem passou. Complexidade global: BAIXA-MÉDIA, sem instrumentação (nível A). O maior trabalho é o parser de formato + o catálogo de operadores.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1.6. Mecanismo de decisão em três casos (o que reportar conforme o resultado)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Fechando: o mesmo laço de mutação serve aos três desfechos, mudando só o critério de “manter”.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50"/>
        <w:gridCol w:w="351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</w:t>
            </w:r>
          </w:p>
        </w:tc>
        <w:tc>
          <w:tcPr>
            <w:tcW w:type="dxa" w:w="335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decidir (mecanismo)</w:t>
            </w:r>
          </w:p>
        </w:tc>
        <w:tc>
          <w:tcPr>
            <w:tcW w:type="dxa" w:w="351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reportar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HÁ erro de memória</w:t>
            </w:r>
          </w:p>
        </w:tc>
        <w:tc>
          <w:tcPr>
            <w:tcW w:type="dxa" w:w="335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Mutação para crashar: rodar os mutantes até o sanitizer (ASan/Valgrind) disparar. O crash é o oráculo — NÃO precisa da referência.</w:t>
            </w:r>
          </w:p>
        </w:tc>
        <w:tc>
          <w:tcPr>
            <w:tcW w:type="dxa" w:w="351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Diagnóstico de memória de ALTA confiança (a ferramenta confirma). Sua rota atual.</w:t>
            </w:r>
          </w:p>
        </w:tc>
      </w:tr>
      <w:tr>
        <w:tc>
          <w:tcPr>
            <w:tcW w:type="dxa" w:w="25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HÁ erro, mas as ferramentas não pegaram</w:t>
            </w:r>
          </w:p>
        </w:tc>
        <w:tc>
          <w:tcPr>
            <w:tcW w:type="dxa" w:w="335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Mutação com código de referência (differential): rodar os mutantes no código do aluno e na referência do CodeBench, e comparar as saídas.</w:t>
            </w:r>
          </w:p>
        </w:tc>
        <w:tc>
          <w:tcPr>
            <w:tcW w:type="dxa" w:w="351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"Não há erro de memória; a saída diverge do esperado — provável erro de lógica não originado de memória." Detecção determinística; localização é 2º nível (menor confiança).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Está tudo correto</w:t>
            </w:r>
          </w:p>
        </w:tc>
        <w:tc>
          <w:tcPr>
            <w:tcW w:type="dxa" w:w="335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Nenhum crash em nenhum mutante E a saída bate com a referência em todos.</w:t>
            </w:r>
          </w:p>
        </w:tc>
        <w:tc>
          <w:tcPr>
            <w:tcW w:type="dxa" w:w="351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Maior confiança de que a submissão está correta — inclusive sem leak/UB latente que a entrada oficial única não exercitou.</w:t>
            </w:r>
          </w:p>
        </w:tc>
      </w:tr>
    </w:tbl>
    <w:p>
      <w:pPr>
        <w:pBdr>
          <w:top w:val="single" w:color="DDDDDD" w:sz="4" w:space="6"/>
          <w:bottom w:val="single" w:color="DDDDDD" w:sz="4" w:space="6"/>
          <w:left w:val="single" w:color="C0392B" w:sz="18" w:space="10"/>
          <w:right w:val="single" w:color="DDDDDD" w:sz="4" w:space="6"/>
        </w:pBdr>
        <w:shd w:fill="FDECE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Atenção. O caso do meio é honesto sobre o limite: você DETECTA o erro de lógica (a saída diverge), mas não o LOCALIZA com garantia. Marque esse feedback como de segundo nível/menor confiança, para não misturá-lo com o diagnóstico determinístico de memória.</w:t>
      </w:r>
    </w:p>
    <w:p>
      <w:pPr>
        <w:pStyle w:val="Heading1"/>
        <w:pageBreakBefore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2. Rubricas específicas para avaliar o feedback (por questão e/ou por classe de erro)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A ideia é avaliar a qualidade do feedback com uma rubrica </w:t>
      </w:r>
      <w:r>
        <w:rPr>
          <w:rFonts w:ascii="Calibri" w:cs="Calibri" w:eastAsia="Calibri" w:hAnsi="Calibri"/>
          <w:b/>
          <w:bCs/>
        </w:rPr>
        <w:t xml:space="preserve">específica</w:t>
      </w:r>
      <w:r>
        <w:rPr>
          <w:rFonts w:ascii="Calibri" w:cs="Calibri" w:eastAsia="Calibri" w:hAnsi="Calibri"/>
        </w:rPr>
        <w:t xml:space="preserve"> — por questão e/ou por classe de erro (CWE) — em vez de uma rubrica genérica. Isso é vantajoso porque, para cada questão, você tem </w:t>
      </w:r>
      <w:r>
        <w:rPr>
          <w:rFonts w:ascii="Calibri" w:cs="Calibri" w:eastAsia="Calibri" w:hAnsi="Calibri"/>
          <w:b/>
          <w:bCs/>
        </w:rPr>
        <w:t xml:space="preserve">30+ submissões = 30+ feedbacks</w:t>
      </w:r>
      <w:r>
        <w:rPr>
          <w:rFonts w:ascii="Calibri" w:cs="Calibri" w:eastAsia="Calibri" w:hAnsi="Calibri"/>
        </w:rPr>
        <w:t xml:space="preserve"> para avaliar: a questão vira a unidade experimental natural.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2.1. Como o “Rubric Is All You Need” inspira — reaproveitar o método, não as dimensões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O “Rubric Is All You Need” (Pathak et al., ICER 2025) </w:t>
      </w:r>
      <w:r>
        <w:rPr>
          <w:rFonts w:ascii="Calibri" w:cs="Calibri" w:eastAsia="Calibri" w:hAnsi="Calibri"/>
          <w:b/>
          <w:bCs/>
        </w:rPr>
        <w:t xml:space="preserve">dá nota ao código do aluno</w:t>
      </w:r>
      <w:r>
        <w:rPr>
          <w:rFonts w:ascii="Calibri" w:cs="Calibri" w:eastAsia="Calibri" w:hAnsi="Calibri"/>
        </w:rPr>
        <w:t xml:space="preserve"> conforme a conformidade com uma rubrica específica da questão (QS), usando ferramenta determinística para sintaxe + LLM para lógica. Ele </w:t>
      </w:r>
      <w:r>
        <w:rPr>
          <w:rFonts w:ascii="Calibri" w:cs="Calibri" w:eastAsia="Calibri" w:hAnsi="Calibri"/>
          <w:b/>
          <w:bCs/>
        </w:rPr>
        <w:t xml:space="preserve">não avalia feedback</w:t>
      </w:r>
      <w:r>
        <w:rPr>
          <w:rFonts w:ascii="Calibri" w:cs="Calibri" w:eastAsia="Calibri" w:hAnsi="Calibri"/>
        </w:rPr>
        <w:t xml:space="preserve"> — mas o método é reaproveitável: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Rubrica específica (QS) supera a genérica (QA)</w:t>
      </w:r>
      <w:r>
        <w:rPr>
          <w:rFonts w:ascii="Calibri" w:cs="Calibri" w:eastAsia="Calibri" w:hAnsi="Calibri"/>
        </w:rPr>
        <w:t xml:space="preserve"> — a sua rubrica de feedback deve ser específica por questão e/ou por CWE.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Avaliação ponto a ponto (PRE)</w:t>
      </w:r>
      <w:r>
        <w:rPr>
          <w:rFonts w:ascii="Calibri" w:cs="Calibri" w:eastAsia="Calibri" w:hAnsi="Calibri"/>
        </w:rPr>
        <w:t xml:space="preserve"> — avaliar cada critério separadamente dá resultado granular.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Ensemble por votação (EME)</w:t>
      </w:r>
      <w:r>
        <w:rPr>
          <w:rFonts w:ascii="Calibri" w:cs="Calibri" w:eastAsia="Calibri" w:hAnsi="Calibri"/>
        </w:rPr>
        <w:t xml:space="preserve"> — agregar julgamentos aumenta a confiabilidade (o seu self-consistency).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Híbrido determinístico + LLM</w:t>
      </w:r>
      <w:r>
        <w:rPr>
          <w:rFonts w:ascii="Calibri" w:cs="Calibri" w:eastAsia="Calibri" w:hAnsi="Calibri"/>
        </w:rPr>
        <w:t xml:space="preserve"> — itens checáveis por código (“citou linha real?”, “vazou código?”) você faz deterministicamente; só o subjetivo vai ao juiz-LLM.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Métricas de validação:</w:t>
      </w:r>
      <w:r>
        <w:rPr>
          <w:rFonts w:ascii="Calibri" w:cs="Calibri" w:eastAsia="Calibri" w:hAnsi="Calibri"/>
        </w:rPr>
        <w:t xml:space="preserve"> Spearman e Cohen’s Kappa (concordância com o especialista) e a métrica </w:t>
      </w:r>
      <w:r>
        <w:rPr>
          <w:rFonts w:ascii="Calibri" w:cs="Calibri" w:eastAsia="Calibri" w:hAnsi="Calibri"/>
          <w:b/>
          <w:bCs/>
        </w:rPr>
        <w:t xml:space="preserve">Leniency</w:t>
      </w:r>
      <w:r>
        <w:rPr>
          <w:rFonts w:ascii="Calibri" w:cs="Calibri" w:eastAsia="Calibri" w:hAnsi="Calibri"/>
        </w:rPr>
        <w:t xml:space="preserve"> (se o juiz é sistematicamente mais duro/leniente que o humano).</w:t>
      </w:r>
    </w:p>
    <w:p>
      <w:pPr>
        <w:pBdr>
          <w:top w:val="single" w:color="DDDDDD" w:sz="4" w:space="6"/>
          <w:bottom w:val="single" w:color="DDDDDD" w:sz="4" w:space="6"/>
          <w:left w:val="single" w:color="C0392B" w:sz="18" w:space="10"/>
          <w:right w:val="single" w:color="DDDDDD" w:sz="4" w:space="6"/>
        </w:pBdr>
        <w:shd w:fill="FDECE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Atenção. O que NÃO transfere são as DIMENSÕES: as deles medem conformidade do código com os requisitos do problema; as suas medem qualidade do FEEDBACK. As dimensões de feedback vêm dos artigos abaixo.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2.2. Outras rubricas de avaliação de feedback (domínio de programação)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Rubricas próximas ao seu domínio, com características, domínio, resultados e o que incorporar:</w:t>
      </w:r>
    </w:p>
    <w:p>
      <w:pPr>
        <w:pBdr>
          <w:top w:val="single" w:color="DDDDDD" w:sz="4" w:space="6"/>
          <w:bottom w:val="single" w:color="DDDDDD" w:sz="4" w:space="6"/>
          <w:left w:val="single" w:color="2E74B5" w:sz="18" w:space="10"/>
          <w:right w:val="single" w:color="DDDDDD" w:sz="4" w:space="6"/>
        </w:pBdr>
        <w:shd w:fill="EEF3F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Literatura. </w:t>
      </w:r>
      <w:r>
        <w:rPr>
          <w:rFonts w:ascii="Calibri" w:cs="Calibri" w:eastAsia="Calibri" w:hAnsi="Calibri"/>
          <w:b/>
          <w:bCs/>
        </w:rPr>
        <w:t xml:space="preserve">Hellas et al. (ICER 2023) — 7 critérios binários.</w:t>
      </w:r>
      <w:r>
        <w:rPr>
          <w:rFonts w:ascii="Calibri" w:cs="Calibri" w:eastAsia="Calibri" w:hAnsi="Calibri"/>
        </w:rPr>
        <w:t xml:space="preserve"> Domínio: CS1 introdutório em Dart (com dois LLMs, inglês/finlandês, 150 pedidos de ajuda). Critérios: identifica ≥1 problema real, identifica todos, aponta problema inexistente (falso positivo), conteúdo supérfluo, inclui código, inclui solução-modelo, inclui testes. Resultados: acha ≥1 em 90%, todos em 57%, falso positivo em 40%, vazou solução em 65%. Incorporar: os itens de identificação, falso positivo e vazamento.</w:t>
      </w:r>
    </w:p>
    <w:p>
      <w:pPr>
        <w:pBdr>
          <w:top w:val="single" w:color="DDDDDD" w:sz="4" w:space="6"/>
          <w:bottom w:val="single" w:color="DDDDDD" w:sz="4" w:space="6"/>
          <w:left w:val="single" w:color="2E74B5" w:sz="18" w:space="10"/>
          <w:right w:val="single" w:color="DDDDDD" w:sz="4" w:space="6"/>
        </w:pBdr>
        <w:shd w:fill="EEF3F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Literatura. </w:t>
      </w:r>
      <w:r>
        <w:rPr>
          <w:rFonts w:ascii="Calibri" w:cs="Calibri" w:eastAsia="Calibri" w:hAnsi="Calibri"/>
          <w:b/>
          <w:bCs/>
        </w:rPr>
        <w:t xml:space="preserve">Rubrica de 8 critérios binários (ancorada em Koutcheme et al. e Hellas et al.).</w:t>
      </w:r>
      <w:r>
        <w:rPr>
          <w:rFonts w:ascii="Calibri" w:cs="Calibri" w:eastAsia="Calibri" w:hAnsi="Calibri"/>
        </w:rPr>
        <w:t xml:space="preserve"> Domínio: avaliação de feedback de programação gerado por LLMs, inclusive modelos abertos/pequenos — QUASE o seu setup (ver “Narrowing the Gap”, arXiv 2507.05305, e “Evaluating Llama 3.2 3B’s Feedback for Programming”, arXiv 2504.01054). Critérios: Correctness (tecnicamente correto), Completeness (contém o essencial para entender o erro), Clarity (claro/enxuto), Novice-Appropriate (acessível a iniciante, sem jargão), No-Solution (não entrega a solução em código ou prosa), No-Overhelp (não superconduz, deixa espaço para o aluno pensar), Socratic (inclui ao menos uma pergunta/afirmação que guia). Incorporar: é a rubrica MAIS próxima do seu objetivo socrático — praticamente adotável como base.</w:t>
      </w:r>
    </w:p>
    <w:p>
      <w:pPr>
        <w:pBdr>
          <w:top w:val="single" w:color="DDDDDD" w:sz="4" w:space="6"/>
          <w:bottom w:val="single" w:color="DDDDDD" w:sz="4" w:space="6"/>
          <w:left w:val="single" w:color="2E74B5" w:sz="18" w:space="10"/>
          <w:right w:val="single" w:color="DDDDDD" w:sz="4" w:space="6"/>
        </w:pBdr>
        <w:shd w:fill="EEF3F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Literatura. </w:t>
      </w:r>
      <w:r>
        <w:rPr>
          <w:rFonts w:ascii="Calibri" w:cs="Calibri" w:eastAsia="Calibri" w:hAnsi="Calibri"/>
          <w:b/>
          <w:bCs/>
        </w:rPr>
        <w:t xml:space="preserve">Koutcheme et al. (2024).</w:t>
      </w:r>
      <w:r>
        <w:rPr>
          <w:rFonts w:ascii="Calibri" w:cs="Calibri" w:eastAsia="Calibri" w:hAnsi="Calibri"/>
        </w:rPr>
        <w:t xml:space="preserve"> Domínio: modelos open-source gerando feedback de programação, avaliados com GPT-4-as-judge. Dimensões de qualidade da correção: completeness, perceptivity, selectivity. Incorporar: o paradigma LLM-as-judge validado + essas 3 dimensões de qualidade.</w:t>
      </w:r>
    </w:p>
    <w:p>
      <w:pPr>
        <w:pBdr>
          <w:top w:val="single" w:color="DDDDDD" w:sz="4" w:space="6"/>
          <w:bottom w:val="single" w:color="DDDDDD" w:sz="4" w:space="6"/>
          <w:left w:val="single" w:color="2E74B5" w:sz="18" w:space="10"/>
          <w:right w:val="single" w:color="DDDDDD" w:sz="4" w:space="6"/>
        </w:pBdr>
        <w:shd w:fill="EEF3F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Literatura. </w:t>
      </w:r>
      <w:r>
        <w:rPr>
          <w:rFonts w:ascii="Calibri" w:cs="Calibri" w:eastAsia="Calibri" w:hAnsi="Calibri"/>
          <w:b/>
          <w:bCs/>
        </w:rPr>
        <w:t xml:space="preserve">FeedEval — 5 dimensões pedagógicas</w:t>
      </w:r>
      <w:r>
        <w:rPr>
          <w:rFonts w:ascii="Calibri" w:cs="Calibri" w:eastAsia="Calibri" w:hAnsi="Calibri"/>
        </w:rPr>
        <w:t xml:space="preserve"> (orientação não-reveladora, acurácia factual, precisão diagnóstica, scaffolding acionável, tom encorajador). Domínio: feedback de REDAÇÃO (não programação) — por isso é uma inspiração conceitual, não uma rubrica pronta para o seu caso. Incorporar: o eixo “orientação não-reveladora” casa com o seu anti-vazamento.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2.3. Rubrica sugerida para o seu feedback (síntese)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Uma rubrica mista, específica por CWE, marcando o que é determinístico (checável por código) e o que vai ao juiz-LLM/especialista: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Dimensão</w:t>
            </w:r>
          </w:p>
        </w:tc>
        <w:tc>
          <w:tcPr>
            <w:tcW w:type="dxa" w:w="420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verifica</w:t>
            </w:r>
          </w:p>
        </w:tc>
        <w:tc>
          <w:tcPr>
            <w:tcW w:type="dxa" w:w="216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Como medir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Correção diagnóstica</w:t>
            </w:r>
          </w:p>
        </w:tc>
        <w:tc>
          <w:tcPr>
            <w:tcW w:type="dxa" w:w="42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Descreve o erro real (tipo/linha corretos)</w:t>
            </w:r>
          </w:p>
        </w:tc>
        <w:tc>
          <w:tcPr>
            <w:tcW w:type="dxa" w:w="21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Determinístico (contra gabarito da Fase 1)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Fidelidade ao log</w:t>
            </w:r>
          </w:p>
        </w:tc>
        <w:tc>
          <w:tcPr>
            <w:tcW w:type="dxa" w:w="42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cita evidência ausente no relatório</w:t>
            </w:r>
          </w:p>
        </w:tc>
        <w:tc>
          <w:tcPr>
            <w:tcW w:type="dxa" w:w="216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Determinístico (evidencia_log no log)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Não-vazamento (No-Solution)</w:t>
            </w:r>
          </w:p>
        </w:tc>
        <w:tc>
          <w:tcPr>
            <w:tcW w:type="dxa" w:w="42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entrega o conserto em código nem em prosa</w:t>
            </w:r>
          </w:p>
        </w:tc>
        <w:tc>
          <w:tcPr>
            <w:tcW w:type="dxa" w:w="21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Parte determinístico (bloco de código), parte juiz-LLM (paráfrase)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Socrático / No-Overhelp</w:t>
            </w:r>
          </w:p>
        </w:tc>
        <w:tc>
          <w:tcPr>
            <w:tcW w:type="dxa" w:w="42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Guia sem superconduzir; termina com pergunta</w:t>
            </w:r>
          </w:p>
        </w:tc>
        <w:tc>
          <w:tcPr>
            <w:tcW w:type="dxa" w:w="216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Determinístico (tem pergunta?) + juiz-LLM (grau)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Clareza / adequação ao iniciante</w:t>
            </w:r>
          </w:p>
        </w:tc>
        <w:tc>
          <w:tcPr>
            <w:tcW w:type="dxa" w:w="42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Linguagem simples, sem jargão cru</w:t>
            </w:r>
          </w:p>
        </w:tc>
        <w:tc>
          <w:tcPr>
            <w:tcW w:type="dxa" w:w="21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Juiz-LLM + especialista</w:t>
            </w:r>
          </w:p>
        </w:tc>
      </w:tr>
      <w:tr>
        <w:tc>
          <w:tcPr>
            <w:tcW w:type="dxa" w:w="30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Conecta causa↔sintoma</w:t>
            </w:r>
          </w:p>
        </w:tc>
        <w:tc>
          <w:tcPr>
            <w:tcW w:type="dxa" w:w="42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Liga a linha da causa à do sintoma</w:t>
            </w:r>
          </w:p>
        </w:tc>
        <w:tc>
          <w:tcPr>
            <w:tcW w:type="dxa" w:w="216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Juiz-LLM/especialista, por CWE</w:t>
            </w:r>
          </w:p>
        </w:tc>
      </w:tr>
    </w:tbl>
    <w:p>
      <w:pPr>
        <w:pStyle w:val="Heading1"/>
        <w:pageBreakBefore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3. Âmbito de avaliação pedagógica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3.1. Dimensões pedagógicas que a literatura avalia no feedback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Além das dimensões da rubrica (Seção 2), a literatura pedagógica enfatiza: adequação ao </w:t>
      </w:r>
      <w:r>
        <w:rPr>
          <w:rFonts w:ascii="Calibri" w:cs="Calibri" w:eastAsia="Calibri" w:hAnsi="Calibri"/>
          <w:b/>
          <w:bCs/>
        </w:rPr>
        <w:t xml:space="preserve">nível</w:t>
      </w:r>
      <w:r>
        <w:rPr>
          <w:rFonts w:ascii="Calibri" w:cs="Calibri" w:eastAsia="Calibri" w:hAnsi="Calibri"/>
        </w:rPr>
        <w:t xml:space="preserve"> do aluno, </w:t>
      </w:r>
      <w:r>
        <w:rPr>
          <w:rFonts w:ascii="Calibri" w:cs="Calibri" w:eastAsia="Calibri" w:hAnsi="Calibri"/>
          <w:b/>
          <w:bCs/>
        </w:rPr>
        <w:t xml:space="preserve">carga cognitiva</w:t>
      </w:r>
      <w:r>
        <w:rPr>
          <w:rFonts w:ascii="Calibri" w:cs="Calibri" w:eastAsia="Calibri" w:hAnsi="Calibri"/>
        </w:rPr>
        <w:t xml:space="preserve"> e o caráter </w:t>
      </w:r>
      <w:r>
        <w:rPr>
          <w:rFonts w:ascii="Calibri" w:cs="Calibri" w:eastAsia="Calibri" w:hAnsi="Calibri"/>
          <w:b/>
          <w:bCs/>
        </w:rPr>
        <w:t xml:space="preserve">formativo</w:t>
      </w:r>
      <w:r>
        <w:rPr>
          <w:rFonts w:ascii="Calibri" w:cs="Calibri" w:eastAsia="Calibri" w:hAnsi="Calibri"/>
        </w:rPr>
        <w:t xml:space="preserve"> (guiar, não entregar). O achado recorrente é que o feedback é mais valioso quando aborda a </w:t>
      </w:r>
      <w:r>
        <w:rPr>
          <w:rFonts w:ascii="Calibri" w:cs="Calibri" w:eastAsia="Calibri" w:hAnsi="Calibri"/>
          <w:b/>
          <w:bCs/>
        </w:rPr>
        <w:t xml:space="preserve">causa</w:t>
      </w:r>
      <w:r>
        <w:rPr>
          <w:rFonts w:ascii="Calibri" w:cs="Calibri" w:eastAsia="Calibri" w:hAnsi="Calibri"/>
        </w:rPr>
        <w:t xml:space="preserve">, não só o sintoma (surveys de tipos de feedback, ACM TOCE 2025), o que valida a sua anotação causa+sintoma.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3.2. Como mensurar o impacto do feedback nos alunos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Experimento controle × experimental</w:t>
      </w:r>
      <w:r>
        <w:rPr>
          <w:rFonts w:ascii="Calibri" w:cs="Calibri" w:eastAsia="Calibri" w:hAnsi="Calibri"/>
        </w:rPr>
        <w:t xml:space="preserve"> (Marwan et al., ICER 2020, mostrou que feedback adaptativo melhora engajamento e intenção de persistir): um grupo recebe o seu feedback, outro o veredito binário do CodeBench, resolvendo os mesmos exercícios.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Medidas objetivas (o CodeBench registra):</w:t>
      </w:r>
      <w:r>
        <w:rPr>
          <w:rFonts w:ascii="Calibri" w:cs="Calibri" w:eastAsia="Calibri" w:hAnsi="Calibri"/>
        </w:rPr>
        <w:t xml:space="preserve"> número de tentativas até acertar, tempo até a correção, taxa de desistência/persistência, e qualidade do código final (ex.: leaks residuais que só o seu pipeline vê).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Alinhamento edição↔feedback (automático e original):</w:t>
      </w:r>
      <w:r>
        <w:rPr>
          <w:rFonts w:ascii="Calibri" w:cs="Calibri" w:eastAsia="Calibri" w:hAnsi="Calibri"/>
        </w:rPr>
        <w:t xml:space="preserve"> comparar a submissão com a re-submissão — a alteração do aluno tocou a linha/região que o feedback apontou, e o erro descrito desapareceu?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Questionários de percepção:</w:t>
      </w:r>
      <w:r>
        <w:rPr>
          <w:rFonts w:ascii="Calibri" w:cs="Calibri" w:eastAsia="Calibri" w:hAnsi="Calibri"/>
        </w:rPr>
        <w:t xml:space="preserve"> utilidade (Likert + System Usability Scale, SUS) e </w:t>
      </w:r>
      <w:r>
        <w:rPr>
          <w:rFonts w:ascii="Calibri" w:cs="Calibri" w:eastAsia="Calibri" w:hAnsi="Calibri"/>
          <w:b/>
          <w:bCs/>
        </w:rPr>
        <w:t xml:space="preserve">carga cognitiva</w:t>
      </w:r>
      <w:r>
        <w:rPr>
          <w:rFonts w:ascii="Calibri" w:cs="Calibri" w:eastAsia="Calibri" w:hAnsi="Calibri"/>
        </w:rPr>
        <w:t xml:space="preserve"> — escala de Paas (1 item) como padrão, ou NASA-TLX (6 dimensões) se quiser decompor a fonte da carga (fundamentação: Teoria da Carga Cognitiva, Sweller).</w:t>
      </w:r>
    </w:p>
    <w:p>
      <w:pPr>
        <w:pBdr>
          <w:top w:val="single" w:color="DDDDDD" w:sz="4" w:space="6"/>
          <w:bottom w:val="single" w:color="DDDDDD" w:sz="4" w:space="6"/>
          <w:left w:val="single" w:color="C0392B" w:sz="18" w:space="10"/>
          <w:right w:val="single" w:color="DDDDDD" w:sz="4" w:space="6"/>
        </w:pBdr>
        <w:shd w:fill="FDECE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Atenção. Um estudo com alunos reais exige coorte, semestre e aprovação ética — pode não caber no PIBIC de 12 meses. Alternativas: um piloto de uma turma (declarado preliminar) ou alunos simulados por LLM (como o SP-TeachLLM faz na avaliação) para um estudo proxy antes do humano.</w:t>
      </w:r>
    </w:p>
    <w:p>
      <w:pPr>
        <w:pStyle w:val="Heading1"/>
        <w:pageBreakBefore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4. Dissecação — “Juízes Online são suficientes ou precisamos de um VAR?”</w:t>
      </w:r>
    </w:p>
    <w:p>
      <w:pPr>
        <w:spacing w:after="126" w:line="272"/>
        <w:jc w:val="both"/>
      </w:pPr>
      <w:r>
        <w:rPr>
          <w:rFonts w:ascii="Calibri" w:cs="Calibri" w:eastAsia="Calibri" w:hAnsi="Calibri"/>
          <w:b/>
          <w:bCs/>
        </w:rPr>
        <w:t xml:space="preserve">O que trata (Barbosa, Costa &amp; Brito, EduComp 2023 — SBC, UFAL).</w:t>
      </w:r>
      <w:r>
        <w:rPr>
          <w:rFonts w:ascii="Calibri" w:cs="Calibri" w:eastAsia="Calibri" w:hAnsi="Calibri"/>
        </w:rPr>
        <w:t xml:space="preserve"> É um artigo brasileiro que pergunta, por analogia com o árbitro de vídeo do futebol: o juiz online é suficiente para avaliar programação, ou é preciso um “VAR” (mecanismo auxiliar que enxerga o que o juiz não vê)? O CodeBench é citado nominalmente entre os juízes online.</w:t>
      </w:r>
    </w:p>
    <w:p>
      <w:pPr>
        <w:spacing w:after="126" w:line="272"/>
        <w:jc w:val="both"/>
      </w:pPr>
      <w:r>
        <w:rPr>
          <w:rFonts w:ascii="Calibri" w:cs="Calibri" w:eastAsia="Calibri" w:hAnsi="Calibri"/>
          <w:b/>
          <w:bCs/>
        </w:rPr>
        <w:t xml:space="preserve">Como avaliou.</w:t>
      </w:r>
      <w:r>
        <w:rPr>
          <w:rFonts w:ascii="Calibri" w:cs="Calibri" w:eastAsia="Calibri" w:hAnsi="Calibri"/>
        </w:rPr>
        <w:t xml:space="preserve"> Um </w:t>
      </w:r>
      <w:r>
        <w:rPr>
          <w:rFonts w:ascii="Calibri" w:cs="Calibri" w:eastAsia="Calibri" w:hAnsi="Calibri"/>
          <w:b/>
          <w:bCs/>
        </w:rPr>
        <w:t xml:space="preserve">levantamento (survey)</w:t>
      </w:r>
      <w:r>
        <w:rPr>
          <w:rFonts w:ascii="Calibri" w:cs="Calibri" w:eastAsia="Calibri" w:hAnsi="Calibri"/>
        </w:rPr>
        <w:t xml:space="preserve"> com </w:t>
      </w:r>
      <w:r>
        <w:rPr>
          <w:rFonts w:ascii="Calibri" w:cs="Calibri" w:eastAsia="Calibri" w:hAnsi="Calibri"/>
          <w:b/>
          <w:bCs/>
        </w:rPr>
        <w:t xml:space="preserve">37 respondentes — 15 professores e 22 monitores</w:t>
      </w:r>
      <w:r>
        <w:rPr>
          <w:rFonts w:ascii="Calibri" w:cs="Calibri" w:eastAsia="Calibri" w:hAnsi="Calibri"/>
        </w:rPr>
        <w:t xml:space="preserve"> — de várias instituições brasileiras (IFAL, IFSE, UFAL, UFPB, USP, UFMG, FATEC/AL), com dois questionários (professor/monitor), termo de consentimento e anonimização. Perguntaram quais ações e critérios cada avaliador usa, categorizando os problemas em três classes (básicos, decisão, repetição).</w:t>
      </w:r>
    </w:p>
    <w:p>
      <w:pPr>
        <w:spacing w:after="126" w:line="272"/>
        <w:jc w:val="both"/>
      </w:pPr>
      <w:r>
        <w:rPr>
          <w:rFonts w:ascii="Calibri" w:cs="Calibri" w:eastAsia="Calibri" w:hAnsi="Calibri"/>
          <w:b/>
          <w:bCs/>
        </w:rPr>
        <w:t xml:space="preserve">Achados.</w:t>
      </w:r>
      <w:r>
        <w:rPr>
          <w:rFonts w:ascii="Calibri" w:cs="Calibri" w:eastAsia="Calibri" w:hAnsi="Calibri"/>
        </w:rPr>
        <w:t xml:space="preserve"> O juiz online é </w:t>
      </w:r>
      <w:r>
        <w:rPr>
          <w:rFonts w:ascii="Calibri" w:cs="Calibri" w:eastAsia="Calibri" w:hAnsi="Calibri"/>
          <w:b/>
          <w:bCs/>
        </w:rPr>
        <w:t xml:space="preserve">extremamente útil, mas insuficiente</w:t>
      </w:r>
      <w:r>
        <w:rPr>
          <w:rFonts w:ascii="Calibri" w:cs="Calibri" w:eastAsia="Calibri" w:hAnsi="Calibri"/>
        </w:rPr>
        <w:t xml:space="preserve">: ele só captura corretude funcional (e parte da sintática), enquanto professores e monitores avaliam </w:t>
      </w:r>
      <w:r>
        <w:rPr>
          <w:rFonts w:ascii="Calibri" w:cs="Calibri" w:eastAsia="Calibri" w:hAnsi="Calibri"/>
          <w:b/>
          <w:bCs/>
        </w:rPr>
        <w:t xml:space="preserve">muito mais</w:t>
      </w:r>
      <w:r>
        <w:rPr>
          <w:rFonts w:ascii="Calibri" w:cs="Calibri" w:eastAsia="Calibri" w:hAnsi="Calibri"/>
        </w:rPr>
        <w:t xml:space="preserve"> — uso correto de estruturas e operadores, indentação, nomes de variáveis, tamanho do algoritmo e — o mais relevante para você — </w:t>
      </w:r>
      <w:r>
        <w:rPr>
          <w:rFonts w:ascii="Calibri" w:cs="Calibri" w:eastAsia="Calibri" w:hAnsi="Calibri"/>
          <w:b/>
          <w:bCs/>
        </w:rPr>
        <w:t xml:space="preserve">eficiência de uso de memória e processamento</w:t>
      </w:r>
      <w:r>
        <w:rPr>
          <w:rFonts w:ascii="Calibri" w:cs="Calibri" w:eastAsia="Calibri" w:hAnsi="Calibri"/>
        </w:rPr>
        <w:t xml:space="preserve"> (um professor cita explicitamente que observa memória, embora não penalize). Ou seja: critérios de qualidade que o veredito binário deixa passar.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Para o seu PIBIC. Este é o seu artigo de MOTIVAÇÃO empírica local, e o melhor que você tem para abrir o paper: um survey peer-reviewed, brasileiro, com o CodeBench citado, mostrando que professores querem avaliar o que o juiz não avalia — inclusive memória. O seu pipeline É, literalmente, um “VAR”: o mecanismo auxiliar que enxerga a classe de erro (memória) invisível ao juiz binário. Cite Barbosa et al. (2023) para fundamentar a lacuna e o valor do seu componente dentro do guarda-chuva.</w:t>
      </w:r>
    </w:p>
    <w:p>
      <w:pPr>
        <w:pStyle w:val="Heading1"/>
        <w:pageBreakBefore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5. Rascunho de arquiteturas para produção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Requisitos inegociáveis e decisões de desenho para você começar a fechar a arquitetura e implementar.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5.1. Requisito de segurança: sandbox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Rodar código de aluno não confiável </w:t>
      </w:r>
      <w:r>
        <w:rPr>
          <w:rFonts w:ascii="Calibri" w:cs="Calibri" w:eastAsia="Calibri" w:hAnsi="Calibri"/>
          <w:b/>
          <w:bCs/>
        </w:rPr>
        <w:t xml:space="preserve">exige isolamento</w:t>
      </w:r>
      <w:r>
        <w:rPr>
          <w:rFonts w:ascii="Calibri" w:cs="Calibri" w:eastAsia="Calibri" w:hAnsi="Calibri"/>
        </w:rPr>
        <w:t xml:space="preserve"> (contêiner/sandbox) — inegociável. É o mesmo princípio que juízes online e sanitizers assumem (Song et al., IEEE S&amp;P 2019). Nada de executar ASan/Valgrind sobre código de terceiro fora de um ambiente isolado.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5.2. Duas famílias de design para conectar CodeBench ↔ pipeline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Orquestrador global (n8n ou similar).</w:t>
      </w:r>
      <w:r>
        <w:rPr>
          <w:rFonts w:ascii="Calibri" w:cs="Calibri" w:eastAsia="Calibri" w:hAnsi="Calibri"/>
        </w:rPr>
        <w:t xml:space="preserve"> O CodeBench dispara uma requisição (webhook); o orquestrador </w:t>
      </w:r>
      <w:r>
        <w:rPr>
          <w:rFonts w:ascii="Calibri" w:cs="Calibri" w:eastAsia="Calibri" w:hAnsi="Calibri"/>
          <w:b/>
          <w:bCs/>
        </w:rPr>
        <w:t xml:space="preserve">decide qual módulo chamar</w:t>
      </w:r>
      <w:r>
        <w:rPr>
          <w:rFonts w:ascii="Calibri" w:cs="Calibri" w:eastAsia="Calibri" w:hAnsi="Calibri"/>
        </w:rPr>
        <w:t xml:space="preserve"> (dinâmico, estático, outros do guarda-chuva) conforme o que recebeu. Prós: open-source, self-hosted, aciona por webhook/cron, visual, fácil de prototipar. Contras: não é feito para lógica pesada em tempo real; governança/auditoria limitadas.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Fila + workers em sandbox (padrão dos grandes juízes online).</w:t>
      </w:r>
      <w:r>
        <w:rPr>
          <w:rFonts w:ascii="Calibri" w:cs="Calibri" w:eastAsia="Calibri" w:hAnsi="Calibri"/>
        </w:rPr>
        <w:t xml:space="preserve"> A submissão vira um </w:t>
      </w:r>
      <w:r>
        <w:rPr>
          <w:rFonts w:ascii="Calibri" w:cs="Calibri" w:eastAsia="Calibri" w:hAnsi="Calibri"/>
          <w:b/>
          <w:bCs/>
        </w:rPr>
        <w:t xml:space="preserve">job numa fila</w:t>
      </w:r>
      <w:r>
        <w:rPr>
          <w:rFonts w:ascii="Calibri" w:cs="Calibri" w:eastAsia="Calibri" w:hAnsi="Calibri"/>
        </w:rPr>
        <w:t xml:space="preserve">; a API responde “recebido” na hora; um pool de </w:t>
      </w:r>
      <w:r>
        <w:rPr>
          <w:rFonts w:ascii="Calibri" w:cs="Calibri" w:eastAsia="Calibri" w:hAnsi="Calibri"/>
          <w:b/>
          <w:bCs/>
        </w:rPr>
        <w:t xml:space="preserve">workers isolados</w:t>
      </w:r>
      <w:r>
        <w:rPr>
          <w:rFonts w:ascii="Calibri" w:cs="Calibri" w:eastAsia="Calibri" w:hAnsi="Calibri"/>
        </w:rPr>
        <w:t xml:space="preserve"> processa de forma </w:t>
      </w:r>
      <w:r>
        <w:rPr>
          <w:rFonts w:ascii="Calibri" w:cs="Calibri" w:eastAsia="Calibri" w:hAnsi="Calibri"/>
          <w:b/>
          <w:bCs/>
        </w:rPr>
        <w:t xml:space="preserve">assíncrona</w:t>
      </w:r>
      <w:r>
        <w:rPr>
          <w:rFonts w:ascii="Calibri" w:cs="Calibri" w:eastAsia="Calibri" w:hAnsi="Calibri"/>
        </w:rPr>
        <w:t xml:space="preserve">, autoescalando. É o formato certo para trabalho pesado como ASan/Valgrind.</w:t>
      </w:r>
    </w:p>
    <w:p>
      <w:pPr>
        <w:pBdr>
          <w:top w:val="single" w:color="DDDDDD" w:sz="4" w:space="6"/>
          <w:bottom w:val="single" w:color="DDDDDD" w:sz="4" w:space="6"/>
          <w:left w:val="single" w:color="3C8C40" w:sz="18" w:space="10"/>
          <w:right w:val="single" w:color="DDDDDD" w:sz="4" w:space="6"/>
        </w:pBdr>
        <w:shd w:fill="EAF4EA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Para o seu PIBIC. Desenho sugerido (dois níveis): use o n8n (ou um webhook simples) como o ROTEADOR leve que decide qual módulo acionar; e coloque o processamento pesado (análise dinâmica + LLM) atrás de uma FILA com worker em sandbox, assíncrono. Assim o n8n orquestra e a fila aguenta a carga. Para um protótipo, webhook + um worker já basta; a fila entra com volume.</w:t>
      </w:r>
    </w:p>
    <w:p>
      <w:pPr>
        <w:pStyle w:val="Heading2"/>
        <w:spacing w:after="80" w:before="19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5.3. Questões a definir para fechar a arquitetura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Gatilho:</w:t>
      </w:r>
      <w:r>
        <w:rPr>
          <w:rFonts w:ascii="Calibri" w:cs="Calibri" w:eastAsia="Calibri" w:hAnsi="Calibri"/>
        </w:rPr>
        <w:t xml:space="preserve"> acionar o pipeline quando? (proposta: reprovado com Runtime Error → diagnóstico; aceito → auditoria de leak; pular “só-compilar”).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Contrato de dados:</w:t>
      </w:r>
      <w:r>
        <w:rPr>
          <w:rFonts w:ascii="Calibri" w:cs="Calibri" w:eastAsia="Calibri" w:hAnsi="Calibri"/>
        </w:rPr>
        <w:t xml:space="preserve"> formato exato da requisição do CodeBench (código, </w:t>
      </w:r>
      <w:r>
        <w:rPr>
          <w:rFonts w:ascii="Consolas" w:cs="Consolas" w:eastAsia="Consolas" w:hAnsi="Consolas"/>
          <w:color w:val="8A1F11"/>
          <w:sz w:val="19"/>
          <w:szCs w:val="19"/>
        </w:rPr>
        <w:t xml:space="preserve">.in</w:t>
      </w:r>
      <w:r>
        <w:rPr>
          <w:rFonts w:ascii="Calibri" w:cs="Calibri" w:eastAsia="Calibri" w:hAnsi="Calibri"/>
        </w:rPr>
        <w:t xml:space="preserve">, veredito) e da resposta (feedback, catálogo).</w:t>
      </w:r>
    </w:p>
    <w:p>
      <w:pPr>
        <w:pStyle w:val="ListParagraph"/>
        <w:numPr>
          <w:ilvl w:val="0"/>
          <w:numId w:val="2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Onde as LLMs pagas rodam:</w:t>
      </w:r>
      <w:r>
        <w:rPr>
          <w:rFonts w:ascii="Calibri" w:cs="Calibri" w:eastAsia="Calibri" w:hAnsi="Calibri"/>
        </w:rPr>
        <w:t xml:space="preserve"> API externa — e como isso interage com dados do aluno (privacidade). O modelo local é um trunfo aqui.</w:t>
      </w:r>
    </w:p>
    <w:p>
      <w:pPr>
        <w:pBdr>
          <w:top w:val="single" w:color="DDDDDD" w:sz="4" w:space="6"/>
          <w:bottom w:val="single" w:color="DDDDDD" w:sz="4" w:space="6"/>
          <w:left w:val="single" w:color="D9822B" w:sz="18" w:space="10"/>
          <w:right w:val="single" w:color="DDDDDD" w:sz="4" w:space="6"/>
        </w:pBdr>
        <w:shd w:fill="FFF5E6" w:color="auto" w:val="clear"/>
        <w:spacing w:after="134" w:before="96" w:line="268"/>
        <w:jc w:val="both"/>
      </w:pPr>
      <w:r>
        <w:rPr>
          <w:rFonts w:ascii="Calibri" w:cs="Calibri" w:eastAsia="Calibri" w:hAnsi="Calibri"/>
        </w:rPr>
        <w:t xml:space="preserve">Perguntar ao orientador. Para fechar a arquitetura, confirme com o orientador: (1) como e onde roda o CodeBench (infra, SO, se dá para instalar ASan/Valgrind no ambiente dele ou se roda separado); (2) qual o orçamento de tempo/concorrência por submissão; (3) que isolamento/sandbox a plataforma já oferece; (4) se o seu módulo deve reaproveitar a execução que o CodeBench já faz ou recompilar por conta própria; (5) as fronteiras do guarda-chuva — quem chama quem, e o formato da requisição/resposta entre os módulos (dinâmico, estático, outros).</w:t>
      </w:r>
    </w:p>
    <w:p>
      <w:pPr>
        <w:pStyle w:val="Heading1"/>
        <w:pageBreakBefore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6. Pontos de outros artigos que sustentam decisões já tomadas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Decisão sua</w:t>
            </w:r>
          </w:p>
        </w:tc>
        <w:tc>
          <w:tcPr>
            <w:tcW w:type="dxa" w:w="6760"/>
            <w:shd w:fill="1F4E79" w:color="auto" w:val="clear"/>
            <w:tcMar>
              <w:top w:type="dxa" w:w="50"/>
              <w:left w:type="dxa" w:w="78"/>
              <w:bottom w:type="dxa" w:w="50"/>
              <w:right w:type="dxa" w:w="78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Artigo que sustenta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Aproveitar o relatório do ASan + GDB batch para ligar sintoma↔causa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O ChatDBG (Levin et al., FSE 2025) DESCARTOU o relatório do ASan por ser “sintoma, não causa” e deixou a LLM navegar (não determinístico). No seu domínio (código curto de aluno) vale o oposto: você distila o log (8–25 linhas), usa GDB batch (bt full + info locals) e EXTRAI a causa (freed by / created by) — mais forte que descartar.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Anotação inline (// @@) em vez de número de linha</w:t>
            </w:r>
          </w:p>
        </w:tc>
        <w:tc>
          <w:tcPr>
            <w:tcW w:type="dxa" w:w="676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FLAME (Liu et al., 2025): pedir o número derruba a localização de 62,7% para 15,8% (top-1); anotar no código é a melhor forma.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ASan + Valgrind determinísticos como núcleo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SoK: Sanitizing for Security (Song et al., IEEE S&amp;P 2019): sanitizers disparam no ponto exato do bug e são de baixo falso positivo — ideais para um sistema formativo.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Feedback rico (log da ferramenta) &gt; veredito binário</w:t>
            </w:r>
          </w:p>
        </w:tc>
        <w:tc>
          <w:tcPr>
            <w:tcW w:type="dxa" w:w="676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Self-Debug (Chen et al., 2023): feedback simples “está errado” quase não ajuda; com execução, o ganho aparece.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CWE determinístico + anotação causa/sintoma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Lancet/FCS (Dai et al., USENIX Security 2025): taxonomia CWE e anotação por tipo (free/uso) alimentando o LLM.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Anti-vazamento, temperatura baixa, modelo LOCAL</w:t>
            </w:r>
          </w:p>
        </w:tc>
        <w:tc>
          <w:tcPr>
            <w:tcW w:type="dxa" w:w="6760"/>
            <w:shd w:fill="F4F7FB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Hellas et al. (ICER 2023): vazamento em 65% mesmo proibido; temperatura 0 para feedback; e a importância de LLMs locais/abertos (irreprodutibilidade ao depender de API de terceiros).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Arquitetura híbrida determinístico + LLM</w:t>
            </w:r>
          </w:p>
        </w:tc>
        <w:tc>
          <w:tcPr>
            <w:tcW w:type="dxa" w:w="6760"/>
            <w:shd w:fill="FFFFFF" w:color="auto" w:val="clear"/>
            <w:tcMar>
              <w:top w:type="dxa" w:w="40"/>
              <w:left w:type="dxa" w:w="78"/>
              <w:bottom w:type="dxa" w:w="40"/>
              <w:right w:type="dxa" w:w="78"/>
            </w:tcMar>
          </w:tcPr>
          <w:p>
            <w:pPr>
              <w:spacing w:line="244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Rubric Is All You Need (Pathak et al., ICER 2025): agente compilador determinístico + LLM para lógica — mesma filosofia.</w:t>
            </w:r>
          </w:p>
        </w:tc>
      </w:tr>
    </w:tbl>
    <w:p>
      <w:pPr>
        <w:pStyle w:val="Heading1"/>
        <w:pageBreakBefore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7. Lista de leitura prioritária (avaliação de qualidade e impacto do feedback)</w:t>
      </w:r>
    </w:p>
    <w:p>
      <w:pPr>
        <w:spacing w:after="126" w:line="272"/>
        <w:jc w:val="both"/>
      </w:pPr>
      <w:r>
        <w:rPr>
          <w:rFonts w:ascii="Calibri" w:cs="Calibri" w:eastAsia="Calibri" w:hAnsi="Calibri"/>
        </w:rPr>
        <w:t xml:space="preserve">Focada em fechar COMO você vai avaliar a qualidade do feedback e o impacto na aprendizagem. Do mais ao menos prioritário.</w:t>
      </w:r>
    </w:p>
    <w:p>
      <w:pPr>
        <w:pStyle w:val="Heading3"/>
        <w:spacing w:after="52" w:before="12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Prioridade alta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“Evaluating Llama 3.2 3B’s Feedback for Programming” (2025)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“Narrowing the Gap…” (2025)</w:t>
      </w:r>
      <w:r>
        <w:rPr>
          <w:rFonts w:ascii="Calibri" w:cs="Calibri" w:eastAsia="Calibri" w:hAnsi="Calibri"/>
        </w:rPr>
        <w:t xml:space="preserve"> — trazem a </w:t>
      </w:r>
      <w:r>
        <w:rPr>
          <w:rFonts w:ascii="Calibri" w:cs="Calibri" w:eastAsia="Calibri" w:hAnsi="Calibri"/>
          <w:b/>
          <w:bCs/>
        </w:rPr>
        <w:t xml:space="preserve">rubrica de 8 critérios</w:t>
      </w:r>
      <w:r>
        <w:rPr>
          <w:rFonts w:ascii="Calibri" w:cs="Calibri" w:eastAsia="Calibri" w:hAnsi="Calibri"/>
        </w:rPr>
        <w:t xml:space="preserve"> com LLM pequeno/aberto em programação: é o setup mais parecido com o seu. Cobrem: quais dimensões avaliar e como um modelo pequeno se sai.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Koutcheme et al. (2024), “Open Source LMs Can Provide Feedback… GPT-4-as-Judge”</w:t>
      </w:r>
      <w:r>
        <w:rPr>
          <w:rFonts w:ascii="Calibri" w:cs="Calibri" w:eastAsia="Calibri" w:hAnsi="Calibri"/>
        </w:rPr>
        <w:t xml:space="preserve"> e </w:t>
      </w:r>
      <w:r>
        <w:rPr>
          <w:rFonts w:ascii="Calibri" w:cs="Calibri" w:eastAsia="Calibri" w:hAnsi="Calibri"/>
          <w:b/>
          <w:bCs/>
        </w:rPr>
        <w:t xml:space="preserve">“Evaluating LMs for Generating and Judging Programming Feedback” (2024)</w:t>
      </w:r>
      <w:r>
        <w:rPr>
          <w:rFonts w:ascii="Calibri" w:cs="Calibri" w:eastAsia="Calibri" w:hAnsi="Calibri"/>
        </w:rPr>
        <w:t xml:space="preserve"> — como aplicar LLM-as-judge validado à avaliação de feedback. Cobrem: método de avaliação automática em escala.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Hellas et al. (ICER 2023)</w:t>
      </w:r>
      <w:r>
        <w:rPr>
          <w:rFonts w:ascii="Calibri" w:cs="Calibri" w:eastAsia="Calibri" w:hAnsi="Calibri"/>
        </w:rPr>
        <w:t xml:space="preserve"> — a rubrica de 7 binárias e os riscos (falso positivo, vazamento). Já lido; é a base. Cobre: dimensões e armadilhas.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Marwan et al. (ICER 2020)</w:t>
      </w:r>
      <w:r>
        <w:rPr>
          <w:rFonts w:ascii="Calibri" w:cs="Calibri" w:eastAsia="Calibri" w:hAnsi="Calibri"/>
        </w:rPr>
        <w:t xml:space="preserve"> — experimento controlado de feedback adaptativo com iniciantes. Cobre: como medir impacto na aprendizagem (engajamento, persistência).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Barbosa, Costa &amp; Brito (EduComp 2023) — o “VAR”</w:t>
      </w:r>
      <w:r>
        <w:rPr>
          <w:rFonts w:ascii="Calibri" w:cs="Calibri" w:eastAsia="Calibri" w:hAnsi="Calibri"/>
        </w:rPr>
        <w:t xml:space="preserve"> — motivação empírica local e os critérios que professores valorizam. Cobre: a lacuna que o seu sistema preenche.</w:t>
      </w:r>
    </w:p>
    <w:p>
      <w:pPr>
        <w:pStyle w:val="Heading3"/>
        <w:spacing w:after="52" w:before="12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Prioridade média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Rubric Is All You Need (Pathak et al., ICER 2025)</w:t>
      </w:r>
      <w:r>
        <w:rPr>
          <w:rFonts w:ascii="Calibri" w:cs="Calibri" w:eastAsia="Calibri" w:hAnsi="Calibri"/>
        </w:rPr>
        <w:t xml:space="preserve"> — método de avaliação por rubrica específica (QS/PRE/EME/Leniency). Cobre: a máquina de avaliação (não as dimensões).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Surveys de feedback (ACM TOCE 2025)</w:t>
      </w:r>
      <w:r>
        <w:rPr>
          <w:rFonts w:ascii="Calibri" w:cs="Calibri" w:eastAsia="Calibri" w:hAnsi="Calibri"/>
        </w:rPr>
        <w:t xml:space="preserve"> — “A Survey on Feedback Types…” e “Navigating the Landscape of Automated Feedback Generation Techniques”. Cobrem: taxonomias para posicionar o seu trabalho relacionado.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FeedEval (2026)</w:t>
      </w:r>
      <w:r>
        <w:rPr>
          <w:rFonts w:ascii="Calibri" w:cs="Calibri" w:eastAsia="Calibri" w:hAnsi="Calibri"/>
        </w:rPr>
        <w:t xml:space="preserve"> — 5 dimensões pedagógicas (domínio de redação; inspiração conceitual). Cobre: o eixo não-revelador.</w:t>
      </w:r>
    </w:p>
    <w:p>
      <w:pPr>
        <w:pStyle w:val="ListParagraph"/>
        <w:numPr>
          <w:ilvl w:val="0"/>
          <w:numId w:val="3"/>
        </w:numPr>
        <w:spacing w:after="60" w:line="266"/>
        <w:jc w:val="both"/>
      </w:pPr>
      <w:r>
        <w:rPr>
          <w:rFonts w:ascii="Calibri" w:cs="Calibri" w:eastAsia="Calibri" w:hAnsi="Calibri"/>
          <w:b/>
          <w:bCs/>
        </w:rPr>
        <w:t xml:space="preserve">TEGCER (Ahmed et al., 2020)</w:t>
      </w:r>
      <w:r>
        <w:rPr>
          <w:rFonts w:ascii="Calibri" w:cs="Calibri" w:eastAsia="Calibri" w:hAnsi="Calibri"/>
        </w:rPr>
        <w:t xml:space="preserve"> — feedback adaptado por classe de erro. Cobre: fundamento de personalizar o feedback por tipo de erro.</w:t>
      </w:r>
    </w:p>
    <w:p>
      <w:pPr>
        <w:pStyle w:val="Heading1"/>
        <w:pageBreakBefore/>
        <w:spacing w:after="130" w:before="30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Referências</w:t>
      </w:r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Barbosa, A. de A.; Costa, E. de B.; Brito, P. H.. </w:t>
      </w:r>
      <w:r>
        <w:rPr>
          <w:rFonts w:ascii="Calibri" w:cs="Calibri" w:eastAsia="Calibri" w:hAnsi="Calibri"/>
          <w:sz w:val="17"/>
          <w:szCs w:val="17"/>
        </w:rPr>
        <w:t xml:space="preserve">Juízes Online são suficientes ou precisamos de um VAR? EduComp 2023, SBC (UFAL). [arquivo na pasta] </w:t>
      </w:r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Padhye, R.; Lemieux, C.; Sen, K.. </w:t>
      </w:r>
      <w:r>
        <w:rPr>
          <w:rFonts w:ascii="Calibri" w:cs="Calibri" w:eastAsia="Calibri" w:hAnsi="Calibri"/>
          <w:sz w:val="17"/>
          <w:szCs w:val="17"/>
        </w:rPr>
        <w:t xml:space="preserve">Growing a Test Corpus with Bonsai Fuzzing. ICSE 2021. </w:t>
      </w:r>
      <w:hyperlink w:history="1" r:id="rIdspxgqusmhrwsob-hnddc7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https://rohan.padhye.org/files/bonsai-icse21.pdf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Padhye, R.; Lemieux, C.; Sen, K.; Papadakis, M.; Le Traon, Y.. </w:t>
      </w:r>
      <w:r>
        <w:rPr>
          <w:rFonts w:ascii="Calibri" w:cs="Calibri" w:eastAsia="Calibri" w:hAnsi="Calibri"/>
          <w:sz w:val="17"/>
          <w:szCs w:val="17"/>
        </w:rPr>
        <w:t xml:space="preserve">Semantic Fuzzing with Zest. ISSTA 2019. </w:t>
      </w:r>
      <w:hyperlink w:history="1" r:id="rIdg11ysuj-i_kecdw1_6c4l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https://rohan.padhye.org/files/zest-issta19.pdf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Wang, J.; Chen, B.; Wei, L.; Liu, Y.. </w:t>
      </w:r>
      <w:r>
        <w:rPr>
          <w:rFonts w:ascii="Calibri" w:cs="Calibri" w:eastAsia="Calibri" w:hAnsi="Calibri"/>
          <w:sz w:val="17"/>
          <w:szCs w:val="17"/>
        </w:rPr>
        <w:t xml:space="preserve">Superion: Grammar-Aware Greybox Fuzzing. ICSE 2019. </w:t>
      </w:r>
      <w:hyperlink w:history="1" r:id="rId9nnj-tur7z1ihb4ds2wv-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https://arxiv.org/abs/1812.01197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Srivastava, P.; Payer, M.. </w:t>
      </w:r>
      <w:r>
        <w:rPr>
          <w:rFonts w:ascii="Calibri" w:cs="Calibri" w:eastAsia="Calibri" w:hAnsi="Calibri"/>
          <w:sz w:val="17"/>
          <w:szCs w:val="17"/>
        </w:rPr>
        <w:t xml:space="preserve">Gramatron: Effective Grammar-Aware Fuzzing. ISSTA 2021. </w:t>
      </w:r>
      <w:hyperlink w:history="1" r:id="rIdejnypom8kcrgctug0zmsk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https://www.nebelwelt.net/files/21ISSTA.pdf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Automatic Grading of Programming Assignments (AUTOGRADER). </w:t>
      </w:r>
      <w:r>
        <w:rPr>
          <w:rFonts w:ascii="Calibri" w:cs="Calibri" w:eastAsia="Calibri" w:hAnsi="Calibri"/>
          <w:sz w:val="17"/>
          <w:szCs w:val="17"/>
        </w:rPr>
        <w:t xml:space="preserve">ICSE 2019. </w:t>
      </w:r>
      <w:hyperlink w:history="1" r:id="rIdxbqiry__wtdtnc2cnzc43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https://www.cs.tufts.edu/~nr/cs257/archive/autograde-icse-2019.pdf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Pathak, A. et al.. </w:t>
      </w:r>
      <w:r>
        <w:rPr>
          <w:rFonts w:ascii="Calibri" w:cs="Calibri" w:eastAsia="Calibri" w:hAnsi="Calibri"/>
          <w:sz w:val="17"/>
          <w:szCs w:val="17"/>
        </w:rPr>
        <w:t xml:space="preserve">Rubric Is All You Need: Improving LLM-based Code Evaluation With Question-Specific Rubrics. ICER 2025 (arXiv 2503.23989). [arquivo na pasta] </w:t>
      </w:r>
      <w:hyperlink w:history="1" r:id="rIdtjz6bwcuzjyxsueifyifm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https://arxiv.org/abs/2503.23989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Hellas, A.; Leinonen, J.; Sarsa, S.; Koutcheme, C.; Kujanpää, L.; Sorva, J.. </w:t>
      </w:r>
      <w:r>
        <w:rPr>
          <w:rFonts w:ascii="Calibri" w:cs="Calibri" w:eastAsia="Calibri" w:hAnsi="Calibri"/>
          <w:sz w:val="17"/>
          <w:szCs w:val="17"/>
        </w:rPr>
        <w:t xml:space="preserve">Exploring the Responses of LLMs to Beginner Programmers’ Help Requests. ICER 2023. </w:t>
      </w:r>
      <w:hyperlink w:history="1" r:id="rIdw-bhtbx9hrytwumxlgv_h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https://doi.org/10.1145/3568813.3600139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“Evaluating Llama 3.2 3B’s Feedback for Programming Exercises”. </w:t>
      </w:r>
      <w:r>
        <w:rPr>
          <w:rFonts w:ascii="Calibri" w:cs="Calibri" w:eastAsia="Calibri" w:hAnsi="Calibri"/>
          <w:sz w:val="17"/>
          <w:szCs w:val="17"/>
        </w:rPr>
        <w:t xml:space="preserve">2025 (arXiv 2504.01054). </w:t>
      </w:r>
      <w:hyperlink w:history="1" r:id="rIdcggof17zemd4mfwnuuva0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https://arxiv.org/pdf/2504.01054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“Narrowing the Gap: Supervised Fine-Tuning of Open-Source LLMs as a Viable Alternative to Proprietary Models for Pedagogical Tools”. </w:t>
      </w:r>
      <w:r>
        <w:rPr>
          <w:rFonts w:ascii="Calibri" w:cs="Calibri" w:eastAsia="Calibri" w:hAnsi="Calibri"/>
          <w:sz w:val="17"/>
          <w:szCs w:val="17"/>
        </w:rPr>
        <w:t xml:space="preserve">2025 (arXiv 2507.05305). </w:t>
      </w:r>
      <w:hyperlink w:history="1" r:id="rIdzpm8r4aqyvgw7hfonc8g5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https://arxiv.org/pdf/2507.05305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Koutcheme, C. et al.. </w:t>
      </w:r>
      <w:r>
        <w:rPr>
          <w:rFonts w:ascii="Calibri" w:cs="Calibri" w:eastAsia="Calibri" w:hAnsi="Calibri"/>
          <w:sz w:val="17"/>
          <w:szCs w:val="17"/>
        </w:rPr>
        <w:t xml:space="preserve">Open Source Language Models Can Provide Feedback: Evaluating LLMs’ Ability to Help Students Using GPT-4-As-A-Judge. 2024 (arXiv 2405.05253). </w:t>
      </w:r>
      <w:hyperlink w:history="1" r:id="rIdm0jrusd3nvgkg_jr8ionf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https://arxiv.org/pdf/2405.05253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Koutcheme, C. et al.. </w:t>
      </w:r>
      <w:r>
        <w:rPr>
          <w:rFonts w:ascii="Calibri" w:cs="Calibri" w:eastAsia="Calibri" w:hAnsi="Calibri"/>
          <w:sz w:val="17"/>
          <w:szCs w:val="17"/>
        </w:rPr>
        <w:t xml:space="preserve">Evaluating Language Models for Generating and Judging Programming Feedback. 2024 (arXiv 2407.04873). </w:t>
      </w:r>
      <w:hyperlink w:history="1" r:id="rIdwqjspjbct2aiuixgwvn4-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https://arxiv.org/abs/2407.04873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Marwan, S.; Gao, G.; Fisk, S.; Price, T. W.; Barnes, T.. </w:t>
      </w:r>
      <w:r>
        <w:rPr>
          <w:rFonts w:ascii="Calibri" w:cs="Calibri" w:eastAsia="Calibri" w:hAnsi="Calibri"/>
          <w:sz w:val="17"/>
          <w:szCs w:val="17"/>
        </w:rPr>
        <w:t xml:space="preserve">Adaptive Immediate Feedback Can Improve Novice Programming Engagement and Intention to Persist in CS. ICER 2020. </w:t>
      </w:r>
      <w:hyperlink w:history="1" r:id="rIdhwl_vy7dgpuyw9vzj39qs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https://dl.acm.org/doi/10.1145/3372782.3406264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 Survey on Feedback Types in Automated Programming Assessment Systems. </w:t>
      </w:r>
      <w:r>
        <w:rPr>
          <w:rFonts w:ascii="Calibri" w:cs="Calibri" w:eastAsia="Calibri" w:hAnsi="Calibri"/>
          <w:sz w:val="17"/>
          <w:szCs w:val="17"/>
        </w:rPr>
        <w:t xml:space="preserve">ACM TOCE 2025. </w:t>
      </w:r>
      <w:hyperlink w:history="1" r:id="rIdvsn1rvnht8l-1-3otailc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https://dl.acm.org/doi/10.1145/3773911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Navigating the Landscape of Automated Feedback Generation Techniques. </w:t>
      </w:r>
      <w:r>
        <w:rPr>
          <w:rFonts w:ascii="Calibri" w:cs="Calibri" w:eastAsia="Calibri" w:hAnsi="Calibri"/>
          <w:sz w:val="17"/>
          <w:szCs w:val="17"/>
        </w:rPr>
        <w:t xml:space="preserve">ACM TOCE 2025. </w:t>
      </w:r>
      <w:hyperlink w:history="1" r:id="rId2aubprr98osnsm5a7dqtt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https://doi.org/10.1145/3764593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FeedEval: Pedagogically Aligned Evaluation of LLM-Generated Feedback. </w:t>
      </w:r>
      <w:r>
        <w:rPr>
          <w:rFonts w:ascii="Calibri" w:cs="Calibri" w:eastAsia="Calibri" w:hAnsi="Calibri"/>
          <w:sz w:val="17"/>
          <w:szCs w:val="17"/>
        </w:rPr>
        <w:t xml:space="preserve">2026 (arXiv 2601.04574). </w:t>
      </w:r>
      <w:hyperlink w:history="1" r:id="rIdhuz3rs4ahwelyhwxtdsjv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https://arxiv.org/pdf/2601.04574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Ahmed, U. Z. et al.. </w:t>
      </w:r>
      <w:r>
        <w:rPr>
          <w:rFonts w:ascii="Calibri" w:cs="Calibri" w:eastAsia="Calibri" w:hAnsi="Calibri"/>
          <w:sz w:val="17"/>
          <w:szCs w:val="17"/>
        </w:rPr>
        <w:t xml:space="preserve">TEGCER: Targeted Example Generation for Compilation Errors. 2020. </w:t>
      </w:r>
      <w:hyperlink w:history="1" r:id="rIdhvsrwr0tgrn44gbiyovcl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https://arxiv.org/abs/1909.00769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Levin, K. H.; van Kempen, N.; Berger, E. D.; Freund, S. N.. </w:t>
      </w:r>
      <w:r>
        <w:rPr>
          <w:rFonts w:ascii="Calibri" w:cs="Calibri" w:eastAsia="Calibri" w:hAnsi="Calibri"/>
          <w:sz w:val="17"/>
          <w:szCs w:val="17"/>
        </w:rPr>
        <w:t xml:space="preserve">ChatDBG: Augmenting Debugging with LLMs. Proc. ACM FSE 2025. </w:t>
      </w:r>
      <w:hyperlink w:history="1" r:id="rIdaokwgbq7lh3ynbetjgjpl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https://doi.org/10.1145/3729355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Liu, F. et al.. </w:t>
      </w:r>
      <w:r>
        <w:rPr>
          <w:rFonts w:ascii="Calibri" w:cs="Calibri" w:eastAsia="Calibri" w:hAnsi="Calibri"/>
          <w:sz w:val="17"/>
          <w:szCs w:val="17"/>
        </w:rPr>
        <w:t xml:space="preserve">FLAME: Explainable Fault Localization for Programming Assignments via LLM-Guided Annotation. 2025 (arXiv 2509.25676). [arquivo na pasta] </w:t>
      </w:r>
      <w:hyperlink w:history="1" r:id="rIdkylufb09pm6o9ghgxdntt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https://arxiv.org/abs/2509.25676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Song, D. et al.. </w:t>
      </w:r>
      <w:r>
        <w:rPr>
          <w:rFonts w:ascii="Calibri" w:cs="Calibri" w:eastAsia="Calibri" w:hAnsi="Calibri"/>
          <w:sz w:val="17"/>
          <w:szCs w:val="17"/>
        </w:rPr>
        <w:t xml:space="preserve">SoK: Sanitizing for Security. IEEE S&amp;P 2019. [arquivo na pasta] </w:t>
      </w:r>
      <w:hyperlink w:history="1" r:id="rIdgltea4d-dtmmjpflyqtgk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https://doi.org/10.1109/SP.2019.00010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Chen, X.; Lin, M.; Schärli, N.; Zhou, D.. </w:t>
      </w:r>
      <w:r>
        <w:rPr>
          <w:rFonts w:ascii="Calibri" w:cs="Calibri" w:eastAsia="Calibri" w:hAnsi="Calibri"/>
          <w:sz w:val="17"/>
          <w:szCs w:val="17"/>
        </w:rPr>
        <w:t xml:space="preserve">Teaching Large Language Models to Self-Debug. 2023 (arXiv 2304.05128). [arquivo na pasta] </w:t>
      </w:r>
      <w:hyperlink w:history="1" r:id="rIdsvng8-3a31livevg4if9e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https://arxiv.org/abs/2304.05128</w:t>
        </w:r>
      </w:hyperlink>
    </w:p>
    <w:p>
      <w:pPr>
        <w:spacing w:after="96" w:line="264"/>
        <w:ind w:left="360" w:hanging="36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Dai, Q.; Linvill, K.; Chen, Y.; Kaki, G.. </w:t>
      </w:r>
      <w:r>
        <w:rPr>
          <w:rFonts w:ascii="Calibri" w:cs="Calibri" w:eastAsia="Calibri" w:hAnsi="Calibri"/>
          <w:sz w:val="17"/>
          <w:szCs w:val="17"/>
        </w:rPr>
        <w:t xml:space="preserve">Lancet: A Formalization Framework for Crash and Exploit Pathology. USENIX Security 2025. [arquivo na pasta] 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— Fim do documento —</w:t>
      </w:r>
    </w:p>
    <w:sectPr>
      <w:pgSz w:w="12240" w:h="15840" w:orient="portrait"/>
      <w:pgMar w:top="1150" w:right="1300" w:bottom="115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pxgqusmhrwsob-hnddc7" Type="http://schemas.openxmlformats.org/officeDocument/2006/relationships/hyperlink" Target="https://rohan.padhye.org/files/bonsai-icse21.pdf" TargetMode="External"/><Relationship Id="rIdg11ysuj-i_kecdw1_6c4l" Type="http://schemas.openxmlformats.org/officeDocument/2006/relationships/hyperlink" Target="https://rohan.padhye.org/files/zest-issta19.pdf" TargetMode="External"/><Relationship Id="rId9nnj-tur7z1ihb4ds2wv-" Type="http://schemas.openxmlformats.org/officeDocument/2006/relationships/hyperlink" Target="https://arxiv.org/abs/1812.01197" TargetMode="External"/><Relationship Id="rIdejnypom8kcrgctug0zmsk" Type="http://schemas.openxmlformats.org/officeDocument/2006/relationships/hyperlink" Target="https://www.nebelwelt.net/files/21ISSTA.pdf" TargetMode="External"/><Relationship Id="rIdxbqiry__wtdtnc2cnzc43" Type="http://schemas.openxmlformats.org/officeDocument/2006/relationships/hyperlink" Target="https://www.cs.tufts.edu/~nr/cs257/archive/autograde-icse-2019.pdf" TargetMode="External"/><Relationship Id="rIdtjz6bwcuzjyxsueifyifm" Type="http://schemas.openxmlformats.org/officeDocument/2006/relationships/hyperlink" Target="https://arxiv.org/abs/2503.23989" TargetMode="External"/><Relationship Id="rIdw-bhtbx9hrytwumxlgv_h" Type="http://schemas.openxmlformats.org/officeDocument/2006/relationships/hyperlink" Target="https://doi.org/10.1145/3568813.3600139" TargetMode="External"/><Relationship Id="rIdcggof17zemd4mfwnuuva0" Type="http://schemas.openxmlformats.org/officeDocument/2006/relationships/hyperlink" Target="https://arxiv.org/pdf/2504.01054" TargetMode="External"/><Relationship Id="rIdzpm8r4aqyvgw7hfonc8g5" Type="http://schemas.openxmlformats.org/officeDocument/2006/relationships/hyperlink" Target="https://arxiv.org/pdf/2507.05305" TargetMode="External"/><Relationship Id="rIdm0jrusd3nvgkg_jr8ionf" Type="http://schemas.openxmlformats.org/officeDocument/2006/relationships/hyperlink" Target="https://arxiv.org/pdf/2405.05253" TargetMode="External"/><Relationship Id="rIdwqjspjbct2aiuixgwvn4-" Type="http://schemas.openxmlformats.org/officeDocument/2006/relationships/hyperlink" Target="https://arxiv.org/abs/2407.04873" TargetMode="External"/><Relationship Id="rIdhwl_vy7dgpuyw9vzj39qs" Type="http://schemas.openxmlformats.org/officeDocument/2006/relationships/hyperlink" Target="https://dl.acm.org/doi/10.1145/3372782.3406264" TargetMode="External"/><Relationship Id="rIdvsn1rvnht8l-1-3otailc" Type="http://schemas.openxmlformats.org/officeDocument/2006/relationships/hyperlink" Target="https://dl.acm.org/doi/10.1145/3773911" TargetMode="External"/><Relationship Id="rId2aubprr98osnsm5a7dqtt" Type="http://schemas.openxmlformats.org/officeDocument/2006/relationships/hyperlink" Target="https://doi.org/10.1145/3764593" TargetMode="External"/><Relationship Id="rIdhuz3rs4ahwelyhwxtdsjv" Type="http://schemas.openxmlformats.org/officeDocument/2006/relationships/hyperlink" Target="https://arxiv.org/pdf/2601.04574" TargetMode="External"/><Relationship Id="rIdhvsrwr0tgrn44gbiyovcl" Type="http://schemas.openxmlformats.org/officeDocument/2006/relationships/hyperlink" Target="https://arxiv.org/abs/1909.00769" TargetMode="External"/><Relationship Id="rIdaokwgbq7lh3ynbetjgjpl" Type="http://schemas.openxmlformats.org/officeDocument/2006/relationships/hyperlink" Target="https://doi.org/10.1145/3729355" TargetMode="External"/><Relationship Id="rIdkylufb09pm6o9ghgxdntt" Type="http://schemas.openxmlformats.org/officeDocument/2006/relationships/hyperlink" Target="https://arxiv.org/abs/2509.25676" TargetMode="External"/><Relationship Id="rIdgltea4d-dtmmjpflyqtgk" Type="http://schemas.openxmlformats.org/officeDocument/2006/relationships/hyperlink" Target="https://doi.org/10.1109/SP.2019.00010" TargetMode="External"/><Relationship Id="rIdsvng8-3a31livevg4if9e" Type="http://schemas.openxmlformats.org/officeDocument/2006/relationships/hyperlink" Target="https://arxiv.org/abs/2304.05128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Achados da Semana — Base para a Reunião</dc:title>
  <dc:creator>PIBIC — Guilherme Pereira</dc:creator>
  <cp:lastModifiedBy>Un-named</cp:lastModifiedBy>
  <cp:revision>1</cp:revision>
  <dcterms:created xsi:type="dcterms:W3CDTF">2026-08-26T23:24:33.404Z</dcterms:created>
  <dcterms:modified xsi:type="dcterms:W3CDTF">2026-08-26T23:24:33.429Z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